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190C4">
      <w:pPr>
        <w:pStyle w:val="14"/>
        <w:ind w:firstLine="420" w:firstLineChars="0"/>
        <w:rPr>
          <w:rStyle w:val="32"/>
          <w:b/>
          <w:bCs/>
          <w:color w:val="auto"/>
          <w:sz w:val="44"/>
          <w:szCs w:val="44"/>
          <w:highlight w:val="none"/>
        </w:rPr>
      </w:pPr>
    </w:p>
    <w:p w14:paraId="7180233D">
      <w:pPr>
        <w:spacing w:line="360" w:lineRule="auto"/>
        <w:jc w:val="center"/>
        <w:rPr>
          <w:rFonts w:eastAsia="楷体_GB2312"/>
          <w:b/>
          <w:bCs/>
          <w:color w:val="auto"/>
          <w:spacing w:val="26"/>
          <w:sz w:val="110"/>
          <w:szCs w:val="110"/>
          <w:highlight w:val="none"/>
        </w:rPr>
      </w:pPr>
      <w:r>
        <w:rPr>
          <w:rFonts w:hint="eastAsia"/>
          <w:b/>
          <w:bCs/>
          <w:color w:val="auto"/>
          <w:sz w:val="48"/>
          <w:szCs w:val="48"/>
          <w:highlight w:val="none"/>
          <w:u w:val="none"/>
          <w:lang w:eastAsia="zh-CN"/>
        </w:rPr>
        <w:t>琴澳创新产业园一期主体工程泛光照明工程施工专业承包</w:t>
      </w:r>
    </w:p>
    <w:p w14:paraId="581BB4BE">
      <w:pPr>
        <w:spacing w:line="360" w:lineRule="auto"/>
        <w:jc w:val="center"/>
        <w:rPr>
          <w:rFonts w:eastAsia="楷体_GB2312"/>
          <w:b/>
          <w:bCs/>
          <w:color w:val="auto"/>
          <w:spacing w:val="26"/>
          <w:sz w:val="110"/>
          <w:szCs w:val="110"/>
          <w:highlight w:val="none"/>
        </w:rPr>
      </w:pPr>
    </w:p>
    <w:p w14:paraId="2451A99C">
      <w:pPr>
        <w:spacing w:line="360" w:lineRule="auto"/>
        <w:jc w:val="center"/>
        <w:rPr>
          <w:rFonts w:hint="eastAsia" w:eastAsia="楷体_GB2312"/>
          <w:b/>
          <w:bCs/>
          <w:color w:val="auto"/>
          <w:spacing w:val="26"/>
          <w:sz w:val="110"/>
          <w:szCs w:val="110"/>
          <w:highlight w:val="none"/>
          <w:lang w:val="en-US" w:eastAsia="zh-CN"/>
        </w:rPr>
      </w:pPr>
      <w:r>
        <w:rPr>
          <w:rFonts w:hint="eastAsia" w:eastAsia="楷体_GB2312"/>
          <w:b/>
          <w:bCs/>
          <w:color w:val="auto"/>
          <w:spacing w:val="26"/>
          <w:sz w:val="110"/>
          <w:szCs w:val="110"/>
          <w:highlight w:val="none"/>
        </w:rPr>
        <w:t>招标</w:t>
      </w:r>
      <w:r>
        <w:rPr>
          <w:rFonts w:hint="eastAsia" w:eastAsia="楷体_GB2312"/>
          <w:b/>
          <w:bCs/>
          <w:color w:val="auto"/>
          <w:spacing w:val="26"/>
          <w:sz w:val="110"/>
          <w:szCs w:val="110"/>
          <w:highlight w:val="none"/>
          <w:lang w:val="en-US" w:eastAsia="zh-CN"/>
        </w:rPr>
        <w:t>文件</w:t>
      </w:r>
    </w:p>
    <w:p w14:paraId="7930783B">
      <w:pPr>
        <w:spacing w:line="360" w:lineRule="auto"/>
        <w:jc w:val="center"/>
        <w:rPr>
          <w:color w:val="auto"/>
          <w:sz w:val="32"/>
          <w:highlight w:val="none"/>
        </w:rPr>
      </w:pPr>
    </w:p>
    <w:p w14:paraId="4C50E25B">
      <w:pPr>
        <w:spacing w:line="360" w:lineRule="auto"/>
        <w:ind w:firstLine="2560" w:firstLineChars="800"/>
        <w:rPr>
          <w:color w:val="auto"/>
          <w:sz w:val="32"/>
          <w:highlight w:val="none"/>
        </w:rPr>
      </w:pPr>
    </w:p>
    <w:p w14:paraId="73FDCCF8">
      <w:pPr>
        <w:spacing w:line="360" w:lineRule="auto"/>
        <w:rPr>
          <w:color w:val="auto"/>
          <w:sz w:val="52"/>
          <w:highlight w:val="none"/>
        </w:rPr>
      </w:pPr>
    </w:p>
    <w:p w14:paraId="063CD6A8">
      <w:pPr>
        <w:pStyle w:val="25"/>
        <w:rPr>
          <w:color w:val="auto"/>
          <w:highlight w:val="none"/>
        </w:rPr>
      </w:pPr>
    </w:p>
    <w:p w14:paraId="0DDB2DB0">
      <w:pPr>
        <w:spacing w:line="360" w:lineRule="auto"/>
        <w:rPr>
          <w:color w:val="auto"/>
          <w:sz w:val="52"/>
          <w:highlight w:val="none"/>
        </w:rPr>
      </w:pPr>
    </w:p>
    <w:p w14:paraId="5B8E0ABE">
      <w:pPr>
        <w:spacing w:line="360" w:lineRule="auto"/>
        <w:ind w:firstLine="900" w:firstLineChars="300"/>
        <w:rPr>
          <w:rFonts w:hint="eastAsia" w:eastAsia="宋体"/>
          <w:color w:val="auto"/>
          <w:sz w:val="30"/>
          <w:szCs w:val="30"/>
          <w:highlight w:val="none"/>
          <w:u w:val="single"/>
          <w:lang w:eastAsia="zh-CN"/>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lang w:eastAsia="zh-CN"/>
        </w:rPr>
        <w:t>横琴琴澳创新产业园开发建设有限公司</w:t>
      </w:r>
    </w:p>
    <w:p w14:paraId="0BC22CE7">
      <w:pPr>
        <w:spacing w:line="360" w:lineRule="auto"/>
        <w:ind w:firstLine="945"/>
        <w:rPr>
          <w:rFonts w:hint="default" w:eastAsia="宋体"/>
          <w:color w:val="auto"/>
          <w:sz w:val="30"/>
          <w:szCs w:val="30"/>
          <w:highlight w:val="none"/>
          <w:u w:val="single"/>
          <w:lang w:val="en-US" w:eastAsia="zh-CN"/>
        </w:rPr>
      </w:pPr>
      <w:r>
        <w:rPr>
          <w:rFonts w:hint="eastAsia"/>
          <w:color w:val="auto"/>
          <w:sz w:val="30"/>
          <w:szCs w:val="30"/>
          <w:highlight w:val="none"/>
        </w:rPr>
        <w:t>招标代理单位：</w:t>
      </w:r>
      <w:r>
        <w:rPr>
          <w:rFonts w:hint="eastAsia" w:cs="Times New Roman"/>
          <w:color w:val="auto"/>
          <w:sz w:val="30"/>
          <w:szCs w:val="30"/>
          <w:highlight w:val="none"/>
          <w:u w:val="single"/>
          <w:lang w:val="en-US" w:eastAsia="zh-CN"/>
        </w:rPr>
        <w:t xml:space="preserve">广州金盛建工程项目管理咨询有限公司 </w:t>
      </w:r>
    </w:p>
    <w:p w14:paraId="7360EBD0">
      <w:pPr>
        <w:spacing w:line="360" w:lineRule="auto"/>
        <w:ind w:firstLine="945"/>
        <w:rPr>
          <w:rFonts w:hint="default"/>
          <w:color w:val="auto"/>
          <w:sz w:val="32"/>
          <w:highlight w:val="none"/>
          <w:u w:val="single"/>
          <w:lang w:val="en-US"/>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rFonts w:hint="eastAsia"/>
          <w:color w:val="auto"/>
          <w:sz w:val="32"/>
          <w:highlight w:val="none"/>
          <w:u w:val="single"/>
        </w:rPr>
        <w:t>202</w:t>
      </w:r>
      <w:r>
        <w:rPr>
          <w:rFonts w:hint="eastAsia"/>
          <w:color w:val="auto"/>
          <w:sz w:val="32"/>
          <w:highlight w:val="none"/>
          <w:u w:val="single"/>
          <w:lang w:val="en-US" w:eastAsia="zh-CN"/>
        </w:rPr>
        <w:t>5</w:t>
      </w:r>
      <w:r>
        <w:rPr>
          <w:rFonts w:hint="eastAsia"/>
          <w:color w:val="auto"/>
          <w:sz w:val="32"/>
          <w:highlight w:val="none"/>
          <w:u w:val="single"/>
        </w:rPr>
        <w:t>年</w:t>
      </w:r>
      <w:r>
        <w:rPr>
          <w:rFonts w:hint="eastAsia"/>
          <w:color w:val="auto"/>
          <w:sz w:val="32"/>
          <w:highlight w:val="none"/>
          <w:u w:val="single"/>
          <w:lang w:val="en-US" w:eastAsia="zh-CN"/>
        </w:rPr>
        <w:t>12月</w:t>
      </w:r>
    </w:p>
    <w:p w14:paraId="1E6028BD">
      <w:pPr>
        <w:jc w:val="center"/>
        <w:rPr>
          <w:rStyle w:val="32"/>
          <w:rFonts w:hint="eastAsia" w:cs="宋体"/>
          <w:b/>
          <w:bCs/>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304" w:right="1361" w:bottom="1304" w:left="1361" w:header="851" w:footer="964" w:gutter="0"/>
          <w:pgNumType w:fmt="decimal"/>
          <w:cols w:space="0" w:num="1"/>
          <w:titlePg/>
          <w:rtlGutter w:val="0"/>
          <w:docGrid w:type="lines" w:linePitch="312" w:charSpace="0"/>
        </w:sectPr>
      </w:pPr>
    </w:p>
    <w:p w14:paraId="17C25C83">
      <w:pPr>
        <w:jc w:val="center"/>
        <w:rPr>
          <w:rStyle w:val="32"/>
          <w:rFonts w:hint="eastAsia" w:cs="宋体"/>
          <w:b/>
          <w:bCs/>
          <w:color w:val="auto"/>
          <w:sz w:val="32"/>
          <w:szCs w:val="32"/>
          <w:highlight w:val="none"/>
        </w:rPr>
      </w:pPr>
      <w:r>
        <w:rPr>
          <w:rStyle w:val="32"/>
          <w:rFonts w:hint="eastAsia" w:cs="宋体"/>
          <w:b/>
          <w:bCs/>
          <w:color w:val="auto"/>
          <w:sz w:val="32"/>
          <w:szCs w:val="32"/>
          <w:highlight w:val="none"/>
        </w:rPr>
        <w:t>目</w:t>
      </w:r>
      <w:r>
        <w:rPr>
          <w:rStyle w:val="32"/>
          <w:rFonts w:hint="eastAsia" w:cs="宋体"/>
          <w:b/>
          <w:bCs/>
          <w:color w:val="auto"/>
          <w:sz w:val="32"/>
          <w:szCs w:val="32"/>
          <w:highlight w:val="none"/>
          <w:lang w:val="en-US" w:eastAsia="zh-CN"/>
        </w:rPr>
        <w:t xml:space="preserve">  </w:t>
      </w:r>
      <w:r>
        <w:rPr>
          <w:rStyle w:val="32"/>
          <w:rFonts w:hint="eastAsia" w:cs="宋体"/>
          <w:b/>
          <w:bCs/>
          <w:color w:val="auto"/>
          <w:sz w:val="32"/>
          <w:szCs w:val="32"/>
          <w:highlight w:val="none"/>
        </w:rPr>
        <w:t>录</w:t>
      </w:r>
    </w:p>
    <w:p w14:paraId="6ADC8A31">
      <w:pPr>
        <w:jc w:val="center"/>
        <w:rPr>
          <w:rStyle w:val="32"/>
          <w:rFonts w:hint="eastAsia" w:cs="宋体"/>
          <w:b/>
          <w:bCs/>
          <w:color w:val="auto"/>
          <w:sz w:val="32"/>
          <w:szCs w:val="32"/>
          <w:highlight w:val="none"/>
        </w:rPr>
      </w:pPr>
    </w:p>
    <w:p w14:paraId="24296B06">
      <w:pPr>
        <w:pStyle w:val="19"/>
        <w:tabs>
          <w:tab w:val="right" w:leader="dot" w:pos="9184"/>
          <w:tab w:val="clear" w:pos="9060"/>
        </w:tabs>
        <w:rPr>
          <w:color w:val="auto"/>
          <w:highlight w:val="none"/>
        </w:rPr>
      </w:pPr>
      <w:r>
        <w:rPr>
          <w:rFonts w:hint="eastAsia" w:cs="宋体"/>
          <w:color w:val="auto"/>
          <w:highlight w:val="none"/>
        </w:rPr>
        <w:fldChar w:fldCharType="begin"/>
      </w:r>
      <w:r>
        <w:rPr>
          <w:rFonts w:hint="eastAsia" w:cs="宋体"/>
          <w:color w:val="auto"/>
          <w:highlight w:val="none"/>
        </w:rPr>
        <w:instrText xml:space="preserve"> TOC \o "1-3" \h \z \u </w:instrText>
      </w:r>
      <w:r>
        <w:rPr>
          <w:rFonts w:hint="eastAsia" w:cs="宋体"/>
          <w:color w:val="auto"/>
          <w:highlight w:val="none"/>
        </w:rPr>
        <w:fldChar w:fldCharType="separate"/>
      </w:r>
      <w:r>
        <w:rPr>
          <w:rFonts w:hint="eastAsia" w:cs="宋体"/>
          <w:color w:val="auto"/>
          <w:highlight w:val="none"/>
        </w:rPr>
        <w:fldChar w:fldCharType="begin"/>
      </w:r>
      <w:r>
        <w:rPr>
          <w:rFonts w:hint="eastAsia" w:cs="宋体"/>
          <w:color w:val="auto"/>
          <w:highlight w:val="none"/>
        </w:rPr>
        <w:instrText xml:space="preserve"> HYPERLINK \l _Toc6261 </w:instrText>
      </w:r>
      <w:r>
        <w:rPr>
          <w:rFonts w:hint="eastAsia" w:cs="宋体"/>
          <w:color w:val="auto"/>
          <w:highlight w:val="none"/>
        </w:rPr>
        <w:fldChar w:fldCharType="separate"/>
      </w:r>
      <w:r>
        <w:rPr>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_Toc6261 \h </w:instrText>
      </w:r>
      <w:r>
        <w:rPr>
          <w:color w:val="auto"/>
          <w:highlight w:val="none"/>
        </w:rPr>
        <w:fldChar w:fldCharType="separate"/>
      </w:r>
      <w:r>
        <w:rPr>
          <w:color w:val="auto"/>
          <w:highlight w:val="none"/>
        </w:rPr>
        <w:t>3</w:t>
      </w:r>
      <w:r>
        <w:rPr>
          <w:color w:val="auto"/>
          <w:highlight w:val="none"/>
        </w:rPr>
        <w:fldChar w:fldCharType="end"/>
      </w:r>
      <w:r>
        <w:rPr>
          <w:rFonts w:hint="eastAsia" w:cs="宋体"/>
          <w:color w:val="auto"/>
          <w:highlight w:val="none"/>
        </w:rPr>
        <w:fldChar w:fldCharType="end"/>
      </w:r>
    </w:p>
    <w:p w14:paraId="3A4EB39E">
      <w:pPr>
        <w:pStyle w:val="20"/>
        <w:tabs>
          <w:tab w:val="right" w:leader="dot" w:pos="9184"/>
          <w:tab w:val="clear" w:pos="9060"/>
        </w:tabs>
        <w:rPr>
          <w:color w:val="auto"/>
          <w:highlight w:val="none"/>
        </w:rPr>
      </w:pPr>
      <w:r>
        <w:rPr>
          <w:rFonts w:cs="宋体"/>
          <w:color w:val="auto"/>
          <w:highlight w:val="none"/>
        </w:rPr>
        <w:fldChar w:fldCharType="begin"/>
      </w:r>
      <w:r>
        <w:rPr>
          <w:rFonts w:cs="宋体"/>
          <w:color w:val="auto"/>
          <w:highlight w:val="none"/>
        </w:rPr>
        <w:instrText xml:space="preserve"> HYPERLINK \l _Toc8178 </w:instrText>
      </w:r>
      <w:r>
        <w:rPr>
          <w:rFonts w:cs="宋体"/>
          <w:color w:val="auto"/>
          <w:highlight w:val="none"/>
        </w:rPr>
        <w:fldChar w:fldCharType="separate"/>
      </w:r>
      <w:r>
        <w:rPr>
          <w:rFonts w:hint="eastAsia"/>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_Toc8178 \h </w:instrText>
      </w:r>
      <w:r>
        <w:rPr>
          <w:color w:val="auto"/>
          <w:highlight w:val="none"/>
        </w:rPr>
        <w:fldChar w:fldCharType="separate"/>
      </w:r>
      <w:r>
        <w:rPr>
          <w:color w:val="auto"/>
          <w:highlight w:val="none"/>
        </w:rPr>
        <w:t>3</w:t>
      </w:r>
      <w:r>
        <w:rPr>
          <w:color w:val="auto"/>
          <w:highlight w:val="none"/>
        </w:rPr>
        <w:fldChar w:fldCharType="end"/>
      </w:r>
      <w:r>
        <w:rPr>
          <w:rFonts w:cs="宋体"/>
          <w:color w:val="auto"/>
          <w:highlight w:val="none"/>
        </w:rPr>
        <w:fldChar w:fldCharType="end"/>
      </w:r>
    </w:p>
    <w:p w14:paraId="5D234D25">
      <w:pPr>
        <w:pStyle w:val="20"/>
        <w:tabs>
          <w:tab w:val="right" w:leader="dot" w:pos="9184"/>
          <w:tab w:val="clear" w:pos="9060"/>
        </w:tabs>
        <w:rPr>
          <w:color w:val="auto"/>
          <w:highlight w:val="none"/>
        </w:rPr>
      </w:pPr>
      <w:r>
        <w:rPr>
          <w:rFonts w:cs="宋体"/>
          <w:color w:val="auto"/>
          <w:highlight w:val="none"/>
        </w:rPr>
        <w:fldChar w:fldCharType="begin"/>
      </w:r>
      <w:r>
        <w:rPr>
          <w:rFonts w:cs="宋体"/>
          <w:color w:val="auto"/>
          <w:highlight w:val="none"/>
        </w:rPr>
        <w:instrText xml:space="preserve"> HYPERLINK \l _Toc15791 </w:instrText>
      </w:r>
      <w:r>
        <w:rPr>
          <w:rFonts w:cs="宋体"/>
          <w:color w:val="auto"/>
          <w:highlight w:val="none"/>
        </w:rPr>
        <w:fldChar w:fldCharType="separate"/>
      </w:r>
      <w:r>
        <w:rPr>
          <w:rFonts w:hint="eastAsia"/>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_Toc15791 \h </w:instrText>
      </w:r>
      <w:r>
        <w:rPr>
          <w:color w:val="auto"/>
          <w:highlight w:val="none"/>
        </w:rPr>
        <w:fldChar w:fldCharType="separate"/>
      </w:r>
      <w:r>
        <w:rPr>
          <w:color w:val="auto"/>
          <w:highlight w:val="none"/>
        </w:rPr>
        <w:t>11</w:t>
      </w:r>
      <w:r>
        <w:rPr>
          <w:color w:val="auto"/>
          <w:highlight w:val="none"/>
        </w:rPr>
        <w:fldChar w:fldCharType="end"/>
      </w:r>
      <w:r>
        <w:rPr>
          <w:rFonts w:cs="宋体"/>
          <w:color w:val="auto"/>
          <w:highlight w:val="none"/>
        </w:rPr>
        <w:fldChar w:fldCharType="end"/>
      </w:r>
    </w:p>
    <w:p w14:paraId="1E402C27">
      <w:pPr>
        <w:pStyle w:val="20"/>
        <w:tabs>
          <w:tab w:val="right" w:leader="dot" w:pos="9184"/>
          <w:tab w:val="clear" w:pos="9060"/>
        </w:tabs>
        <w:rPr>
          <w:color w:val="auto"/>
          <w:highlight w:val="none"/>
        </w:rPr>
      </w:pPr>
      <w:r>
        <w:rPr>
          <w:rFonts w:cs="宋体"/>
          <w:color w:val="auto"/>
          <w:highlight w:val="none"/>
        </w:rPr>
        <w:fldChar w:fldCharType="begin"/>
      </w:r>
      <w:r>
        <w:rPr>
          <w:rFonts w:cs="宋体"/>
          <w:color w:val="auto"/>
          <w:highlight w:val="none"/>
        </w:rPr>
        <w:instrText xml:space="preserve"> HYPERLINK \l _Toc2120 </w:instrText>
      </w:r>
      <w:r>
        <w:rPr>
          <w:rFonts w:cs="宋体"/>
          <w:color w:val="auto"/>
          <w:highlight w:val="none"/>
        </w:rPr>
        <w:fldChar w:fldCharType="separate"/>
      </w:r>
      <w:r>
        <w:rPr>
          <w:rFonts w:hint="eastAsia"/>
          <w:color w:val="auto"/>
          <w:szCs w:val="21"/>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_Toc2120 \h </w:instrText>
      </w:r>
      <w:r>
        <w:rPr>
          <w:color w:val="auto"/>
          <w:highlight w:val="none"/>
        </w:rPr>
        <w:fldChar w:fldCharType="separate"/>
      </w:r>
      <w:r>
        <w:rPr>
          <w:color w:val="auto"/>
          <w:highlight w:val="none"/>
        </w:rPr>
        <w:t>27</w:t>
      </w:r>
      <w:r>
        <w:rPr>
          <w:color w:val="auto"/>
          <w:highlight w:val="none"/>
        </w:rPr>
        <w:fldChar w:fldCharType="end"/>
      </w:r>
      <w:r>
        <w:rPr>
          <w:rFonts w:cs="宋体"/>
          <w:color w:val="auto"/>
          <w:highlight w:val="none"/>
        </w:rPr>
        <w:fldChar w:fldCharType="end"/>
      </w:r>
    </w:p>
    <w:p w14:paraId="5F065F2D">
      <w:pPr>
        <w:pStyle w:val="13"/>
        <w:tabs>
          <w:tab w:val="right" w:leader="dot" w:pos="9184"/>
        </w:tabs>
        <w:rPr>
          <w:color w:val="auto"/>
          <w:highlight w:val="none"/>
        </w:rPr>
      </w:pPr>
      <w:r>
        <w:rPr>
          <w:rFonts w:cs="宋体"/>
          <w:color w:val="auto"/>
          <w:highlight w:val="none"/>
        </w:rPr>
        <w:fldChar w:fldCharType="begin"/>
      </w:r>
      <w:r>
        <w:rPr>
          <w:rFonts w:cs="宋体"/>
          <w:color w:val="auto"/>
          <w:highlight w:val="none"/>
        </w:rPr>
        <w:instrText xml:space="preserve"> HYPERLINK \l _Toc15293 </w:instrText>
      </w:r>
      <w:r>
        <w:rPr>
          <w:rFonts w:cs="宋体"/>
          <w:color w:val="auto"/>
          <w:highlight w:val="none"/>
        </w:rPr>
        <w:fldChar w:fldCharType="separate"/>
      </w:r>
      <w:r>
        <w:rPr>
          <w:rFonts w:hint="eastAsia"/>
          <w:color w:val="auto"/>
          <w:szCs w:val="21"/>
          <w:highlight w:val="none"/>
        </w:rPr>
        <w:t>（一）总则</w:t>
      </w:r>
      <w:r>
        <w:rPr>
          <w:color w:val="auto"/>
          <w:highlight w:val="none"/>
        </w:rPr>
        <w:tab/>
      </w:r>
      <w:r>
        <w:rPr>
          <w:color w:val="auto"/>
          <w:highlight w:val="none"/>
        </w:rPr>
        <w:fldChar w:fldCharType="begin"/>
      </w:r>
      <w:r>
        <w:rPr>
          <w:color w:val="auto"/>
          <w:highlight w:val="none"/>
        </w:rPr>
        <w:instrText xml:space="preserve"> PAGEREF _Toc15293 \h </w:instrText>
      </w:r>
      <w:r>
        <w:rPr>
          <w:color w:val="auto"/>
          <w:highlight w:val="none"/>
        </w:rPr>
        <w:fldChar w:fldCharType="separate"/>
      </w:r>
      <w:r>
        <w:rPr>
          <w:color w:val="auto"/>
          <w:highlight w:val="none"/>
        </w:rPr>
        <w:t>27</w:t>
      </w:r>
      <w:r>
        <w:rPr>
          <w:color w:val="auto"/>
          <w:highlight w:val="none"/>
        </w:rPr>
        <w:fldChar w:fldCharType="end"/>
      </w:r>
      <w:r>
        <w:rPr>
          <w:rFonts w:cs="宋体"/>
          <w:color w:val="auto"/>
          <w:highlight w:val="none"/>
        </w:rPr>
        <w:fldChar w:fldCharType="end"/>
      </w:r>
    </w:p>
    <w:p w14:paraId="35833816">
      <w:pPr>
        <w:pStyle w:val="13"/>
        <w:tabs>
          <w:tab w:val="right" w:leader="dot" w:pos="9184"/>
        </w:tabs>
        <w:rPr>
          <w:color w:val="auto"/>
          <w:highlight w:val="none"/>
        </w:rPr>
      </w:pPr>
      <w:r>
        <w:rPr>
          <w:rFonts w:cs="宋体"/>
          <w:color w:val="auto"/>
          <w:highlight w:val="none"/>
        </w:rPr>
        <w:fldChar w:fldCharType="begin"/>
      </w:r>
      <w:r>
        <w:rPr>
          <w:rFonts w:cs="宋体"/>
          <w:color w:val="auto"/>
          <w:highlight w:val="none"/>
        </w:rPr>
        <w:instrText xml:space="preserve"> HYPERLINK \l _Toc11149 </w:instrText>
      </w:r>
      <w:r>
        <w:rPr>
          <w:rFonts w:cs="宋体"/>
          <w:color w:val="auto"/>
          <w:highlight w:val="none"/>
        </w:rPr>
        <w:fldChar w:fldCharType="separate"/>
      </w:r>
      <w:r>
        <w:rPr>
          <w:rFonts w:hint="eastAsia"/>
          <w:color w:val="auto"/>
          <w:szCs w:val="21"/>
          <w:highlight w:val="none"/>
        </w:rPr>
        <w:t>（二）招标文件</w:t>
      </w:r>
      <w:r>
        <w:rPr>
          <w:color w:val="auto"/>
          <w:highlight w:val="none"/>
        </w:rPr>
        <w:tab/>
      </w:r>
      <w:r>
        <w:rPr>
          <w:color w:val="auto"/>
          <w:highlight w:val="none"/>
        </w:rPr>
        <w:fldChar w:fldCharType="begin"/>
      </w:r>
      <w:r>
        <w:rPr>
          <w:color w:val="auto"/>
          <w:highlight w:val="none"/>
        </w:rPr>
        <w:instrText xml:space="preserve"> PAGEREF _Toc11149 \h </w:instrText>
      </w:r>
      <w:r>
        <w:rPr>
          <w:color w:val="auto"/>
          <w:highlight w:val="none"/>
        </w:rPr>
        <w:fldChar w:fldCharType="separate"/>
      </w:r>
      <w:r>
        <w:rPr>
          <w:color w:val="auto"/>
          <w:highlight w:val="none"/>
        </w:rPr>
        <w:t>28</w:t>
      </w:r>
      <w:r>
        <w:rPr>
          <w:color w:val="auto"/>
          <w:highlight w:val="none"/>
        </w:rPr>
        <w:fldChar w:fldCharType="end"/>
      </w:r>
      <w:r>
        <w:rPr>
          <w:rFonts w:cs="宋体"/>
          <w:color w:val="auto"/>
          <w:highlight w:val="none"/>
        </w:rPr>
        <w:fldChar w:fldCharType="end"/>
      </w:r>
    </w:p>
    <w:p w14:paraId="72276814">
      <w:pPr>
        <w:pStyle w:val="13"/>
        <w:tabs>
          <w:tab w:val="right" w:leader="dot" w:pos="9184"/>
        </w:tabs>
        <w:rPr>
          <w:color w:val="auto"/>
          <w:highlight w:val="none"/>
        </w:rPr>
      </w:pPr>
      <w:r>
        <w:rPr>
          <w:rFonts w:cs="宋体"/>
          <w:color w:val="auto"/>
          <w:highlight w:val="none"/>
        </w:rPr>
        <w:fldChar w:fldCharType="begin"/>
      </w:r>
      <w:r>
        <w:rPr>
          <w:rFonts w:cs="宋体"/>
          <w:color w:val="auto"/>
          <w:highlight w:val="none"/>
        </w:rPr>
        <w:instrText xml:space="preserve"> HYPERLINK \l _Toc12737 </w:instrText>
      </w:r>
      <w:r>
        <w:rPr>
          <w:rFonts w:cs="宋体"/>
          <w:color w:val="auto"/>
          <w:highlight w:val="none"/>
        </w:rPr>
        <w:fldChar w:fldCharType="separate"/>
      </w:r>
      <w:r>
        <w:rPr>
          <w:rFonts w:hint="eastAsia"/>
          <w:color w:val="auto"/>
          <w:szCs w:val="21"/>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_Toc12737 \h </w:instrText>
      </w:r>
      <w:r>
        <w:rPr>
          <w:color w:val="auto"/>
          <w:highlight w:val="none"/>
        </w:rPr>
        <w:fldChar w:fldCharType="separate"/>
      </w:r>
      <w:r>
        <w:rPr>
          <w:color w:val="auto"/>
          <w:highlight w:val="none"/>
        </w:rPr>
        <w:t>29</w:t>
      </w:r>
      <w:r>
        <w:rPr>
          <w:color w:val="auto"/>
          <w:highlight w:val="none"/>
        </w:rPr>
        <w:fldChar w:fldCharType="end"/>
      </w:r>
      <w:r>
        <w:rPr>
          <w:rFonts w:cs="宋体"/>
          <w:color w:val="auto"/>
          <w:highlight w:val="none"/>
        </w:rPr>
        <w:fldChar w:fldCharType="end"/>
      </w:r>
    </w:p>
    <w:p w14:paraId="7FA20EA6">
      <w:pPr>
        <w:pStyle w:val="13"/>
        <w:tabs>
          <w:tab w:val="right" w:leader="dot" w:pos="9184"/>
        </w:tabs>
        <w:rPr>
          <w:color w:val="auto"/>
          <w:highlight w:val="none"/>
        </w:rPr>
      </w:pPr>
      <w:r>
        <w:rPr>
          <w:rFonts w:cs="宋体"/>
          <w:color w:val="auto"/>
          <w:highlight w:val="none"/>
        </w:rPr>
        <w:fldChar w:fldCharType="begin"/>
      </w:r>
      <w:r>
        <w:rPr>
          <w:rFonts w:cs="宋体"/>
          <w:color w:val="auto"/>
          <w:highlight w:val="none"/>
        </w:rPr>
        <w:instrText xml:space="preserve"> HYPERLINK \l _Toc431 </w:instrText>
      </w:r>
      <w:r>
        <w:rPr>
          <w:rFonts w:cs="宋体"/>
          <w:color w:val="auto"/>
          <w:highlight w:val="none"/>
        </w:rPr>
        <w:fldChar w:fldCharType="separate"/>
      </w:r>
      <w:r>
        <w:rPr>
          <w:rFonts w:hint="eastAsia"/>
          <w:color w:val="auto"/>
          <w:szCs w:val="21"/>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_Toc431 \h </w:instrText>
      </w:r>
      <w:r>
        <w:rPr>
          <w:color w:val="auto"/>
          <w:highlight w:val="none"/>
        </w:rPr>
        <w:fldChar w:fldCharType="separate"/>
      </w:r>
      <w:r>
        <w:rPr>
          <w:color w:val="auto"/>
          <w:highlight w:val="none"/>
        </w:rPr>
        <w:t>36</w:t>
      </w:r>
      <w:r>
        <w:rPr>
          <w:color w:val="auto"/>
          <w:highlight w:val="none"/>
        </w:rPr>
        <w:fldChar w:fldCharType="end"/>
      </w:r>
      <w:r>
        <w:rPr>
          <w:rFonts w:cs="宋体"/>
          <w:color w:val="auto"/>
          <w:highlight w:val="none"/>
        </w:rPr>
        <w:fldChar w:fldCharType="end"/>
      </w:r>
    </w:p>
    <w:p w14:paraId="651E2FA2">
      <w:pPr>
        <w:pStyle w:val="13"/>
        <w:tabs>
          <w:tab w:val="right" w:leader="dot" w:pos="9184"/>
        </w:tabs>
        <w:rPr>
          <w:color w:val="auto"/>
          <w:highlight w:val="none"/>
        </w:rPr>
      </w:pPr>
      <w:r>
        <w:rPr>
          <w:rFonts w:cs="宋体"/>
          <w:color w:val="auto"/>
          <w:highlight w:val="none"/>
        </w:rPr>
        <w:fldChar w:fldCharType="begin"/>
      </w:r>
      <w:r>
        <w:rPr>
          <w:rFonts w:cs="宋体"/>
          <w:color w:val="auto"/>
          <w:highlight w:val="none"/>
        </w:rPr>
        <w:instrText xml:space="preserve"> HYPERLINK \l _Toc32760 </w:instrText>
      </w:r>
      <w:r>
        <w:rPr>
          <w:rFonts w:cs="宋体"/>
          <w:color w:val="auto"/>
          <w:highlight w:val="none"/>
        </w:rPr>
        <w:fldChar w:fldCharType="separate"/>
      </w:r>
      <w:r>
        <w:rPr>
          <w:rFonts w:hint="eastAsia"/>
          <w:color w:val="auto"/>
          <w:szCs w:val="21"/>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_Toc32760 \h </w:instrText>
      </w:r>
      <w:r>
        <w:rPr>
          <w:color w:val="auto"/>
          <w:highlight w:val="none"/>
        </w:rPr>
        <w:fldChar w:fldCharType="separate"/>
      </w:r>
      <w:r>
        <w:rPr>
          <w:color w:val="auto"/>
          <w:highlight w:val="none"/>
        </w:rPr>
        <w:t>37</w:t>
      </w:r>
      <w:r>
        <w:rPr>
          <w:color w:val="auto"/>
          <w:highlight w:val="none"/>
        </w:rPr>
        <w:fldChar w:fldCharType="end"/>
      </w:r>
      <w:r>
        <w:rPr>
          <w:rFonts w:cs="宋体"/>
          <w:color w:val="auto"/>
          <w:highlight w:val="none"/>
        </w:rPr>
        <w:fldChar w:fldCharType="end"/>
      </w:r>
    </w:p>
    <w:p w14:paraId="69BA5BB2">
      <w:pPr>
        <w:pStyle w:val="19"/>
        <w:tabs>
          <w:tab w:val="right" w:leader="dot" w:pos="9184"/>
          <w:tab w:val="clear" w:pos="9060"/>
        </w:tabs>
        <w:rPr>
          <w:color w:val="auto"/>
          <w:highlight w:val="none"/>
        </w:rPr>
      </w:pPr>
      <w:r>
        <w:rPr>
          <w:rFonts w:cs="宋体"/>
          <w:color w:val="auto"/>
          <w:highlight w:val="none"/>
        </w:rPr>
        <w:fldChar w:fldCharType="begin"/>
      </w:r>
      <w:r>
        <w:rPr>
          <w:rFonts w:cs="宋体"/>
          <w:color w:val="auto"/>
          <w:highlight w:val="none"/>
        </w:rPr>
        <w:instrText xml:space="preserve"> HYPERLINK \l _Toc14804 </w:instrText>
      </w:r>
      <w:r>
        <w:rPr>
          <w:rFonts w:cs="宋体"/>
          <w:color w:val="auto"/>
          <w:highlight w:val="none"/>
        </w:rPr>
        <w:fldChar w:fldCharType="separate"/>
      </w:r>
      <w:r>
        <w:rPr>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_Toc14804 \h </w:instrText>
      </w:r>
      <w:r>
        <w:rPr>
          <w:color w:val="auto"/>
          <w:highlight w:val="none"/>
        </w:rPr>
        <w:fldChar w:fldCharType="separate"/>
      </w:r>
      <w:r>
        <w:rPr>
          <w:color w:val="auto"/>
          <w:highlight w:val="none"/>
        </w:rPr>
        <w:t>40</w:t>
      </w:r>
      <w:r>
        <w:rPr>
          <w:color w:val="auto"/>
          <w:highlight w:val="none"/>
        </w:rPr>
        <w:fldChar w:fldCharType="end"/>
      </w:r>
      <w:r>
        <w:rPr>
          <w:rFonts w:cs="宋体"/>
          <w:color w:val="auto"/>
          <w:highlight w:val="none"/>
        </w:rPr>
        <w:fldChar w:fldCharType="end"/>
      </w:r>
    </w:p>
    <w:p w14:paraId="747F9DC9">
      <w:pPr>
        <w:pStyle w:val="19"/>
        <w:tabs>
          <w:tab w:val="right" w:leader="dot" w:pos="9184"/>
          <w:tab w:val="clear" w:pos="9060"/>
        </w:tabs>
        <w:rPr>
          <w:color w:val="auto"/>
          <w:highlight w:val="none"/>
        </w:rPr>
      </w:pPr>
      <w:r>
        <w:rPr>
          <w:rFonts w:cs="宋体"/>
          <w:color w:val="auto"/>
          <w:highlight w:val="none"/>
        </w:rPr>
        <w:fldChar w:fldCharType="begin"/>
      </w:r>
      <w:r>
        <w:rPr>
          <w:rFonts w:cs="宋体"/>
          <w:color w:val="auto"/>
          <w:highlight w:val="none"/>
        </w:rPr>
        <w:instrText xml:space="preserve"> HYPERLINK \l _Toc9117 </w:instrText>
      </w:r>
      <w:r>
        <w:rPr>
          <w:rFonts w:cs="宋体"/>
          <w:color w:val="auto"/>
          <w:highlight w:val="none"/>
        </w:rPr>
        <w:fldChar w:fldCharType="separate"/>
      </w:r>
      <w:r>
        <w:rPr>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_Toc9117 \h </w:instrText>
      </w:r>
      <w:r>
        <w:rPr>
          <w:color w:val="auto"/>
          <w:highlight w:val="none"/>
        </w:rPr>
        <w:fldChar w:fldCharType="separate"/>
      </w:r>
      <w:r>
        <w:rPr>
          <w:color w:val="auto"/>
          <w:highlight w:val="none"/>
        </w:rPr>
        <w:t>69</w:t>
      </w:r>
      <w:r>
        <w:rPr>
          <w:color w:val="auto"/>
          <w:highlight w:val="none"/>
        </w:rPr>
        <w:fldChar w:fldCharType="end"/>
      </w:r>
      <w:r>
        <w:rPr>
          <w:rFonts w:cs="宋体"/>
          <w:color w:val="auto"/>
          <w:highlight w:val="none"/>
        </w:rPr>
        <w:fldChar w:fldCharType="end"/>
      </w:r>
    </w:p>
    <w:p w14:paraId="553FDF57">
      <w:pPr>
        <w:pStyle w:val="19"/>
        <w:tabs>
          <w:tab w:val="right" w:leader="dot" w:pos="9184"/>
          <w:tab w:val="clear" w:pos="9060"/>
        </w:tabs>
        <w:rPr>
          <w:color w:val="auto"/>
          <w:highlight w:val="none"/>
        </w:rPr>
      </w:pPr>
      <w:r>
        <w:rPr>
          <w:rFonts w:cs="宋体"/>
          <w:color w:val="auto"/>
          <w:highlight w:val="none"/>
        </w:rPr>
        <w:fldChar w:fldCharType="begin"/>
      </w:r>
      <w:r>
        <w:rPr>
          <w:rFonts w:cs="宋体"/>
          <w:color w:val="auto"/>
          <w:highlight w:val="none"/>
        </w:rPr>
        <w:instrText xml:space="preserve"> HYPERLINK \l _Toc3772 </w:instrText>
      </w:r>
      <w:r>
        <w:rPr>
          <w:rFonts w:cs="宋体"/>
          <w:color w:val="auto"/>
          <w:highlight w:val="none"/>
        </w:rPr>
        <w:fldChar w:fldCharType="separate"/>
      </w:r>
      <w:r>
        <w:rPr>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_Toc3772 \h </w:instrText>
      </w:r>
      <w:r>
        <w:rPr>
          <w:color w:val="auto"/>
          <w:highlight w:val="none"/>
        </w:rPr>
        <w:fldChar w:fldCharType="separate"/>
      </w:r>
      <w:r>
        <w:rPr>
          <w:color w:val="auto"/>
          <w:highlight w:val="none"/>
        </w:rPr>
        <w:t>70</w:t>
      </w:r>
      <w:r>
        <w:rPr>
          <w:color w:val="auto"/>
          <w:highlight w:val="none"/>
        </w:rPr>
        <w:fldChar w:fldCharType="end"/>
      </w:r>
      <w:r>
        <w:rPr>
          <w:rFonts w:cs="宋体"/>
          <w:color w:val="auto"/>
          <w:highlight w:val="none"/>
        </w:rPr>
        <w:fldChar w:fldCharType="end"/>
      </w:r>
    </w:p>
    <w:p w14:paraId="53FD4221">
      <w:pPr>
        <w:pStyle w:val="19"/>
        <w:tabs>
          <w:tab w:val="right" w:leader="dot" w:pos="9184"/>
          <w:tab w:val="clear" w:pos="9060"/>
        </w:tabs>
        <w:rPr>
          <w:color w:val="auto"/>
          <w:highlight w:val="none"/>
        </w:rPr>
      </w:pPr>
      <w:r>
        <w:rPr>
          <w:rFonts w:cs="宋体"/>
          <w:color w:val="auto"/>
          <w:highlight w:val="none"/>
        </w:rPr>
        <w:fldChar w:fldCharType="begin"/>
      </w:r>
      <w:r>
        <w:rPr>
          <w:rFonts w:cs="宋体"/>
          <w:color w:val="auto"/>
          <w:highlight w:val="none"/>
        </w:rPr>
        <w:instrText xml:space="preserve"> HYPERLINK \l _Toc6108 </w:instrText>
      </w:r>
      <w:r>
        <w:rPr>
          <w:rFonts w:cs="宋体"/>
          <w:color w:val="auto"/>
          <w:highlight w:val="none"/>
        </w:rPr>
        <w:fldChar w:fldCharType="separate"/>
      </w:r>
      <w:r>
        <w:rPr>
          <w:rFonts w:hint="default"/>
          <w:color w:val="auto"/>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_Toc6108 \h </w:instrText>
      </w:r>
      <w:r>
        <w:rPr>
          <w:color w:val="auto"/>
          <w:highlight w:val="none"/>
        </w:rPr>
        <w:fldChar w:fldCharType="separate"/>
      </w:r>
      <w:r>
        <w:rPr>
          <w:color w:val="auto"/>
          <w:highlight w:val="none"/>
        </w:rPr>
        <w:t>88</w:t>
      </w:r>
      <w:r>
        <w:rPr>
          <w:color w:val="auto"/>
          <w:highlight w:val="none"/>
        </w:rPr>
        <w:fldChar w:fldCharType="end"/>
      </w:r>
      <w:r>
        <w:rPr>
          <w:rFonts w:cs="宋体"/>
          <w:color w:val="auto"/>
          <w:highlight w:val="none"/>
        </w:rPr>
        <w:fldChar w:fldCharType="end"/>
      </w:r>
    </w:p>
    <w:p w14:paraId="4524DB6A">
      <w:pPr>
        <w:pStyle w:val="19"/>
        <w:tabs>
          <w:tab w:val="right" w:leader="dot" w:pos="9184"/>
          <w:tab w:val="clear" w:pos="9060"/>
        </w:tabs>
        <w:rPr>
          <w:color w:val="auto"/>
          <w:highlight w:val="none"/>
        </w:rPr>
      </w:pPr>
      <w:r>
        <w:rPr>
          <w:rFonts w:cs="宋体"/>
          <w:color w:val="auto"/>
          <w:highlight w:val="none"/>
        </w:rPr>
        <w:fldChar w:fldCharType="begin"/>
      </w:r>
      <w:r>
        <w:rPr>
          <w:rFonts w:cs="宋体"/>
          <w:color w:val="auto"/>
          <w:highlight w:val="none"/>
        </w:rPr>
        <w:instrText xml:space="preserve"> HYPERLINK \l _Toc30094 </w:instrText>
      </w:r>
      <w:r>
        <w:rPr>
          <w:rFonts w:cs="宋体"/>
          <w:color w:val="auto"/>
          <w:highlight w:val="none"/>
        </w:rPr>
        <w:fldChar w:fldCharType="separate"/>
      </w:r>
      <w:r>
        <w:rPr>
          <w:color w:val="auto"/>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_Toc30094 \h </w:instrText>
      </w:r>
      <w:r>
        <w:rPr>
          <w:color w:val="auto"/>
          <w:highlight w:val="none"/>
        </w:rPr>
        <w:fldChar w:fldCharType="separate"/>
      </w:r>
      <w:r>
        <w:rPr>
          <w:color w:val="auto"/>
          <w:highlight w:val="none"/>
        </w:rPr>
        <w:t>90</w:t>
      </w:r>
      <w:r>
        <w:rPr>
          <w:color w:val="auto"/>
          <w:highlight w:val="none"/>
        </w:rPr>
        <w:fldChar w:fldCharType="end"/>
      </w:r>
      <w:r>
        <w:rPr>
          <w:rFonts w:cs="宋体"/>
          <w:color w:val="auto"/>
          <w:highlight w:val="none"/>
        </w:rPr>
        <w:fldChar w:fldCharType="end"/>
      </w:r>
    </w:p>
    <w:p w14:paraId="04C3D718">
      <w:pPr>
        <w:pStyle w:val="19"/>
        <w:tabs>
          <w:tab w:val="right" w:leader="dot" w:pos="9184"/>
          <w:tab w:val="clear" w:pos="9060"/>
        </w:tabs>
        <w:rPr>
          <w:color w:val="auto"/>
          <w:highlight w:val="none"/>
        </w:rPr>
      </w:pPr>
      <w:r>
        <w:rPr>
          <w:rFonts w:cs="宋体"/>
          <w:color w:val="auto"/>
          <w:highlight w:val="none"/>
        </w:rPr>
        <w:fldChar w:fldCharType="begin"/>
      </w:r>
      <w:r>
        <w:rPr>
          <w:rFonts w:cs="宋体"/>
          <w:color w:val="auto"/>
          <w:highlight w:val="none"/>
        </w:rPr>
        <w:instrText xml:space="preserve"> HYPERLINK \l _Toc15769 </w:instrText>
      </w:r>
      <w:r>
        <w:rPr>
          <w:rFonts w:cs="宋体"/>
          <w:color w:val="auto"/>
          <w:highlight w:val="none"/>
        </w:rPr>
        <w:fldChar w:fldCharType="separate"/>
      </w:r>
      <w:r>
        <w:rPr>
          <w:color w:val="auto"/>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_Toc15769 \h </w:instrText>
      </w:r>
      <w:r>
        <w:rPr>
          <w:color w:val="auto"/>
          <w:highlight w:val="none"/>
        </w:rPr>
        <w:fldChar w:fldCharType="separate"/>
      </w:r>
      <w:r>
        <w:rPr>
          <w:color w:val="auto"/>
          <w:highlight w:val="none"/>
        </w:rPr>
        <w:t>91</w:t>
      </w:r>
      <w:r>
        <w:rPr>
          <w:color w:val="auto"/>
          <w:highlight w:val="none"/>
        </w:rPr>
        <w:fldChar w:fldCharType="end"/>
      </w:r>
      <w:r>
        <w:rPr>
          <w:rFonts w:cs="宋体"/>
          <w:color w:val="auto"/>
          <w:highlight w:val="none"/>
        </w:rPr>
        <w:fldChar w:fldCharType="end"/>
      </w:r>
    </w:p>
    <w:p w14:paraId="29D17DED">
      <w:pPr>
        <w:pStyle w:val="19"/>
        <w:tabs>
          <w:tab w:val="right" w:leader="dot" w:pos="9184"/>
          <w:tab w:val="clear" w:pos="9060"/>
        </w:tabs>
        <w:rPr>
          <w:color w:val="auto"/>
          <w:highlight w:val="none"/>
        </w:rPr>
      </w:pPr>
      <w:r>
        <w:rPr>
          <w:rFonts w:cs="宋体"/>
          <w:color w:val="auto"/>
          <w:highlight w:val="none"/>
        </w:rPr>
        <w:fldChar w:fldCharType="begin"/>
      </w:r>
      <w:r>
        <w:rPr>
          <w:rFonts w:cs="宋体"/>
          <w:color w:val="auto"/>
          <w:highlight w:val="none"/>
        </w:rPr>
        <w:instrText xml:space="preserve"> HYPERLINK \l _Toc20934 </w:instrText>
      </w:r>
      <w:r>
        <w:rPr>
          <w:rFonts w:cs="宋体"/>
          <w:color w:val="auto"/>
          <w:highlight w:val="none"/>
        </w:rPr>
        <w:fldChar w:fldCharType="separate"/>
      </w:r>
      <w:r>
        <w:rPr>
          <w:color w:val="auto"/>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_Toc20934 \h </w:instrText>
      </w:r>
      <w:r>
        <w:rPr>
          <w:color w:val="auto"/>
          <w:highlight w:val="none"/>
        </w:rPr>
        <w:fldChar w:fldCharType="separate"/>
      </w:r>
      <w:r>
        <w:rPr>
          <w:color w:val="auto"/>
          <w:highlight w:val="none"/>
        </w:rPr>
        <w:t>92</w:t>
      </w:r>
      <w:r>
        <w:rPr>
          <w:color w:val="auto"/>
          <w:highlight w:val="none"/>
        </w:rPr>
        <w:fldChar w:fldCharType="end"/>
      </w:r>
      <w:r>
        <w:rPr>
          <w:rFonts w:cs="宋体"/>
          <w:color w:val="auto"/>
          <w:highlight w:val="none"/>
        </w:rPr>
        <w:fldChar w:fldCharType="end"/>
      </w:r>
    </w:p>
    <w:p w14:paraId="6F5C547C">
      <w:pPr>
        <w:pStyle w:val="3"/>
        <w:ind w:right="325" w:rightChars="155"/>
        <w:jc w:val="center"/>
        <w:rPr>
          <w:rFonts w:hint="default"/>
          <w:color w:val="auto"/>
          <w:highlight w:val="none"/>
        </w:rPr>
      </w:pPr>
      <w:r>
        <w:rPr>
          <w:rFonts w:cs="宋体"/>
          <w:color w:val="auto"/>
          <w:highlight w:val="none"/>
        </w:rPr>
        <w:fldChar w:fldCharType="end"/>
      </w:r>
    </w:p>
    <w:p w14:paraId="66F14489">
      <w:pPr>
        <w:pStyle w:val="3"/>
        <w:jc w:val="center"/>
        <w:rPr>
          <w:rFonts w:hint="default"/>
          <w:color w:val="auto"/>
          <w:highlight w:val="none"/>
        </w:rPr>
      </w:pPr>
      <w:r>
        <w:rPr>
          <w:color w:val="auto"/>
          <w:highlight w:val="none"/>
        </w:rPr>
        <w:br w:type="page"/>
      </w:r>
      <w:bookmarkStart w:id="0" w:name="_Toc6261"/>
      <w:r>
        <w:rPr>
          <w:color w:val="auto"/>
          <w:highlight w:val="none"/>
        </w:rPr>
        <w:t>第一章  投标须知</w:t>
      </w:r>
      <w:bookmarkEnd w:id="0"/>
    </w:p>
    <w:p w14:paraId="40C1F809">
      <w:pPr>
        <w:pStyle w:val="4"/>
        <w:rPr>
          <w:color w:val="auto"/>
          <w:highlight w:val="none"/>
        </w:rPr>
      </w:pPr>
      <w:bookmarkStart w:id="1" w:name="_Toc8178"/>
      <w:r>
        <w:rPr>
          <w:rFonts w:hint="eastAsia"/>
          <w:color w:val="auto"/>
          <w:highlight w:val="none"/>
        </w:rPr>
        <w:t>一、投标须知前附表</w:t>
      </w:r>
      <w:bookmarkEnd w:id="1"/>
    </w:p>
    <w:p w14:paraId="71861635">
      <w:pPr>
        <w:pStyle w:val="2"/>
        <w:keepNext w:val="0"/>
        <w:keepLines w:val="0"/>
        <w:pageBreakBefore w:val="0"/>
        <w:widowControl w:val="0"/>
        <w:kinsoku/>
        <w:wordWrap/>
        <w:overflowPunct/>
        <w:topLinePunct w:val="0"/>
        <w:autoSpaceDE/>
        <w:autoSpaceDN/>
        <w:bidi w:val="0"/>
        <w:adjustRightInd w:val="0"/>
        <w:snapToGrid w:val="0"/>
        <w:spacing w:line="360" w:lineRule="auto"/>
        <w:ind w:firstLine="422"/>
        <w:textAlignment w:val="auto"/>
        <w:rPr>
          <w:b/>
          <w:color w:val="auto"/>
          <w:szCs w:val="21"/>
          <w:highlight w:val="none"/>
        </w:rPr>
      </w:pPr>
      <w:r>
        <w:rPr>
          <w:rFonts w:hint="eastAsia"/>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7"/>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93"/>
        <w:gridCol w:w="1546"/>
        <w:gridCol w:w="6089"/>
      </w:tblGrid>
      <w:tr w14:paraId="51388B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blHeader/>
        </w:trPr>
        <w:tc>
          <w:tcPr>
            <w:tcW w:w="639" w:type="dxa"/>
            <w:tcBorders>
              <w:top w:val="double" w:color="auto" w:sz="4" w:space="0"/>
              <w:left w:val="double" w:color="auto" w:sz="4" w:space="0"/>
              <w:bottom w:val="single" w:color="auto" w:sz="4" w:space="0"/>
              <w:right w:val="single" w:color="auto" w:sz="4" w:space="0"/>
            </w:tcBorders>
            <w:vAlign w:val="center"/>
          </w:tcPr>
          <w:p w14:paraId="09171371">
            <w:pPr>
              <w:rPr>
                <w:color w:val="auto"/>
                <w:szCs w:val="21"/>
                <w:highlight w:val="none"/>
              </w:rPr>
            </w:pPr>
            <w:r>
              <w:rPr>
                <w:rFonts w:hint="eastAsia"/>
                <w:color w:val="auto"/>
                <w:szCs w:val="21"/>
                <w:highlight w:val="none"/>
              </w:rPr>
              <w:t>项目</w:t>
            </w:r>
          </w:p>
        </w:tc>
        <w:tc>
          <w:tcPr>
            <w:tcW w:w="893" w:type="dxa"/>
            <w:tcBorders>
              <w:top w:val="double" w:color="auto" w:sz="4" w:space="0"/>
              <w:left w:val="single" w:color="auto" w:sz="4" w:space="0"/>
              <w:bottom w:val="single" w:color="auto" w:sz="4" w:space="0"/>
              <w:right w:val="single" w:color="auto" w:sz="4" w:space="0"/>
            </w:tcBorders>
            <w:vAlign w:val="center"/>
          </w:tcPr>
          <w:p w14:paraId="61E0459C">
            <w:pPr>
              <w:rPr>
                <w:color w:val="auto"/>
                <w:szCs w:val="21"/>
                <w:highlight w:val="none"/>
              </w:rPr>
            </w:pPr>
            <w:r>
              <w:rPr>
                <w:rFonts w:hint="eastAsia"/>
                <w:color w:val="auto"/>
                <w:szCs w:val="21"/>
                <w:highlight w:val="none"/>
              </w:rPr>
              <w:t>条款号</w:t>
            </w:r>
          </w:p>
        </w:tc>
        <w:tc>
          <w:tcPr>
            <w:tcW w:w="1546" w:type="dxa"/>
            <w:tcBorders>
              <w:top w:val="double" w:color="auto" w:sz="4" w:space="0"/>
              <w:left w:val="single" w:color="auto" w:sz="4" w:space="0"/>
              <w:bottom w:val="single" w:color="auto" w:sz="4" w:space="0"/>
              <w:right w:val="single" w:color="auto" w:sz="4" w:space="0"/>
            </w:tcBorders>
            <w:vAlign w:val="center"/>
          </w:tcPr>
          <w:p w14:paraId="00E707E0">
            <w:pPr>
              <w:ind w:firstLine="458"/>
              <w:rPr>
                <w:color w:val="auto"/>
                <w:szCs w:val="21"/>
                <w:highlight w:val="none"/>
              </w:rPr>
            </w:pPr>
            <w:r>
              <w:rPr>
                <w:rFonts w:hint="eastAsia"/>
                <w:color w:val="auto"/>
                <w:szCs w:val="21"/>
                <w:highlight w:val="none"/>
              </w:rPr>
              <w:t>内容</w:t>
            </w:r>
          </w:p>
        </w:tc>
        <w:tc>
          <w:tcPr>
            <w:tcW w:w="6089" w:type="dxa"/>
            <w:tcBorders>
              <w:top w:val="double" w:color="auto" w:sz="4" w:space="0"/>
              <w:left w:val="single" w:color="auto" w:sz="4" w:space="0"/>
              <w:bottom w:val="single" w:color="auto" w:sz="4" w:space="0"/>
              <w:right w:val="double" w:color="auto" w:sz="4" w:space="0"/>
            </w:tcBorders>
            <w:vAlign w:val="center"/>
          </w:tcPr>
          <w:p w14:paraId="196FA652">
            <w:pPr>
              <w:pStyle w:val="15"/>
              <w:ind w:firstLine="458"/>
              <w:jc w:val="center"/>
              <w:rPr>
                <w:rFonts w:ascii="宋体" w:hAnsi="宋体"/>
                <w:color w:val="auto"/>
                <w:kern w:val="2"/>
                <w:sz w:val="21"/>
                <w:szCs w:val="21"/>
                <w:highlight w:val="none"/>
              </w:rPr>
            </w:pPr>
            <w:r>
              <w:rPr>
                <w:rFonts w:hint="eastAsia" w:ascii="宋体" w:hAnsi="宋体"/>
                <w:color w:val="auto"/>
                <w:kern w:val="2"/>
                <w:sz w:val="21"/>
                <w:szCs w:val="21"/>
                <w:highlight w:val="none"/>
              </w:rPr>
              <w:t>说明与要求</w:t>
            </w:r>
          </w:p>
        </w:tc>
      </w:tr>
      <w:tr w14:paraId="0D774E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639" w:type="dxa"/>
            <w:tcBorders>
              <w:top w:val="single" w:color="auto" w:sz="4" w:space="0"/>
              <w:left w:val="double" w:color="auto" w:sz="4" w:space="0"/>
              <w:bottom w:val="single" w:color="auto" w:sz="4" w:space="0"/>
              <w:right w:val="single" w:color="auto" w:sz="4" w:space="0"/>
            </w:tcBorders>
            <w:vAlign w:val="center"/>
          </w:tcPr>
          <w:p w14:paraId="62785F62">
            <w:pPr>
              <w:rPr>
                <w:color w:val="auto"/>
                <w:szCs w:val="21"/>
                <w:highlight w:val="none"/>
              </w:rPr>
            </w:pPr>
            <w:r>
              <w:rPr>
                <w:color w:val="auto"/>
                <w:szCs w:val="21"/>
                <w:highlight w:val="none"/>
              </w:rPr>
              <w:t>1</w:t>
            </w:r>
          </w:p>
        </w:tc>
        <w:tc>
          <w:tcPr>
            <w:tcW w:w="893" w:type="dxa"/>
            <w:tcBorders>
              <w:top w:val="single" w:color="auto" w:sz="4" w:space="0"/>
              <w:left w:val="single" w:color="auto" w:sz="4" w:space="0"/>
              <w:bottom w:val="single" w:color="auto" w:sz="4" w:space="0"/>
              <w:right w:val="single" w:color="auto" w:sz="4" w:space="0"/>
            </w:tcBorders>
            <w:vAlign w:val="center"/>
          </w:tcPr>
          <w:p w14:paraId="1DDA5C5D">
            <w:pPr>
              <w:rPr>
                <w:color w:val="auto"/>
                <w:szCs w:val="21"/>
                <w:highlight w:val="none"/>
              </w:rPr>
            </w:pPr>
            <w:r>
              <w:rPr>
                <w:color w:val="auto"/>
                <w:szCs w:val="21"/>
                <w:highlight w:val="none"/>
              </w:rPr>
              <w:t>1</w:t>
            </w:r>
          </w:p>
        </w:tc>
        <w:tc>
          <w:tcPr>
            <w:tcW w:w="1546" w:type="dxa"/>
            <w:tcBorders>
              <w:top w:val="single" w:color="auto" w:sz="4" w:space="0"/>
              <w:left w:val="single" w:color="auto" w:sz="4" w:space="0"/>
              <w:bottom w:val="single" w:color="auto" w:sz="4" w:space="0"/>
              <w:right w:val="single" w:color="auto" w:sz="4" w:space="0"/>
            </w:tcBorders>
            <w:vAlign w:val="center"/>
          </w:tcPr>
          <w:p w14:paraId="7B168A45">
            <w:pPr>
              <w:rPr>
                <w:color w:val="auto"/>
                <w:szCs w:val="21"/>
                <w:highlight w:val="none"/>
              </w:rPr>
            </w:pPr>
            <w:r>
              <w:rPr>
                <w:rFonts w:hint="eastAsia"/>
                <w:color w:val="auto"/>
                <w:szCs w:val="21"/>
                <w:highlight w:val="none"/>
              </w:rPr>
              <w:t>定义</w:t>
            </w:r>
          </w:p>
        </w:tc>
        <w:tc>
          <w:tcPr>
            <w:tcW w:w="6089" w:type="dxa"/>
            <w:tcBorders>
              <w:top w:val="single" w:color="auto" w:sz="4" w:space="0"/>
              <w:left w:val="single" w:color="auto" w:sz="4" w:space="0"/>
              <w:bottom w:val="single" w:color="auto" w:sz="4" w:space="0"/>
              <w:right w:val="double" w:color="auto" w:sz="4" w:space="0"/>
            </w:tcBorders>
            <w:vAlign w:val="center"/>
          </w:tcPr>
          <w:p w14:paraId="0A2FDC20">
            <w:pPr>
              <w:rPr>
                <w:rFonts w:hint="eastAsia" w:eastAsia="宋体"/>
                <w:color w:val="auto"/>
                <w:szCs w:val="21"/>
                <w:highlight w:val="none"/>
                <w:lang w:eastAsia="zh-CN"/>
              </w:rPr>
            </w:pPr>
            <w:r>
              <w:rPr>
                <w:rFonts w:hint="eastAsia"/>
                <w:color w:val="auto"/>
                <w:szCs w:val="21"/>
                <w:highlight w:val="none"/>
              </w:rPr>
              <w:t>招标人（即发包人）：</w:t>
            </w:r>
            <w:r>
              <w:rPr>
                <w:rFonts w:hint="eastAsia"/>
                <w:color w:val="auto"/>
                <w:szCs w:val="21"/>
                <w:highlight w:val="none"/>
                <w:lang w:eastAsia="zh-CN"/>
              </w:rPr>
              <w:t>横琴琴澳创新产业园开发建设有限公司</w:t>
            </w:r>
          </w:p>
          <w:p w14:paraId="7FD66DCE">
            <w:pPr>
              <w:rPr>
                <w:rFonts w:hint="default" w:eastAsia="宋体"/>
                <w:color w:val="auto"/>
                <w:szCs w:val="21"/>
                <w:highlight w:val="none"/>
                <w:lang w:val="en-US" w:eastAsia="zh-CN"/>
              </w:rPr>
            </w:pPr>
            <w:r>
              <w:rPr>
                <w:rFonts w:hint="eastAsia"/>
                <w:color w:val="auto"/>
                <w:szCs w:val="21"/>
                <w:highlight w:val="none"/>
              </w:rPr>
              <w:t>招标代理：</w:t>
            </w:r>
            <w:r>
              <w:rPr>
                <w:rFonts w:hint="eastAsia"/>
                <w:color w:val="auto"/>
                <w:szCs w:val="21"/>
                <w:highlight w:val="none"/>
                <w:lang w:val="en-US" w:eastAsia="zh-CN"/>
              </w:rPr>
              <w:t xml:space="preserve">广州金盛建工程项目管理咨询有限公司 </w:t>
            </w:r>
          </w:p>
          <w:p w14:paraId="5B0F8DE1">
            <w:pPr>
              <w:rPr>
                <w:rFonts w:hint="eastAsia" w:eastAsia="宋体"/>
                <w:color w:val="auto"/>
                <w:szCs w:val="21"/>
                <w:highlight w:val="none"/>
                <w:lang w:eastAsia="zh-CN"/>
              </w:rPr>
            </w:pPr>
            <w:r>
              <w:rPr>
                <w:rFonts w:hint="eastAsia"/>
                <w:color w:val="auto"/>
                <w:szCs w:val="21"/>
                <w:highlight w:val="none"/>
              </w:rPr>
              <w:t>设计单位：国药集团重庆医药设计院有限公司</w:t>
            </w:r>
            <w:r>
              <w:rPr>
                <w:rFonts w:hint="eastAsia"/>
                <w:color w:val="auto"/>
                <w:szCs w:val="21"/>
                <w:highlight w:val="none"/>
                <w:lang w:val="en-US" w:eastAsia="zh-CN"/>
              </w:rPr>
              <w:t xml:space="preserve"> </w:t>
            </w:r>
          </w:p>
          <w:p w14:paraId="68BD2757">
            <w:pPr>
              <w:rPr>
                <w:rFonts w:hint="eastAsia" w:eastAsia="宋体"/>
                <w:color w:val="auto"/>
                <w:szCs w:val="21"/>
                <w:highlight w:val="none"/>
                <w:lang w:eastAsia="zh-CN"/>
              </w:rPr>
            </w:pPr>
            <w:r>
              <w:rPr>
                <w:rFonts w:hint="eastAsia"/>
                <w:color w:val="auto"/>
                <w:szCs w:val="21"/>
                <w:highlight w:val="none"/>
              </w:rPr>
              <w:t>监理单位：中机国际工程设计研究院有限责任公司</w:t>
            </w:r>
            <w:r>
              <w:rPr>
                <w:rFonts w:hint="eastAsia"/>
                <w:color w:val="auto"/>
                <w:szCs w:val="21"/>
                <w:highlight w:val="none"/>
                <w:lang w:val="en-US" w:eastAsia="zh-CN"/>
              </w:rPr>
              <w:t xml:space="preserve"> </w:t>
            </w:r>
          </w:p>
          <w:p w14:paraId="7D704658">
            <w:pPr>
              <w:rPr>
                <w:rFonts w:hint="eastAsia" w:eastAsia="宋体"/>
                <w:color w:val="auto"/>
                <w:szCs w:val="21"/>
                <w:highlight w:val="none"/>
                <w:lang w:eastAsia="zh-CN"/>
              </w:rPr>
            </w:pPr>
            <w:r>
              <w:rPr>
                <w:rFonts w:hint="eastAsia"/>
                <w:color w:val="auto"/>
                <w:szCs w:val="21"/>
                <w:highlight w:val="none"/>
              </w:rPr>
              <w:t>检测机构：广东省建设工程质量安全检测总站有限公司</w:t>
            </w:r>
            <w:r>
              <w:rPr>
                <w:rFonts w:hint="eastAsia"/>
                <w:color w:val="auto"/>
                <w:szCs w:val="21"/>
                <w:highlight w:val="none"/>
                <w:lang w:val="en-US" w:eastAsia="zh-CN"/>
              </w:rPr>
              <w:t>/</w:t>
            </w:r>
            <w:r>
              <w:rPr>
                <w:rFonts w:hint="eastAsia"/>
                <w:color w:val="auto"/>
                <w:szCs w:val="21"/>
                <w:highlight w:val="none"/>
              </w:rPr>
              <w:t>珠海市建设工程质量监测站</w:t>
            </w:r>
            <w:r>
              <w:rPr>
                <w:rFonts w:hint="eastAsia"/>
                <w:color w:val="auto"/>
                <w:szCs w:val="21"/>
                <w:highlight w:val="none"/>
                <w:lang w:val="en-US" w:eastAsia="zh-CN"/>
              </w:rPr>
              <w:t xml:space="preserve"> </w:t>
            </w:r>
          </w:p>
          <w:p w14:paraId="5F46F0D5">
            <w:pPr>
              <w:rPr>
                <w:rFonts w:hint="default" w:eastAsia="宋体"/>
                <w:color w:val="auto"/>
                <w:szCs w:val="21"/>
                <w:highlight w:val="none"/>
                <w:lang w:val="en-US" w:eastAsia="zh-CN"/>
              </w:rPr>
            </w:pPr>
            <w:r>
              <w:rPr>
                <w:rFonts w:hint="eastAsia"/>
                <w:color w:val="auto"/>
                <w:szCs w:val="21"/>
                <w:highlight w:val="none"/>
              </w:rPr>
              <w:t>施工总承包单位：中国建筑第五工程局有限公司</w:t>
            </w:r>
            <w:r>
              <w:rPr>
                <w:rFonts w:hint="eastAsia"/>
                <w:color w:val="auto"/>
                <w:szCs w:val="21"/>
                <w:highlight w:val="none"/>
                <w:lang w:eastAsia="zh-CN"/>
              </w:rPr>
              <w:t>（</w:t>
            </w:r>
            <w:r>
              <w:rPr>
                <w:rFonts w:hint="eastAsia"/>
                <w:color w:val="auto"/>
                <w:szCs w:val="21"/>
                <w:highlight w:val="none"/>
                <w:lang w:val="en-US" w:eastAsia="zh-CN"/>
              </w:rPr>
              <w:t>一标段</w:t>
            </w:r>
            <w:r>
              <w:rPr>
                <w:rFonts w:hint="eastAsia"/>
                <w:color w:val="auto"/>
                <w:szCs w:val="21"/>
                <w:highlight w:val="none"/>
                <w:lang w:eastAsia="zh-CN"/>
              </w:rPr>
              <w:t>）</w:t>
            </w:r>
            <w:r>
              <w:rPr>
                <w:rFonts w:hint="eastAsia"/>
                <w:color w:val="auto"/>
                <w:szCs w:val="21"/>
                <w:highlight w:val="none"/>
                <w:lang w:val="en-US" w:eastAsia="zh-CN"/>
              </w:rPr>
              <w:t>/中建一局集团建设发展有限公司（二标段）</w:t>
            </w:r>
          </w:p>
        </w:tc>
      </w:tr>
      <w:tr w14:paraId="67C6AA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9" w:type="dxa"/>
            <w:tcBorders>
              <w:top w:val="single" w:color="auto" w:sz="4" w:space="0"/>
              <w:left w:val="double" w:color="auto" w:sz="4" w:space="0"/>
              <w:bottom w:val="single" w:color="auto" w:sz="4" w:space="0"/>
              <w:right w:val="single" w:color="auto" w:sz="4" w:space="0"/>
            </w:tcBorders>
            <w:vAlign w:val="center"/>
          </w:tcPr>
          <w:p w14:paraId="1756CA36">
            <w:pPr>
              <w:rPr>
                <w:color w:val="auto"/>
                <w:szCs w:val="21"/>
                <w:highlight w:val="none"/>
              </w:rPr>
            </w:pPr>
            <w:r>
              <w:rPr>
                <w:color w:val="auto"/>
                <w:szCs w:val="21"/>
                <w:highlight w:val="none"/>
              </w:rPr>
              <w:t>2</w:t>
            </w:r>
          </w:p>
        </w:tc>
        <w:tc>
          <w:tcPr>
            <w:tcW w:w="893" w:type="dxa"/>
            <w:tcBorders>
              <w:top w:val="single" w:color="auto" w:sz="4" w:space="0"/>
              <w:left w:val="single" w:color="auto" w:sz="4" w:space="0"/>
              <w:bottom w:val="single" w:color="auto" w:sz="4" w:space="0"/>
              <w:right w:val="single" w:color="auto" w:sz="4" w:space="0"/>
            </w:tcBorders>
            <w:vAlign w:val="center"/>
          </w:tcPr>
          <w:p w14:paraId="4983C644">
            <w:pPr>
              <w:rPr>
                <w:color w:val="auto"/>
                <w:szCs w:val="21"/>
                <w:highlight w:val="none"/>
              </w:rPr>
            </w:pPr>
            <w:r>
              <w:rPr>
                <w:color w:val="auto"/>
                <w:szCs w:val="21"/>
                <w:highlight w:val="none"/>
              </w:rPr>
              <w:t>2.2</w:t>
            </w:r>
          </w:p>
        </w:tc>
        <w:tc>
          <w:tcPr>
            <w:tcW w:w="1546" w:type="dxa"/>
            <w:tcBorders>
              <w:top w:val="single" w:color="auto" w:sz="4" w:space="0"/>
              <w:left w:val="single" w:color="auto" w:sz="4" w:space="0"/>
              <w:bottom w:val="single" w:color="auto" w:sz="4" w:space="0"/>
              <w:right w:val="single" w:color="auto" w:sz="4" w:space="0"/>
            </w:tcBorders>
            <w:vAlign w:val="center"/>
          </w:tcPr>
          <w:p w14:paraId="178B32B6">
            <w:pPr>
              <w:rPr>
                <w:color w:val="auto"/>
                <w:szCs w:val="21"/>
                <w:highlight w:val="none"/>
              </w:rPr>
            </w:pPr>
            <w:r>
              <w:rPr>
                <w:rFonts w:hint="eastAsia"/>
                <w:color w:val="auto"/>
                <w:szCs w:val="21"/>
                <w:highlight w:val="none"/>
              </w:rPr>
              <w:t>工程名称</w:t>
            </w:r>
          </w:p>
        </w:tc>
        <w:tc>
          <w:tcPr>
            <w:tcW w:w="6089" w:type="dxa"/>
            <w:tcBorders>
              <w:top w:val="single" w:color="auto" w:sz="4" w:space="0"/>
              <w:left w:val="single" w:color="auto" w:sz="4" w:space="0"/>
              <w:bottom w:val="single" w:color="auto" w:sz="4" w:space="0"/>
              <w:right w:val="double" w:color="auto" w:sz="4" w:space="0"/>
            </w:tcBorders>
            <w:vAlign w:val="center"/>
          </w:tcPr>
          <w:p w14:paraId="41A42161">
            <w:pPr>
              <w:rPr>
                <w:color w:val="auto"/>
                <w:szCs w:val="21"/>
                <w:highlight w:val="none"/>
                <w:u w:val="single"/>
              </w:rPr>
            </w:pPr>
            <w:r>
              <w:rPr>
                <w:rFonts w:hint="eastAsia"/>
                <w:color w:val="auto"/>
                <w:szCs w:val="21"/>
                <w:highlight w:val="none"/>
                <w:u w:val="single"/>
                <w:lang w:eastAsia="zh-CN"/>
              </w:rPr>
              <w:t>琴澳创新产业园一期主体工程泛光照明工程施工专业承包</w:t>
            </w:r>
          </w:p>
        </w:tc>
      </w:tr>
      <w:tr w14:paraId="6DD87E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9" w:type="dxa"/>
            <w:tcBorders>
              <w:top w:val="single" w:color="auto" w:sz="4" w:space="0"/>
              <w:left w:val="double" w:color="auto" w:sz="4" w:space="0"/>
              <w:bottom w:val="single" w:color="auto" w:sz="4" w:space="0"/>
              <w:right w:val="single" w:color="auto" w:sz="4" w:space="0"/>
            </w:tcBorders>
            <w:vAlign w:val="center"/>
          </w:tcPr>
          <w:p w14:paraId="59E00F4A">
            <w:pPr>
              <w:rPr>
                <w:color w:val="auto"/>
                <w:szCs w:val="21"/>
                <w:highlight w:val="none"/>
              </w:rPr>
            </w:pPr>
            <w:r>
              <w:rPr>
                <w:color w:val="auto"/>
                <w:szCs w:val="21"/>
                <w:highlight w:val="none"/>
              </w:rPr>
              <w:t>3</w:t>
            </w:r>
          </w:p>
        </w:tc>
        <w:tc>
          <w:tcPr>
            <w:tcW w:w="893" w:type="dxa"/>
            <w:tcBorders>
              <w:top w:val="single" w:color="auto" w:sz="4" w:space="0"/>
              <w:left w:val="single" w:color="auto" w:sz="4" w:space="0"/>
              <w:bottom w:val="single" w:color="auto" w:sz="4" w:space="0"/>
              <w:right w:val="single" w:color="auto" w:sz="4" w:space="0"/>
            </w:tcBorders>
            <w:vAlign w:val="center"/>
          </w:tcPr>
          <w:p w14:paraId="3E5036F1">
            <w:pPr>
              <w:rPr>
                <w:color w:val="auto"/>
                <w:szCs w:val="21"/>
                <w:highlight w:val="none"/>
              </w:rPr>
            </w:pPr>
            <w:r>
              <w:rPr>
                <w:color w:val="auto"/>
                <w:szCs w:val="21"/>
                <w:highlight w:val="none"/>
              </w:rPr>
              <w:t>2.2</w:t>
            </w:r>
          </w:p>
        </w:tc>
        <w:tc>
          <w:tcPr>
            <w:tcW w:w="1546" w:type="dxa"/>
            <w:tcBorders>
              <w:top w:val="single" w:color="auto" w:sz="4" w:space="0"/>
              <w:left w:val="single" w:color="auto" w:sz="4" w:space="0"/>
              <w:bottom w:val="single" w:color="auto" w:sz="4" w:space="0"/>
              <w:right w:val="single" w:color="auto" w:sz="4" w:space="0"/>
            </w:tcBorders>
            <w:vAlign w:val="center"/>
          </w:tcPr>
          <w:p w14:paraId="0FBD416F">
            <w:pPr>
              <w:rPr>
                <w:color w:val="auto"/>
                <w:szCs w:val="21"/>
                <w:highlight w:val="none"/>
              </w:rPr>
            </w:pPr>
            <w:r>
              <w:rPr>
                <w:rFonts w:hint="eastAsia"/>
                <w:color w:val="auto"/>
                <w:szCs w:val="21"/>
                <w:highlight w:val="none"/>
              </w:rPr>
              <w:t>建设地点</w:t>
            </w:r>
          </w:p>
        </w:tc>
        <w:tc>
          <w:tcPr>
            <w:tcW w:w="6089" w:type="dxa"/>
            <w:tcBorders>
              <w:top w:val="single" w:color="auto" w:sz="4" w:space="0"/>
              <w:left w:val="single" w:color="auto" w:sz="4" w:space="0"/>
              <w:bottom w:val="single" w:color="auto" w:sz="4" w:space="0"/>
              <w:right w:val="double" w:color="auto" w:sz="4" w:space="0"/>
            </w:tcBorders>
            <w:vAlign w:val="center"/>
          </w:tcPr>
          <w:p w14:paraId="5FEBD7B9">
            <w:pPr>
              <w:rPr>
                <w:color w:val="auto"/>
                <w:szCs w:val="21"/>
                <w:highlight w:val="none"/>
                <w:u w:val="single"/>
              </w:rPr>
            </w:pPr>
            <w:r>
              <w:rPr>
                <w:rFonts w:hint="eastAsia"/>
                <w:color w:val="auto"/>
                <w:szCs w:val="21"/>
                <w:highlight w:val="none"/>
                <w:u w:val="single"/>
              </w:rPr>
              <w:t>详见本工程招标公告</w:t>
            </w:r>
          </w:p>
        </w:tc>
      </w:tr>
      <w:tr w14:paraId="1D5546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639" w:type="dxa"/>
            <w:tcBorders>
              <w:top w:val="single" w:color="auto" w:sz="4" w:space="0"/>
              <w:left w:val="double" w:color="auto" w:sz="4" w:space="0"/>
              <w:bottom w:val="single" w:color="auto" w:sz="4" w:space="0"/>
              <w:right w:val="single" w:color="auto" w:sz="4" w:space="0"/>
            </w:tcBorders>
            <w:vAlign w:val="center"/>
          </w:tcPr>
          <w:p w14:paraId="44227356">
            <w:pPr>
              <w:rPr>
                <w:color w:val="auto"/>
                <w:szCs w:val="21"/>
                <w:highlight w:val="none"/>
              </w:rPr>
            </w:pPr>
            <w:r>
              <w:rPr>
                <w:color w:val="auto"/>
                <w:szCs w:val="21"/>
                <w:highlight w:val="none"/>
              </w:rPr>
              <w:t>4</w:t>
            </w:r>
          </w:p>
        </w:tc>
        <w:tc>
          <w:tcPr>
            <w:tcW w:w="893" w:type="dxa"/>
            <w:tcBorders>
              <w:top w:val="single" w:color="auto" w:sz="4" w:space="0"/>
              <w:left w:val="single" w:color="auto" w:sz="4" w:space="0"/>
              <w:bottom w:val="single" w:color="auto" w:sz="4" w:space="0"/>
              <w:right w:val="single" w:color="auto" w:sz="4" w:space="0"/>
            </w:tcBorders>
            <w:vAlign w:val="center"/>
          </w:tcPr>
          <w:p w14:paraId="1DF727AE">
            <w:pPr>
              <w:rPr>
                <w:color w:val="auto"/>
                <w:szCs w:val="21"/>
                <w:highlight w:val="none"/>
              </w:rPr>
            </w:pPr>
            <w:r>
              <w:rPr>
                <w:color w:val="auto"/>
                <w:szCs w:val="21"/>
                <w:highlight w:val="none"/>
              </w:rPr>
              <w:t>2.2</w:t>
            </w:r>
          </w:p>
        </w:tc>
        <w:tc>
          <w:tcPr>
            <w:tcW w:w="1546" w:type="dxa"/>
            <w:tcBorders>
              <w:top w:val="single" w:color="auto" w:sz="4" w:space="0"/>
              <w:left w:val="single" w:color="auto" w:sz="4" w:space="0"/>
              <w:bottom w:val="single" w:color="auto" w:sz="4" w:space="0"/>
              <w:right w:val="single" w:color="auto" w:sz="4" w:space="0"/>
            </w:tcBorders>
            <w:vAlign w:val="center"/>
          </w:tcPr>
          <w:p w14:paraId="6C5DFD66">
            <w:pPr>
              <w:rPr>
                <w:color w:val="auto"/>
                <w:szCs w:val="21"/>
                <w:highlight w:val="none"/>
              </w:rPr>
            </w:pPr>
            <w:r>
              <w:rPr>
                <w:rFonts w:hint="eastAsia"/>
                <w:color w:val="auto"/>
                <w:szCs w:val="21"/>
                <w:highlight w:val="none"/>
              </w:rPr>
              <w:t>建设规模</w:t>
            </w:r>
          </w:p>
        </w:tc>
        <w:tc>
          <w:tcPr>
            <w:tcW w:w="6089" w:type="dxa"/>
            <w:tcBorders>
              <w:top w:val="single" w:color="auto" w:sz="4" w:space="0"/>
              <w:left w:val="single" w:color="auto" w:sz="4" w:space="0"/>
              <w:bottom w:val="single" w:color="auto" w:sz="4" w:space="0"/>
              <w:right w:val="double" w:color="auto" w:sz="4" w:space="0"/>
            </w:tcBorders>
            <w:vAlign w:val="center"/>
          </w:tcPr>
          <w:p w14:paraId="490E681C">
            <w:pPr>
              <w:rPr>
                <w:color w:val="auto"/>
                <w:szCs w:val="21"/>
                <w:highlight w:val="none"/>
                <w:u w:val="single"/>
              </w:rPr>
            </w:pPr>
            <w:r>
              <w:rPr>
                <w:rFonts w:hint="eastAsia"/>
                <w:color w:val="auto"/>
                <w:szCs w:val="21"/>
                <w:highlight w:val="none"/>
                <w:u w:val="single"/>
              </w:rPr>
              <w:t>详见本工程招标公告</w:t>
            </w:r>
          </w:p>
        </w:tc>
      </w:tr>
      <w:tr w14:paraId="74D43A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639" w:type="dxa"/>
            <w:tcBorders>
              <w:top w:val="single" w:color="auto" w:sz="4" w:space="0"/>
              <w:left w:val="double" w:color="auto" w:sz="4" w:space="0"/>
              <w:bottom w:val="single" w:color="auto" w:sz="4" w:space="0"/>
              <w:right w:val="single" w:color="auto" w:sz="4" w:space="0"/>
            </w:tcBorders>
            <w:vAlign w:val="center"/>
          </w:tcPr>
          <w:p w14:paraId="40BAD2CB">
            <w:pPr>
              <w:rPr>
                <w:color w:val="auto"/>
                <w:szCs w:val="21"/>
                <w:highlight w:val="none"/>
              </w:rPr>
            </w:pPr>
            <w:r>
              <w:rPr>
                <w:color w:val="auto"/>
                <w:szCs w:val="21"/>
                <w:highlight w:val="none"/>
              </w:rPr>
              <w:t>5</w:t>
            </w:r>
          </w:p>
        </w:tc>
        <w:tc>
          <w:tcPr>
            <w:tcW w:w="893" w:type="dxa"/>
            <w:tcBorders>
              <w:top w:val="single" w:color="auto" w:sz="4" w:space="0"/>
              <w:left w:val="single" w:color="auto" w:sz="4" w:space="0"/>
              <w:bottom w:val="single" w:color="auto" w:sz="4" w:space="0"/>
              <w:right w:val="single" w:color="auto" w:sz="4" w:space="0"/>
            </w:tcBorders>
            <w:vAlign w:val="center"/>
          </w:tcPr>
          <w:p w14:paraId="166F1E07">
            <w:pPr>
              <w:rPr>
                <w:color w:val="auto"/>
                <w:szCs w:val="21"/>
                <w:highlight w:val="none"/>
              </w:rPr>
            </w:pPr>
            <w:r>
              <w:rPr>
                <w:color w:val="auto"/>
                <w:szCs w:val="21"/>
                <w:highlight w:val="none"/>
              </w:rPr>
              <w:t>2.2</w:t>
            </w:r>
          </w:p>
        </w:tc>
        <w:tc>
          <w:tcPr>
            <w:tcW w:w="1546" w:type="dxa"/>
            <w:tcBorders>
              <w:top w:val="single" w:color="auto" w:sz="4" w:space="0"/>
              <w:left w:val="single" w:color="auto" w:sz="4" w:space="0"/>
              <w:bottom w:val="single" w:color="auto" w:sz="4" w:space="0"/>
              <w:right w:val="single" w:color="auto" w:sz="4" w:space="0"/>
            </w:tcBorders>
            <w:vAlign w:val="center"/>
          </w:tcPr>
          <w:p w14:paraId="16C628EE">
            <w:pPr>
              <w:rPr>
                <w:color w:val="auto"/>
                <w:szCs w:val="21"/>
                <w:highlight w:val="none"/>
              </w:rPr>
            </w:pPr>
            <w:r>
              <w:rPr>
                <w:rFonts w:hint="eastAsia"/>
                <w:color w:val="auto"/>
                <w:szCs w:val="21"/>
                <w:highlight w:val="none"/>
              </w:rPr>
              <w:t>承包方式</w:t>
            </w:r>
          </w:p>
        </w:tc>
        <w:tc>
          <w:tcPr>
            <w:tcW w:w="6089" w:type="dxa"/>
            <w:tcBorders>
              <w:top w:val="single" w:color="auto" w:sz="4" w:space="0"/>
              <w:left w:val="single" w:color="auto" w:sz="4" w:space="0"/>
              <w:bottom w:val="single" w:color="auto" w:sz="4" w:space="0"/>
              <w:right w:val="double" w:color="auto" w:sz="4" w:space="0"/>
            </w:tcBorders>
            <w:vAlign w:val="center"/>
          </w:tcPr>
          <w:p w14:paraId="5A099054">
            <w:pPr>
              <w:ind w:firstLine="420" w:firstLineChars="200"/>
              <w:rPr>
                <w:rFonts w:hint="eastAsia" w:cs="宋体"/>
                <w:color w:val="auto"/>
                <w:szCs w:val="21"/>
                <w:highlight w:val="none"/>
                <w:u w:val="single"/>
              </w:rPr>
            </w:pPr>
            <w:r>
              <w:rPr>
                <w:rFonts w:hint="eastAsia" w:ascii="宋体" w:hAnsi="宋体"/>
                <w:color w:val="auto"/>
                <w:szCs w:val="21"/>
                <w:highlight w:val="none"/>
              </w:rPr>
              <w:t>本项目为固定总价包干。</w:t>
            </w:r>
            <w:r>
              <w:rPr>
                <w:rFonts w:hint="eastAsia" w:cs="宋体"/>
                <w:color w:val="auto"/>
                <w:szCs w:val="21"/>
                <w:highlight w:val="none"/>
                <w:u w:val="single"/>
              </w:rPr>
              <w:t>合同总价应包括按招标文件规定完成合同图纸及合同规范要求的合同工程所需的全部费用。包括但不限于包工、包料、包质量、包安全生产、包文明施工、包工期、包利润、包管理费、包保险费用、包税费、包承包范围内工程竣工验收及竣工验收备案通过、包移交、包结算、包保修和资料整理、包施工管理和现场组织、协调及配合等。注：发包人有权对本招标工程范围、工程内容、工程量进行局部适当调整，调整后工程量、综合单价依据合同约定予以调整，措施项目清单、其他项目清单中以“项”为计量单位的清单项目按投标报价合同固定总价包干，设计变更及签证内容的相关措施费已包含在合同价款中，结算时不予调整，承包人不得有任何异议，并不得以此提出索赔或费用补偿要求。</w:t>
            </w:r>
          </w:p>
          <w:p w14:paraId="63480E04">
            <w:pPr>
              <w:ind w:firstLine="420" w:firstLineChars="200"/>
              <w:rPr>
                <w:rFonts w:hint="eastAsia" w:cs="宋体"/>
                <w:color w:val="auto"/>
                <w:szCs w:val="21"/>
                <w:highlight w:val="none"/>
                <w:u w:val="single"/>
              </w:rPr>
            </w:pPr>
            <w:r>
              <w:rPr>
                <w:rFonts w:hint="eastAsia" w:cs="宋体"/>
                <w:color w:val="auto"/>
                <w:szCs w:val="21"/>
                <w:highlight w:val="none"/>
                <w:u w:val="single"/>
              </w:rPr>
              <w:t>承包人不得以清单缺项、漏项以及工程量偏差等问题提出索赔或费用补偿要求。除按本合同相关条款的约定调整合同价款外，发包人不再另行支付其他任何赔偿或补偿费用。</w:t>
            </w:r>
          </w:p>
        </w:tc>
      </w:tr>
      <w:tr w14:paraId="506817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639" w:type="dxa"/>
            <w:tcBorders>
              <w:top w:val="single" w:color="auto" w:sz="4" w:space="0"/>
              <w:left w:val="double" w:color="auto" w:sz="4" w:space="0"/>
              <w:bottom w:val="single" w:color="auto" w:sz="4" w:space="0"/>
              <w:right w:val="single" w:color="auto" w:sz="4" w:space="0"/>
            </w:tcBorders>
            <w:vAlign w:val="center"/>
          </w:tcPr>
          <w:p w14:paraId="36A87B9F">
            <w:pPr>
              <w:rPr>
                <w:color w:val="auto"/>
                <w:szCs w:val="21"/>
                <w:highlight w:val="none"/>
              </w:rPr>
            </w:pPr>
            <w:r>
              <w:rPr>
                <w:color w:val="auto"/>
                <w:szCs w:val="21"/>
                <w:highlight w:val="none"/>
              </w:rPr>
              <w:t>6</w:t>
            </w:r>
          </w:p>
        </w:tc>
        <w:tc>
          <w:tcPr>
            <w:tcW w:w="893" w:type="dxa"/>
            <w:tcBorders>
              <w:top w:val="single" w:color="auto" w:sz="4" w:space="0"/>
              <w:left w:val="single" w:color="auto" w:sz="4" w:space="0"/>
              <w:bottom w:val="single" w:color="auto" w:sz="4" w:space="0"/>
              <w:right w:val="single" w:color="auto" w:sz="4" w:space="0"/>
            </w:tcBorders>
            <w:vAlign w:val="center"/>
          </w:tcPr>
          <w:p w14:paraId="0B66EA00">
            <w:pPr>
              <w:rPr>
                <w:color w:val="auto"/>
                <w:szCs w:val="21"/>
                <w:highlight w:val="none"/>
              </w:rPr>
            </w:pPr>
            <w:r>
              <w:rPr>
                <w:color w:val="auto"/>
                <w:szCs w:val="21"/>
                <w:highlight w:val="none"/>
              </w:rPr>
              <w:t>2.2</w:t>
            </w:r>
          </w:p>
        </w:tc>
        <w:tc>
          <w:tcPr>
            <w:tcW w:w="1546" w:type="dxa"/>
            <w:tcBorders>
              <w:top w:val="single" w:color="auto" w:sz="4" w:space="0"/>
              <w:left w:val="single" w:color="auto" w:sz="4" w:space="0"/>
              <w:bottom w:val="single" w:color="auto" w:sz="4" w:space="0"/>
              <w:right w:val="single" w:color="auto" w:sz="4" w:space="0"/>
            </w:tcBorders>
            <w:vAlign w:val="center"/>
          </w:tcPr>
          <w:p w14:paraId="7273A487">
            <w:pPr>
              <w:rPr>
                <w:color w:val="auto"/>
                <w:szCs w:val="21"/>
                <w:highlight w:val="none"/>
              </w:rPr>
            </w:pPr>
            <w:r>
              <w:rPr>
                <w:rFonts w:hint="eastAsia"/>
                <w:color w:val="auto"/>
                <w:szCs w:val="21"/>
                <w:highlight w:val="none"/>
              </w:rPr>
              <w:t>质量标准</w:t>
            </w:r>
          </w:p>
        </w:tc>
        <w:tc>
          <w:tcPr>
            <w:tcW w:w="6089" w:type="dxa"/>
            <w:tcBorders>
              <w:top w:val="single" w:color="auto" w:sz="4" w:space="0"/>
              <w:left w:val="single" w:color="auto" w:sz="4" w:space="0"/>
              <w:bottom w:val="single" w:color="auto" w:sz="4" w:space="0"/>
              <w:right w:val="double" w:color="auto" w:sz="4" w:space="0"/>
            </w:tcBorders>
            <w:vAlign w:val="center"/>
          </w:tcPr>
          <w:p w14:paraId="09479214">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color w:val="auto"/>
                <w:szCs w:val="21"/>
                <w:highlight w:val="none"/>
              </w:rPr>
            </w:pPr>
            <w:r>
              <w:rPr>
                <w:rFonts w:hint="eastAsia" w:cs="宋体"/>
                <w:color w:val="auto"/>
                <w:highlight w:val="none"/>
                <w:u w:val="single"/>
              </w:rPr>
              <w:t>质量一次性验收合格。执行国家、广东省、珠海市、横琴粤澳深度合作区现行工程质量验收评审标准以及发包人制定的企业标准及工艺要求，各标准不一致的，执行最高标准。本工程须配合主体单位确保获得广东省建筑业新技术应用示范工程或广东省建筑业绿色施工示范工程、广东省建设工程优质结构奖；标段二A区配合主体单位获得广东省建设工程金匠奖及国家优质工程奖。</w:t>
            </w:r>
          </w:p>
        </w:tc>
      </w:tr>
      <w:tr w14:paraId="375F6C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501" w:hRule="atLeast"/>
        </w:trPr>
        <w:tc>
          <w:tcPr>
            <w:tcW w:w="639" w:type="dxa"/>
            <w:tcBorders>
              <w:top w:val="single" w:color="auto" w:sz="4" w:space="0"/>
              <w:left w:val="double" w:color="auto" w:sz="4" w:space="0"/>
              <w:bottom w:val="single" w:color="auto" w:sz="4" w:space="0"/>
              <w:right w:val="single" w:color="auto" w:sz="4" w:space="0"/>
            </w:tcBorders>
            <w:vAlign w:val="center"/>
          </w:tcPr>
          <w:p w14:paraId="27462483">
            <w:pPr>
              <w:rPr>
                <w:color w:val="auto"/>
                <w:szCs w:val="21"/>
                <w:highlight w:val="none"/>
              </w:rPr>
            </w:pPr>
            <w:r>
              <w:rPr>
                <w:color w:val="auto"/>
                <w:szCs w:val="21"/>
                <w:highlight w:val="none"/>
              </w:rPr>
              <w:t>7</w:t>
            </w:r>
          </w:p>
        </w:tc>
        <w:tc>
          <w:tcPr>
            <w:tcW w:w="893" w:type="dxa"/>
            <w:tcBorders>
              <w:top w:val="single" w:color="auto" w:sz="4" w:space="0"/>
              <w:left w:val="single" w:color="auto" w:sz="4" w:space="0"/>
              <w:bottom w:val="single" w:color="auto" w:sz="4" w:space="0"/>
              <w:right w:val="single" w:color="auto" w:sz="4" w:space="0"/>
            </w:tcBorders>
            <w:vAlign w:val="center"/>
          </w:tcPr>
          <w:p w14:paraId="43F351D5">
            <w:pPr>
              <w:rPr>
                <w:color w:val="auto"/>
                <w:szCs w:val="21"/>
                <w:highlight w:val="none"/>
              </w:rPr>
            </w:pPr>
            <w:r>
              <w:rPr>
                <w:color w:val="auto"/>
                <w:szCs w:val="21"/>
                <w:highlight w:val="none"/>
              </w:rPr>
              <w:t>2.2</w:t>
            </w:r>
          </w:p>
        </w:tc>
        <w:tc>
          <w:tcPr>
            <w:tcW w:w="1546" w:type="dxa"/>
            <w:tcBorders>
              <w:top w:val="single" w:color="auto" w:sz="4" w:space="0"/>
              <w:left w:val="single" w:color="auto" w:sz="4" w:space="0"/>
              <w:bottom w:val="single" w:color="auto" w:sz="4" w:space="0"/>
              <w:right w:val="single" w:color="auto" w:sz="4" w:space="0"/>
            </w:tcBorders>
            <w:vAlign w:val="center"/>
          </w:tcPr>
          <w:p w14:paraId="01CC5235">
            <w:pPr>
              <w:rPr>
                <w:color w:val="auto"/>
                <w:szCs w:val="21"/>
                <w:highlight w:val="none"/>
              </w:rPr>
            </w:pPr>
            <w:r>
              <w:rPr>
                <w:rFonts w:hint="eastAsia"/>
                <w:color w:val="auto"/>
                <w:szCs w:val="21"/>
                <w:highlight w:val="none"/>
              </w:rPr>
              <w:t>招标范围</w:t>
            </w:r>
          </w:p>
        </w:tc>
        <w:tc>
          <w:tcPr>
            <w:tcW w:w="6089" w:type="dxa"/>
            <w:tcBorders>
              <w:top w:val="single" w:color="auto" w:sz="4" w:space="0"/>
              <w:left w:val="single" w:color="auto" w:sz="4" w:space="0"/>
              <w:bottom w:val="single" w:color="auto" w:sz="4" w:space="0"/>
              <w:right w:val="double" w:color="auto" w:sz="4" w:space="0"/>
            </w:tcBorders>
            <w:vAlign w:val="center"/>
          </w:tcPr>
          <w:p w14:paraId="62289FA9">
            <w:pPr>
              <w:spacing w:line="380" w:lineRule="exact"/>
              <w:rPr>
                <w:rFonts w:hint="eastAsia" w:ascii="宋体" w:hAnsi="宋体" w:cs="宋体"/>
                <w:color w:val="auto"/>
                <w:szCs w:val="21"/>
                <w:highlight w:val="none"/>
                <w:lang w:val="zh-CN"/>
              </w:rPr>
            </w:pPr>
            <w:r>
              <w:rPr>
                <w:rFonts w:hint="eastAsia"/>
                <w:color w:val="auto"/>
                <w:szCs w:val="21"/>
                <w:highlight w:val="none"/>
                <w:u w:val="single"/>
              </w:rPr>
              <w:t>详见本工程招标公告。</w:t>
            </w:r>
            <w:r>
              <w:rPr>
                <w:rFonts w:hint="eastAsia" w:ascii="宋体" w:hAnsi="宋体" w:cs="宋体"/>
                <w:color w:val="auto"/>
                <w:szCs w:val="21"/>
                <w:highlight w:val="none"/>
                <w:lang w:val="zh-CN"/>
              </w:rPr>
              <w:t>具体以本项目的招标文件、技术条件（工程建设标准）、招标图纸、工程量清单及有关资料说明为准。具体工作界面以招标图纸和工程量清单为准。</w:t>
            </w:r>
          </w:p>
          <w:p w14:paraId="62056830">
            <w:pPr>
              <w:rPr>
                <w:color w:val="auto"/>
                <w:szCs w:val="21"/>
                <w:highlight w:val="none"/>
                <w:u w:val="single"/>
              </w:rPr>
            </w:pPr>
            <w:r>
              <w:rPr>
                <w:rFonts w:hint="eastAsia" w:ascii="宋体" w:hAnsi="宋体" w:cs="宋体"/>
                <w:color w:val="auto"/>
                <w:szCs w:val="21"/>
                <w:highlight w:val="none"/>
                <w:lang w:val="zh-CN"/>
              </w:rPr>
              <w:t>注：（1）招标人在实施过程中根据本工程实际情况有权增减部分内容，承包人不能拒绝执行。（2）招标文件的解释权归招标人所有，招标人有权在法律允许范围内调整本次招标活动的细节及保留最终解释权。</w:t>
            </w:r>
          </w:p>
        </w:tc>
      </w:tr>
      <w:tr w14:paraId="1775F4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57" w:hRule="atLeast"/>
        </w:trPr>
        <w:tc>
          <w:tcPr>
            <w:tcW w:w="639" w:type="dxa"/>
            <w:tcBorders>
              <w:top w:val="single" w:color="auto" w:sz="4" w:space="0"/>
              <w:left w:val="double" w:color="auto" w:sz="4" w:space="0"/>
              <w:bottom w:val="single" w:color="auto" w:sz="4" w:space="0"/>
              <w:right w:val="single" w:color="auto" w:sz="4" w:space="0"/>
            </w:tcBorders>
            <w:vAlign w:val="center"/>
          </w:tcPr>
          <w:p w14:paraId="249644F6">
            <w:pPr>
              <w:rPr>
                <w:color w:val="auto"/>
                <w:szCs w:val="21"/>
                <w:highlight w:val="none"/>
              </w:rPr>
            </w:pPr>
            <w:r>
              <w:rPr>
                <w:color w:val="auto"/>
                <w:szCs w:val="21"/>
                <w:highlight w:val="none"/>
              </w:rPr>
              <w:t>8</w:t>
            </w:r>
          </w:p>
        </w:tc>
        <w:tc>
          <w:tcPr>
            <w:tcW w:w="893" w:type="dxa"/>
            <w:tcBorders>
              <w:top w:val="single" w:color="auto" w:sz="4" w:space="0"/>
              <w:left w:val="single" w:color="auto" w:sz="4" w:space="0"/>
              <w:bottom w:val="single" w:color="auto" w:sz="4" w:space="0"/>
              <w:right w:val="single" w:color="auto" w:sz="4" w:space="0"/>
            </w:tcBorders>
            <w:vAlign w:val="center"/>
          </w:tcPr>
          <w:p w14:paraId="1F0A7418">
            <w:pPr>
              <w:rPr>
                <w:color w:val="auto"/>
                <w:szCs w:val="21"/>
                <w:highlight w:val="none"/>
              </w:rPr>
            </w:pPr>
            <w:r>
              <w:rPr>
                <w:color w:val="auto"/>
                <w:szCs w:val="21"/>
                <w:highlight w:val="none"/>
              </w:rPr>
              <w:t>2.2</w:t>
            </w:r>
          </w:p>
        </w:tc>
        <w:tc>
          <w:tcPr>
            <w:tcW w:w="1546" w:type="dxa"/>
            <w:tcBorders>
              <w:top w:val="single" w:color="auto" w:sz="4" w:space="0"/>
              <w:left w:val="single" w:color="auto" w:sz="4" w:space="0"/>
              <w:bottom w:val="single" w:color="auto" w:sz="4" w:space="0"/>
              <w:right w:val="single" w:color="auto" w:sz="4" w:space="0"/>
            </w:tcBorders>
            <w:vAlign w:val="center"/>
          </w:tcPr>
          <w:p w14:paraId="71F31FC6">
            <w:pPr>
              <w:rPr>
                <w:color w:val="auto"/>
                <w:szCs w:val="21"/>
                <w:highlight w:val="none"/>
              </w:rPr>
            </w:pPr>
            <w:r>
              <w:rPr>
                <w:rFonts w:hint="eastAsia"/>
                <w:color w:val="auto"/>
                <w:szCs w:val="21"/>
                <w:highlight w:val="none"/>
              </w:rPr>
              <w:t>工期要求</w:t>
            </w:r>
          </w:p>
        </w:tc>
        <w:tc>
          <w:tcPr>
            <w:tcW w:w="6089" w:type="dxa"/>
            <w:tcBorders>
              <w:top w:val="single" w:color="auto" w:sz="4" w:space="0"/>
              <w:left w:val="single" w:color="auto" w:sz="4" w:space="0"/>
              <w:bottom w:val="single" w:color="auto" w:sz="4" w:space="0"/>
              <w:right w:val="double" w:color="auto" w:sz="4" w:space="0"/>
            </w:tcBorders>
            <w:vAlign w:val="center"/>
          </w:tcPr>
          <w:p w14:paraId="48FEB78B">
            <w:pPr>
              <w:rPr>
                <w:rFonts w:hint="eastAsia" w:cs="宋体"/>
                <w:color w:val="auto"/>
                <w:szCs w:val="21"/>
                <w:highlight w:val="none"/>
                <w:u w:val="single"/>
              </w:rPr>
            </w:pPr>
            <w:r>
              <w:rPr>
                <w:rFonts w:hint="eastAsia" w:cs="宋体"/>
                <w:color w:val="auto"/>
                <w:szCs w:val="21"/>
                <w:highlight w:val="none"/>
                <w:u w:val="single"/>
              </w:rPr>
              <w:t>计划开工日期：</w:t>
            </w:r>
            <w:r>
              <w:rPr>
                <w:rFonts w:hint="eastAsia" w:cs="宋体"/>
                <w:color w:val="auto"/>
                <w:szCs w:val="21"/>
                <w:highlight w:val="none"/>
                <w:u w:val="single"/>
                <w:lang w:val="en-US" w:eastAsia="zh-CN"/>
              </w:rPr>
              <w:t>2026</w:t>
            </w:r>
            <w:r>
              <w:rPr>
                <w:rFonts w:hint="eastAsia" w:cs="宋体"/>
                <w:color w:val="auto"/>
                <w:szCs w:val="21"/>
                <w:highlight w:val="none"/>
                <w:u w:val="single"/>
              </w:rPr>
              <w:t>年</w:t>
            </w:r>
            <w:r>
              <w:rPr>
                <w:rFonts w:hint="eastAsia" w:cs="宋体"/>
                <w:color w:val="auto"/>
                <w:szCs w:val="21"/>
                <w:highlight w:val="none"/>
                <w:u w:val="single"/>
                <w:lang w:val="en-US" w:eastAsia="zh-CN"/>
              </w:rPr>
              <w:t>1</w:t>
            </w:r>
            <w:r>
              <w:rPr>
                <w:rFonts w:hint="eastAsia" w:cs="宋体"/>
                <w:color w:val="auto"/>
                <w:szCs w:val="21"/>
                <w:highlight w:val="none"/>
                <w:u w:val="single"/>
              </w:rPr>
              <w:t>月</w:t>
            </w:r>
            <w:r>
              <w:rPr>
                <w:rFonts w:hint="eastAsia" w:cs="宋体"/>
                <w:color w:val="auto"/>
                <w:szCs w:val="21"/>
                <w:highlight w:val="none"/>
                <w:u w:val="single"/>
                <w:lang w:val="en-US" w:eastAsia="zh-CN"/>
              </w:rPr>
              <w:t>10</w:t>
            </w:r>
            <w:r>
              <w:rPr>
                <w:rFonts w:hint="eastAsia" w:cs="宋体"/>
                <w:color w:val="auto"/>
                <w:szCs w:val="21"/>
                <w:highlight w:val="none"/>
                <w:u w:val="single"/>
              </w:rPr>
              <w:t>日（具体开工时间以开工令为准）。</w:t>
            </w:r>
          </w:p>
          <w:p w14:paraId="3474B047">
            <w:pPr>
              <w:rPr>
                <w:rFonts w:hint="eastAsia" w:eastAsia="宋体" w:cs="宋体"/>
                <w:color w:val="auto"/>
                <w:szCs w:val="21"/>
                <w:highlight w:val="none"/>
                <w:u w:val="single"/>
                <w:lang w:val="en-US" w:eastAsia="zh-CN"/>
              </w:rPr>
            </w:pPr>
            <w:r>
              <w:rPr>
                <w:rFonts w:hint="eastAsia" w:cs="宋体"/>
                <w:color w:val="auto"/>
                <w:szCs w:val="21"/>
                <w:highlight w:val="none"/>
                <w:u w:val="single"/>
              </w:rPr>
              <w:t>计划竣工日期</w:t>
            </w:r>
            <w:r>
              <w:rPr>
                <w:rFonts w:hint="eastAsia" w:cs="宋体"/>
                <w:color w:val="auto"/>
                <w:szCs w:val="21"/>
                <w:highlight w:val="none"/>
                <w:u w:val="single"/>
                <w:lang w:eastAsia="zh-CN"/>
              </w:rPr>
              <w:t>：</w:t>
            </w:r>
            <w:r>
              <w:rPr>
                <w:rFonts w:hint="eastAsia" w:cs="宋体"/>
                <w:color w:val="auto"/>
                <w:szCs w:val="21"/>
                <w:highlight w:val="none"/>
                <w:u w:val="single"/>
                <w:lang w:val="en-US" w:eastAsia="zh-CN"/>
              </w:rPr>
              <w:t>2026</w:t>
            </w:r>
            <w:r>
              <w:rPr>
                <w:rFonts w:hint="eastAsia" w:cs="宋体"/>
                <w:color w:val="auto"/>
                <w:szCs w:val="21"/>
                <w:highlight w:val="none"/>
                <w:u w:val="single"/>
              </w:rPr>
              <w:t>年</w:t>
            </w:r>
            <w:r>
              <w:rPr>
                <w:rFonts w:hint="eastAsia" w:cs="宋体"/>
                <w:color w:val="auto"/>
                <w:szCs w:val="21"/>
                <w:highlight w:val="none"/>
                <w:u w:val="single"/>
                <w:lang w:val="en-US" w:eastAsia="zh-CN"/>
              </w:rPr>
              <w:t>11</w:t>
            </w:r>
            <w:r>
              <w:rPr>
                <w:rFonts w:hint="eastAsia" w:cs="宋体"/>
                <w:color w:val="auto"/>
                <w:szCs w:val="21"/>
                <w:highlight w:val="none"/>
                <w:u w:val="single"/>
              </w:rPr>
              <w:t>月</w:t>
            </w:r>
            <w:r>
              <w:rPr>
                <w:rFonts w:hint="eastAsia" w:cs="宋体"/>
                <w:color w:val="auto"/>
                <w:szCs w:val="21"/>
                <w:highlight w:val="none"/>
                <w:u w:val="single"/>
                <w:lang w:val="en-US" w:eastAsia="zh-CN"/>
              </w:rPr>
              <w:t>30</w:t>
            </w:r>
            <w:r>
              <w:rPr>
                <w:rFonts w:hint="eastAsia" w:cs="宋体"/>
                <w:color w:val="auto"/>
                <w:szCs w:val="21"/>
                <w:highlight w:val="none"/>
                <w:u w:val="single"/>
              </w:rPr>
              <w:t>日（项目整体竣工日期）。</w:t>
            </w:r>
            <w:r>
              <w:rPr>
                <w:rFonts w:hint="eastAsia" w:cs="宋体"/>
                <w:color w:val="auto"/>
                <w:szCs w:val="21"/>
                <w:highlight w:val="none"/>
                <w:u w:val="single"/>
                <w:lang w:val="en-US" w:eastAsia="zh-CN"/>
              </w:rPr>
              <w:t xml:space="preserve"> </w:t>
            </w:r>
          </w:p>
          <w:p w14:paraId="478B93BF">
            <w:pPr>
              <w:rPr>
                <w:rFonts w:hint="eastAsia" w:cs="宋体"/>
                <w:color w:val="auto"/>
                <w:szCs w:val="21"/>
                <w:highlight w:val="none"/>
                <w:u w:val="single"/>
              </w:rPr>
            </w:pPr>
            <w:r>
              <w:rPr>
                <w:rFonts w:hint="eastAsia" w:cs="宋体"/>
                <w:color w:val="auto"/>
                <w:szCs w:val="21"/>
                <w:highlight w:val="none"/>
                <w:u w:val="single"/>
              </w:rPr>
              <w:t>工期总日历天数：</w:t>
            </w:r>
            <w:r>
              <w:rPr>
                <w:rFonts w:hint="eastAsia" w:cs="宋体"/>
                <w:color w:val="auto"/>
                <w:szCs w:val="21"/>
                <w:highlight w:val="none"/>
                <w:u w:val="single"/>
                <w:lang w:val="en-US" w:eastAsia="zh-CN"/>
              </w:rPr>
              <w:t>325</w:t>
            </w:r>
            <w:r>
              <w:rPr>
                <w:rFonts w:hint="eastAsia" w:cs="宋体"/>
                <w:color w:val="auto"/>
                <w:szCs w:val="21"/>
                <w:highlight w:val="none"/>
                <w:u w:val="single"/>
              </w:rPr>
              <w:t xml:space="preserve">天。                                                                                                                                                                                                                                                                                                                                                                                                                                                                                                                                                                                                                                                                                                                                                                                                                                                                                                                                                                                                                                                                                                                                                                                                                                                                                                                                                                                                                                                                                                                                                                                                                                                                                                                                                                                                                                                                                                                                                                                                                                                                                                                                                                                                                                                                                                                                                                                                                                                                                                                                                                                                                                                                                                                                                                                                                                                                                                                                                                                                                                                                                                                                                                                                                                                                                                                                                                                                                                                                                                                                                                                                                                                                                                                                                                                                                                                                                                                                                                                                                                                                                                                                                                                                              </w:t>
            </w:r>
            <w:r>
              <w:rPr>
                <w:rFonts w:hint="eastAsia"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u w:val="single"/>
              </w:rPr>
              <w:t xml:space="preserve">                                                                                                                                                                                                                                                                                                                                                                                                                                                                                                                                                                                                                                                                                                                                                                                                                                                                                                                                                                                                                                                                                                                                                                                                                                                                                                                                                                                                                                                                                                                                                                                                                                                                                                                                                                                                                                                                                                                                                                                                                                                                                                                                                                                                                                                                                                                                                                                                                                                                                                                                                                                                                                                                                                                                                                                                                                                                                                                                                                                                                                                                                                                                                                                                                                                                                                                                                                                                                                                                                                                                                                                                                                                                                                                                                                                                                                                                                                                                                                                                                                                                                                                                                                                                                </w:t>
            </w:r>
            <w:r>
              <w:rPr>
                <w:rFonts w:hint="eastAsia" w:cs="宋体"/>
                <w:color w:val="auto"/>
                <w:szCs w:val="21"/>
                <w:highlight w:val="none"/>
                <w:u w:val="single"/>
              </w:rPr>
              <w:t xml:space="preserve">                                                                                                                                                                                                                                                                                                                                                                                                                                                                                                                                                                                           </w:t>
            </w:r>
          </w:p>
          <w:p w14:paraId="5A10824B">
            <w:pPr>
              <w:rPr>
                <w:rFonts w:hint="eastAsia" w:cs="宋体"/>
                <w:color w:val="auto"/>
                <w:szCs w:val="21"/>
                <w:highlight w:val="none"/>
                <w:u w:val="single"/>
              </w:rPr>
            </w:pPr>
            <w:r>
              <w:rPr>
                <w:rFonts w:hint="eastAsia" w:cs="宋体"/>
                <w:color w:val="auto"/>
                <w:szCs w:val="21"/>
                <w:highlight w:val="none"/>
                <w:u w:val="single"/>
              </w:rPr>
              <w:t>关键节点工期：</w:t>
            </w:r>
          </w:p>
          <w:p w14:paraId="3F27221E">
            <w:pPr>
              <w:rPr>
                <w:rFonts w:hint="eastAsia" w:cs="宋体"/>
                <w:color w:val="auto"/>
                <w:szCs w:val="21"/>
                <w:highlight w:val="none"/>
                <w:u w:val="single"/>
              </w:rPr>
            </w:pPr>
            <w:r>
              <w:rPr>
                <w:rFonts w:hint="eastAsia" w:cs="宋体"/>
                <w:color w:val="auto"/>
                <w:szCs w:val="21"/>
                <w:highlight w:val="none"/>
                <w:u w:val="single"/>
              </w:rPr>
              <w:t>标段一范围内泛光照明工程 2026年5月31日前完成;</w:t>
            </w:r>
          </w:p>
          <w:p w14:paraId="6AFD0108">
            <w:pPr>
              <w:rPr>
                <w:color w:val="auto"/>
                <w:szCs w:val="21"/>
                <w:highlight w:val="none"/>
              </w:rPr>
            </w:pPr>
            <w:r>
              <w:rPr>
                <w:rFonts w:hint="eastAsia" w:cs="宋体"/>
                <w:color w:val="auto"/>
                <w:szCs w:val="21"/>
                <w:highlight w:val="none"/>
                <w:u w:val="single"/>
              </w:rPr>
              <w:t>标段二范围内泛光照明工程 2026 年 11月 30 日前完成。</w:t>
            </w:r>
          </w:p>
        </w:tc>
      </w:tr>
      <w:tr w14:paraId="2B221C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9" w:type="dxa"/>
            <w:tcBorders>
              <w:top w:val="single" w:color="auto" w:sz="4" w:space="0"/>
              <w:left w:val="double" w:color="auto" w:sz="4" w:space="0"/>
              <w:bottom w:val="single" w:color="auto" w:sz="4" w:space="0"/>
              <w:right w:val="single" w:color="auto" w:sz="4" w:space="0"/>
            </w:tcBorders>
            <w:vAlign w:val="center"/>
          </w:tcPr>
          <w:p w14:paraId="71354C2E">
            <w:pPr>
              <w:rPr>
                <w:color w:val="auto"/>
                <w:szCs w:val="21"/>
                <w:highlight w:val="none"/>
              </w:rPr>
            </w:pPr>
            <w:r>
              <w:rPr>
                <w:color w:val="auto"/>
                <w:szCs w:val="21"/>
                <w:highlight w:val="none"/>
              </w:rPr>
              <w:t>9</w:t>
            </w:r>
          </w:p>
        </w:tc>
        <w:tc>
          <w:tcPr>
            <w:tcW w:w="893" w:type="dxa"/>
            <w:tcBorders>
              <w:top w:val="single" w:color="auto" w:sz="4" w:space="0"/>
              <w:left w:val="single" w:color="auto" w:sz="4" w:space="0"/>
              <w:bottom w:val="single" w:color="auto" w:sz="4" w:space="0"/>
              <w:right w:val="single" w:color="auto" w:sz="4" w:space="0"/>
            </w:tcBorders>
            <w:vAlign w:val="center"/>
          </w:tcPr>
          <w:p w14:paraId="7499D44D">
            <w:pPr>
              <w:rPr>
                <w:color w:val="auto"/>
                <w:szCs w:val="21"/>
                <w:highlight w:val="none"/>
              </w:rPr>
            </w:pPr>
            <w:r>
              <w:rPr>
                <w:color w:val="auto"/>
                <w:szCs w:val="21"/>
                <w:highlight w:val="none"/>
              </w:rPr>
              <w:t>3.1</w:t>
            </w:r>
          </w:p>
        </w:tc>
        <w:tc>
          <w:tcPr>
            <w:tcW w:w="1546" w:type="dxa"/>
            <w:tcBorders>
              <w:top w:val="single" w:color="auto" w:sz="4" w:space="0"/>
              <w:left w:val="single" w:color="auto" w:sz="4" w:space="0"/>
              <w:bottom w:val="single" w:color="auto" w:sz="4" w:space="0"/>
              <w:right w:val="single" w:color="auto" w:sz="4" w:space="0"/>
            </w:tcBorders>
            <w:vAlign w:val="center"/>
          </w:tcPr>
          <w:p w14:paraId="1E54BE89">
            <w:pPr>
              <w:rPr>
                <w:color w:val="auto"/>
                <w:szCs w:val="21"/>
                <w:highlight w:val="none"/>
              </w:rPr>
            </w:pPr>
            <w:r>
              <w:rPr>
                <w:rFonts w:hint="eastAsia"/>
                <w:color w:val="auto"/>
                <w:szCs w:val="21"/>
                <w:highlight w:val="none"/>
              </w:rPr>
              <w:t>资金来源</w:t>
            </w:r>
          </w:p>
        </w:tc>
        <w:tc>
          <w:tcPr>
            <w:tcW w:w="6089" w:type="dxa"/>
            <w:tcBorders>
              <w:top w:val="single" w:color="auto" w:sz="4" w:space="0"/>
              <w:left w:val="single" w:color="auto" w:sz="4" w:space="0"/>
              <w:bottom w:val="single" w:color="auto" w:sz="4" w:space="0"/>
              <w:right w:val="double" w:color="auto" w:sz="4" w:space="0"/>
            </w:tcBorders>
            <w:vAlign w:val="center"/>
          </w:tcPr>
          <w:p w14:paraId="0DD58417">
            <w:pPr>
              <w:rPr>
                <w:color w:val="auto"/>
                <w:szCs w:val="21"/>
                <w:highlight w:val="none"/>
              </w:rPr>
            </w:pPr>
            <w:r>
              <w:rPr>
                <w:rFonts w:hint="eastAsia"/>
                <w:color w:val="auto"/>
                <w:szCs w:val="21"/>
                <w:highlight w:val="none"/>
              </w:rPr>
              <w:t>详见本工程招标公告。</w:t>
            </w:r>
          </w:p>
        </w:tc>
      </w:tr>
      <w:tr w14:paraId="1227D6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39" w:type="dxa"/>
            <w:tcBorders>
              <w:top w:val="single" w:color="auto" w:sz="4" w:space="0"/>
              <w:left w:val="double" w:color="auto" w:sz="4" w:space="0"/>
              <w:bottom w:val="single" w:color="auto" w:sz="4" w:space="0"/>
              <w:right w:val="single" w:color="auto" w:sz="4" w:space="0"/>
            </w:tcBorders>
            <w:vAlign w:val="center"/>
          </w:tcPr>
          <w:p w14:paraId="093EA2E0">
            <w:pPr>
              <w:rPr>
                <w:color w:val="auto"/>
                <w:szCs w:val="21"/>
                <w:highlight w:val="none"/>
              </w:rPr>
            </w:pPr>
            <w:r>
              <w:rPr>
                <w:color w:val="auto"/>
                <w:szCs w:val="21"/>
                <w:highlight w:val="none"/>
              </w:rPr>
              <w:t>10</w:t>
            </w:r>
          </w:p>
        </w:tc>
        <w:tc>
          <w:tcPr>
            <w:tcW w:w="893" w:type="dxa"/>
            <w:tcBorders>
              <w:top w:val="single" w:color="auto" w:sz="4" w:space="0"/>
              <w:left w:val="single" w:color="auto" w:sz="4" w:space="0"/>
              <w:bottom w:val="single" w:color="auto" w:sz="4" w:space="0"/>
              <w:right w:val="single" w:color="auto" w:sz="4" w:space="0"/>
            </w:tcBorders>
            <w:vAlign w:val="center"/>
          </w:tcPr>
          <w:p w14:paraId="6C585BE6">
            <w:pPr>
              <w:rPr>
                <w:color w:val="auto"/>
                <w:szCs w:val="21"/>
                <w:highlight w:val="none"/>
              </w:rPr>
            </w:pPr>
            <w:r>
              <w:rPr>
                <w:color w:val="auto"/>
                <w:szCs w:val="21"/>
                <w:highlight w:val="none"/>
              </w:rPr>
              <w:t>4.1</w:t>
            </w:r>
          </w:p>
        </w:tc>
        <w:tc>
          <w:tcPr>
            <w:tcW w:w="1546" w:type="dxa"/>
            <w:tcBorders>
              <w:top w:val="single" w:color="auto" w:sz="4" w:space="0"/>
              <w:left w:val="single" w:color="auto" w:sz="4" w:space="0"/>
              <w:bottom w:val="single" w:color="auto" w:sz="4" w:space="0"/>
              <w:right w:val="single" w:color="auto" w:sz="4" w:space="0"/>
            </w:tcBorders>
            <w:vAlign w:val="center"/>
          </w:tcPr>
          <w:p w14:paraId="6A48A276">
            <w:pPr>
              <w:rPr>
                <w:color w:val="auto"/>
                <w:szCs w:val="21"/>
                <w:highlight w:val="none"/>
              </w:rPr>
            </w:pPr>
            <w:r>
              <w:rPr>
                <w:rFonts w:hint="eastAsia"/>
                <w:color w:val="auto"/>
                <w:szCs w:val="21"/>
                <w:highlight w:val="none"/>
              </w:rPr>
              <w:t>投标人资质等级及项目负责人等级要求</w:t>
            </w:r>
          </w:p>
        </w:tc>
        <w:tc>
          <w:tcPr>
            <w:tcW w:w="6089" w:type="dxa"/>
            <w:tcBorders>
              <w:top w:val="single" w:color="auto" w:sz="4" w:space="0"/>
              <w:left w:val="single" w:color="auto" w:sz="4" w:space="0"/>
              <w:bottom w:val="single" w:color="auto" w:sz="4" w:space="0"/>
              <w:right w:val="double" w:color="auto" w:sz="4" w:space="0"/>
            </w:tcBorders>
            <w:vAlign w:val="center"/>
          </w:tcPr>
          <w:p w14:paraId="31287EB0">
            <w:pPr>
              <w:rPr>
                <w:rFonts w:hint="eastAsia" w:eastAsia="宋体"/>
                <w:color w:val="auto"/>
                <w:szCs w:val="21"/>
                <w:highlight w:val="none"/>
                <w:lang w:eastAsia="zh-CN"/>
              </w:rPr>
            </w:pPr>
            <w:r>
              <w:rPr>
                <w:rFonts w:hint="eastAsia"/>
                <w:color w:val="auto"/>
                <w:szCs w:val="21"/>
                <w:highlight w:val="none"/>
              </w:rPr>
              <w:t>详见本工程招标公告。</w:t>
            </w:r>
          </w:p>
        </w:tc>
      </w:tr>
      <w:tr w14:paraId="7CE3A4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639" w:type="dxa"/>
            <w:tcBorders>
              <w:top w:val="single" w:color="auto" w:sz="4" w:space="0"/>
              <w:left w:val="double" w:color="auto" w:sz="4" w:space="0"/>
              <w:bottom w:val="single" w:color="auto" w:sz="4" w:space="0"/>
              <w:right w:val="single" w:color="auto" w:sz="4" w:space="0"/>
            </w:tcBorders>
            <w:vAlign w:val="center"/>
          </w:tcPr>
          <w:p w14:paraId="2002E668">
            <w:pPr>
              <w:rPr>
                <w:color w:val="auto"/>
                <w:szCs w:val="21"/>
                <w:highlight w:val="none"/>
              </w:rPr>
            </w:pPr>
            <w:r>
              <w:rPr>
                <w:color w:val="auto"/>
                <w:szCs w:val="21"/>
                <w:highlight w:val="none"/>
              </w:rPr>
              <w:t>11</w:t>
            </w:r>
          </w:p>
        </w:tc>
        <w:tc>
          <w:tcPr>
            <w:tcW w:w="893" w:type="dxa"/>
            <w:tcBorders>
              <w:top w:val="single" w:color="auto" w:sz="4" w:space="0"/>
              <w:left w:val="single" w:color="auto" w:sz="4" w:space="0"/>
              <w:bottom w:val="single" w:color="auto" w:sz="4" w:space="0"/>
              <w:right w:val="single" w:color="auto" w:sz="4" w:space="0"/>
            </w:tcBorders>
            <w:vAlign w:val="center"/>
          </w:tcPr>
          <w:p w14:paraId="63F3F4C3">
            <w:pPr>
              <w:ind w:firstLine="458"/>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123737E3">
            <w:pPr>
              <w:rPr>
                <w:color w:val="auto"/>
                <w:szCs w:val="21"/>
                <w:highlight w:val="none"/>
              </w:rPr>
            </w:pPr>
            <w:r>
              <w:rPr>
                <w:rFonts w:hint="eastAsia"/>
                <w:color w:val="auto"/>
                <w:szCs w:val="21"/>
                <w:highlight w:val="none"/>
              </w:rPr>
              <w:t>资格审查方式</w:t>
            </w:r>
          </w:p>
        </w:tc>
        <w:tc>
          <w:tcPr>
            <w:tcW w:w="6089" w:type="dxa"/>
            <w:tcBorders>
              <w:top w:val="single" w:color="auto" w:sz="4" w:space="0"/>
              <w:left w:val="single" w:color="auto" w:sz="4" w:space="0"/>
              <w:bottom w:val="single" w:color="auto" w:sz="4" w:space="0"/>
              <w:right w:val="double" w:color="auto" w:sz="4" w:space="0"/>
            </w:tcBorders>
            <w:vAlign w:val="center"/>
          </w:tcPr>
          <w:p w14:paraId="63F30EAB">
            <w:pPr>
              <w:rPr>
                <w:color w:val="auto"/>
                <w:szCs w:val="21"/>
                <w:highlight w:val="none"/>
              </w:rPr>
            </w:pPr>
            <w:r>
              <w:rPr>
                <w:rFonts w:hint="eastAsia"/>
                <w:color w:val="auto"/>
                <w:szCs w:val="21"/>
                <w:highlight w:val="none"/>
              </w:rPr>
              <w:t>详见本工程招标公告。</w:t>
            </w:r>
          </w:p>
        </w:tc>
      </w:tr>
      <w:tr w14:paraId="679C6B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639" w:type="dxa"/>
            <w:tcBorders>
              <w:top w:val="single" w:color="auto" w:sz="4" w:space="0"/>
              <w:left w:val="double" w:color="auto" w:sz="4" w:space="0"/>
              <w:bottom w:val="single" w:color="auto" w:sz="4" w:space="0"/>
              <w:right w:val="single" w:color="auto" w:sz="4" w:space="0"/>
            </w:tcBorders>
            <w:vAlign w:val="center"/>
          </w:tcPr>
          <w:p w14:paraId="60EF40C9">
            <w:pPr>
              <w:rPr>
                <w:color w:val="auto"/>
                <w:szCs w:val="21"/>
                <w:highlight w:val="none"/>
              </w:rPr>
            </w:pPr>
            <w:r>
              <w:rPr>
                <w:color w:val="auto"/>
                <w:szCs w:val="21"/>
                <w:highlight w:val="none"/>
              </w:rPr>
              <w:t>12</w:t>
            </w:r>
          </w:p>
        </w:tc>
        <w:tc>
          <w:tcPr>
            <w:tcW w:w="893" w:type="dxa"/>
            <w:tcBorders>
              <w:top w:val="single" w:color="auto" w:sz="4" w:space="0"/>
              <w:left w:val="single" w:color="auto" w:sz="4" w:space="0"/>
              <w:bottom w:val="single" w:color="auto" w:sz="4" w:space="0"/>
              <w:right w:val="single" w:color="auto" w:sz="4" w:space="0"/>
            </w:tcBorders>
            <w:vAlign w:val="center"/>
          </w:tcPr>
          <w:p w14:paraId="3B4C3937">
            <w:pPr>
              <w:rPr>
                <w:color w:val="auto"/>
                <w:szCs w:val="21"/>
                <w:highlight w:val="none"/>
              </w:rPr>
            </w:pPr>
            <w:r>
              <w:rPr>
                <w:color w:val="auto"/>
                <w:szCs w:val="21"/>
                <w:highlight w:val="none"/>
              </w:rPr>
              <w:t>13.1</w:t>
            </w:r>
          </w:p>
        </w:tc>
        <w:tc>
          <w:tcPr>
            <w:tcW w:w="1546" w:type="dxa"/>
            <w:tcBorders>
              <w:top w:val="single" w:color="auto" w:sz="4" w:space="0"/>
              <w:left w:val="single" w:color="auto" w:sz="4" w:space="0"/>
              <w:bottom w:val="single" w:color="auto" w:sz="4" w:space="0"/>
              <w:right w:val="single" w:color="auto" w:sz="4" w:space="0"/>
            </w:tcBorders>
            <w:vAlign w:val="center"/>
          </w:tcPr>
          <w:p w14:paraId="467F831F">
            <w:pPr>
              <w:rPr>
                <w:color w:val="auto"/>
                <w:szCs w:val="21"/>
                <w:highlight w:val="none"/>
              </w:rPr>
            </w:pPr>
            <w:r>
              <w:rPr>
                <w:rFonts w:hint="eastAsia"/>
                <w:color w:val="auto"/>
                <w:szCs w:val="21"/>
                <w:highlight w:val="none"/>
              </w:rPr>
              <w:t>报价以及单价和总价计算方式</w:t>
            </w:r>
          </w:p>
        </w:tc>
        <w:tc>
          <w:tcPr>
            <w:tcW w:w="6089" w:type="dxa"/>
            <w:tcBorders>
              <w:top w:val="single" w:color="auto" w:sz="4" w:space="0"/>
              <w:left w:val="single" w:color="auto" w:sz="4" w:space="0"/>
              <w:bottom w:val="single" w:color="auto" w:sz="4" w:space="0"/>
              <w:right w:val="double" w:color="auto" w:sz="4" w:space="0"/>
            </w:tcBorders>
            <w:vAlign w:val="center"/>
          </w:tcPr>
          <w:p w14:paraId="5B14CCEF">
            <w:pPr>
              <w:rPr>
                <w:color w:val="auto"/>
                <w:szCs w:val="21"/>
                <w:highlight w:val="none"/>
              </w:rPr>
            </w:pPr>
            <w:r>
              <w:rPr>
                <w:rFonts w:hint="eastAsia"/>
                <w:color w:val="auto"/>
                <w:highlight w:val="none"/>
              </w:rPr>
              <w:t>固定总价包</w:t>
            </w:r>
            <w:r>
              <w:rPr>
                <w:rFonts w:hint="eastAsia"/>
                <w:color w:val="auto"/>
                <w:szCs w:val="21"/>
                <w:highlight w:val="none"/>
                <w:lang w:val="en-US" w:eastAsia="zh-CN"/>
              </w:rPr>
              <w:t>干</w:t>
            </w:r>
            <w:r>
              <w:rPr>
                <w:rFonts w:hint="eastAsia"/>
                <w:color w:val="auto"/>
                <w:szCs w:val="21"/>
                <w:highlight w:val="none"/>
              </w:rPr>
              <w:t>。</w:t>
            </w:r>
          </w:p>
        </w:tc>
      </w:tr>
      <w:tr w14:paraId="3F4141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trPr>
        <w:tc>
          <w:tcPr>
            <w:tcW w:w="639" w:type="dxa"/>
            <w:tcBorders>
              <w:top w:val="single" w:color="auto" w:sz="4" w:space="0"/>
              <w:left w:val="double" w:color="auto" w:sz="4" w:space="0"/>
              <w:bottom w:val="single" w:color="auto" w:sz="4" w:space="0"/>
              <w:right w:val="single" w:color="auto" w:sz="4" w:space="0"/>
            </w:tcBorders>
            <w:vAlign w:val="center"/>
          </w:tcPr>
          <w:p w14:paraId="71D0A547">
            <w:pPr>
              <w:rPr>
                <w:color w:val="auto"/>
                <w:szCs w:val="21"/>
                <w:highlight w:val="none"/>
              </w:rPr>
            </w:pPr>
            <w:r>
              <w:rPr>
                <w:color w:val="auto"/>
                <w:szCs w:val="21"/>
                <w:highlight w:val="none"/>
              </w:rPr>
              <w:t>13</w:t>
            </w:r>
          </w:p>
        </w:tc>
        <w:tc>
          <w:tcPr>
            <w:tcW w:w="893" w:type="dxa"/>
            <w:tcBorders>
              <w:top w:val="single" w:color="auto" w:sz="4" w:space="0"/>
              <w:left w:val="single" w:color="auto" w:sz="4" w:space="0"/>
              <w:bottom w:val="single" w:color="auto" w:sz="4" w:space="0"/>
              <w:right w:val="single" w:color="auto" w:sz="4" w:space="0"/>
            </w:tcBorders>
            <w:vAlign w:val="center"/>
          </w:tcPr>
          <w:p w14:paraId="2F5D65E2">
            <w:pPr>
              <w:rPr>
                <w:color w:val="auto"/>
                <w:szCs w:val="21"/>
                <w:highlight w:val="none"/>
              </w:rPr>
            </w:pPr>
            <w:r>
              <w:rPr>
                <w:color w:val="auto"/>
                <w:szCs w:val="21"/>
                <w:highlight w:val="none"/>
              </w:rPr>
              <w:t>15.1</w:t>
            </w:r>
          </w:p>
        </w:tc>
        <w:tc>
          <w:tcPr>
            <w:tcW w:w="1546" w:type="dxa"/>
            <w:tcBorders>
              <w:top w:val="single" w:color="auto" w:sz="4" w:space="0"/>
              <w:left w:val="single" w:color="auto" w:sz="4" w:space="0"/>
              <w:bottom w:val="single" w:color="auto" w:sz="4" w:space="0"/>
              <w:right w:val="single" w:color="auto" w:sz="4" w:space="0"/>
            </w:tcBorders>
            <w:vAlign w:val="center"/>
          </w:tcPr>
          <w:p w14:paraId="1129BFC0">
            <w:pPr>
              <w:rPr>
                <w:color w:val="auto"/>
                <w:szCs w:val="21"/>
                <w:highlight w:val="none"/>
              </w:rPr>
            </w:pPr>
            <w:r>
              <w:rPr>
                <w:rFonts w:hint="eastAsia"/>
                <w:color w:val="auto"/>
                <w:szCs w:val="21"/>
                <w:highlight w:val="none"/>
              </w:rPr>
              <w:t>投标有效期</w:t>
            </w:r>
          </w:p>
        </w:tc>
        <w:tc>
          <w:tcPr>
            <w:tcW w:w="6089" w:type="dxa"/>
            <w:tcBorders>
              <w:top w:val="single" w:color="auto" w:sz="4" w:space="0"/>
              <w:left w:val="single" w:color="auto" w:sz="4" w:space="0"/>
              <w:bottom w:val="single" w:color="auto" w:sz="4" w:space="0"/>
              <w:right w:val="double" w:color="auto" w:sz="4" w:space="0"/>
            </w:tcBorders>
            <w:vAlign w:val="center"/>
          </w:tcPr>
          <w:p w14:paraId="43C66A43">
            <w:pPr>
              <w:rPr>
                <w:color w:val="auto"/>
                <w:szCs w:val="21"/>
                <w:highlight w:val="none"/>
                <w:u w:val="single"/>
              </w:rPr>
            </w:pPr>
            <w:r>
              <w:rPr>
                <w:rFonts w:hint="eastAsia"/>
                <w:color w:val="auto"/>
                <w:szCs w:val="21"/>
                <w:highlight w:val="none"/>
                <w:u w:val="single"/>
              </w:rPr>
              <w:t xml:space="preserve"> </w:t>
            </w:r>
            <w:r>
              <w:rPr>
                <w:rFonts w:hint="eastAsia"/>
                <w:color w:val="auto"/>
                <w:szCs w:val="21"/>
                <w:highlight w:val="none"/>
                <w:u w:val="single"/>
                <w:lang w:val="en-US" w:eastAsia="zh-CN"/>
              </w:rPr>
              <w:t>120</w:t>
            </w:r>
            <w:r>
              <w:rPr>
                <w:rFonts w:hint="eastAsia"/>
                <w:color w:val="auto"/>
                <w:szCs w:val="21"/>
                <w:highlight w:val="none"/>
                <w:u w:val="single"/>
              </w:rPr>
              <w:t xml:space="preserve"> </w:t>
            </w:r>
            <w:r>
              <w:rPr>
                <w:rFonts w:hint="eastAsia"/>
                <w:color w:val="auto"/>
                <w:szCs w:val="21"/>
                <w:highlight w:val="none"/>
              </w:rPr>
              <w:t>日历天。（从投标截止之日计起）。</w:t>
            </w:r>
            <w:r>
              <w:rPr>
                <w:rFonts w:hint="eastAsia" w:cs="宋体"/>
                <w:color w:val="auto"/>
                <w:szCs w:val="21"/>
                <w:highlight w:val="none"/>
                <w:u w:val="single"/>
              </w:rPr>
              <w:t>如投标有效期内发生异议或投诉的，则投标有效期自动延长至异议或投诉处理结束后90日历天。</w:t>
            </w:r>
          </w:p>
        </w:tc>
      </w:tr>
      <w:tr w14:paraId="4ED513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39" w:type="dxa"/>
            <w:tcBorders>
              <w:top w:val="single" w:color="auto" w:sz="4" w:space="0"/>
              <w:left w:val="double" w:color="auto" w:sz="4" w:space="0"/>
              <w:bottom w:val="single" w:color="auto" w:sz="4" w:space="0"/>
              <w:right w:val="single" w:color="auto" w:sz="4" w:space="0"/>
            </w:tcBorders>
            <w:vAlign w:val="center"/>
          </w:tcPr>
          <w:p w14:paraId="63EBAB9E">
            <w:pPr>
              <w:rPr>
                <w:color w:val="auto"/>
                <w:szCs w:val="21"/>
                <w:highlight w:val="none"/>
              </w:rPr>
            </w:pPr>
            <w:r>
              <w:rPr>
                <w:color w:val="auto"/>
                <w:szCs w:val="21"/>
                <w:highlight w:val="none"/>
              </w:rPr>
              <w:t>14</w:t>
            </w:r>
          </w:p>
        </w:tc>
        <w:tc>
          <w:tcPr>
            <w:tcW w:w="893" w:type="dxa"/>
            <w:tcBorders>
              <w:top w:val="single" w:color="auto" w:sz="4" w:space="0"/>
              <w:left w:val="single" w:color="auto" w:sz="4" w:space="0"/>
              <w:bottom w:val="single" w:color="auto" w:sz="4" w:space="0"/>
              <w:right w:val="single" w:color="auto" w:sz="4" w:space="0"/>
            </w:tcBorders>
            <w:vAlign w:val="center"/>
          </w:tcPr>
          <w:p w14:paraId="34EACDCB">
            <w:pPr>
              <w:rPr>
                <w:color w:val="auto"/>
                <w:szCs w:val="21"/>
                <w:highlight w:val="none"/>
              </w:rPr>
            </w:pPr>
            <w:r>
              <w:rPr>
                <w:color w:val="auto"/>
                <w:szCs w:val="21"/>
                <w:highlight w:val="none"/>
              </w:rPr>
              <w:t>16.1</w:t>
            </w:r>
          </w:p>
        </w:tc>
        <w:tc>
          <w:tcPr>
            <w:tcW w:w="1546" w:type="dxa"/>
            <w:tcBorders>
              <w:top w:val="single" w:color="auto" w:sz="4" w:space="0"/>
              <w:left w:val="single" w:color="auto" w:sz="4" w:space="0"/>
              <w:bottom w:val="single" w:color="auto" w:sz="4" w:space="0"/>
              <w:right w:val="single" w:color="auto" w:sz="4" w:space="0"/>
            </w:tcBorders>
            <w:vAlign w:val="center"/>
          </w:tcPr>
          <w:p w14:paraId="223F5AA9">
            <w:pPr>
              <w:rPr>
                <w:color w:val="auto"/>
                <w:szCs w:val="21"/>
                <w:highlight w:val="none"/>
              </w:rPr>
            </w:pPr>
            <w:r>
              <w:rPr>
                <w:rFonts w:hint="eastAsia"/>
                <w:color w:val="auto"/>
                <w:szCs w:val="21"/>
                <w:highlight w:val="none"/>
              </w:rPr>
              <w:t>投标保证金</w:t>
            </w:r>
          </w:p>
        </w:tc>
        <w:tc>
          <w:tcPr>
            <w:tcW w:w="6089" w:type="dxa"/>
            <w:tcBorders>
              <w:top w:val="single" w:color="auto" w:sz="4" w:space="0"/>
              <w:left w:val="single" w:color="auto" w:sz="4" w:space="0"/>
              <w:bottom w:val="single" w:color="auto" w:sz="4" w:space="0"/>
              <w:right w:val="double" w:color="auto" w:sz="4" w:space="0"/>
            </w:tcBorders>
            <w:vAlign w:val="center"/>
          </w:tcPr>
          <w:p w14:paraId="75BF6FC2">
            <w:pPr>
              <w:rPr>
                <w:rFonts w:hint="eastAsia"/>
                <w:color w:val="auto"/>
                <w:highlight w:val="none"/>
              </w:rPr>
            </w:pPr>
            <w:r>
              <w:rPr>
                <w:rFonts w:hint="eastAsia"/>
                <w:color w:val="auto"/>
                <w:highlight w:val="none"/>
              </w:rPr>
              <w:t>1、投标保证金的金额：人民币</w:t>
            </w:r>
            <w:r>
              <w:rPr>
                <w:rFonts w:hint="eastAsia"/>
                <w:b/>
                <w:bCs/>
                <w:color w:val="auto"/>
                <w:highlight w:val="none"/>
                <w:u w:val="single"/>
                <w:lang w:val="en-US" w:eastAsia="zh-CN"/>
              </w:rPr>
              <w:t>19</w:t>
            </w:r>
            <w:r>
              <w:rPr>
                <w:rFonts w:hint="eastAsia"/>
                <w:b/>
                <w:bCs/>
                <w:color w:val="auto"/>
                <w:highlight w:val="none"/>
                <w:u w:val="single"/>
              </w:rPr>
              <w:t>万元</w:t>
            </w:r>
            <w:r>
              <w:rPr>
                <w:rFonts w:hint="eastAsia"/>
                <w:color w:val="auto"/>
                <w:highlight w:val="none"/>
              </w:rPr>
              <w:t>，缴纳时间在投标截止时间之前。</w:t>
            </w:r>
          </w:p>
          <w:p w14:paraId="4ECF4DB0">
            <w:pPr>
              <w:rPr>
                <w:rFonts w:hint="eastAsia"/>
                <w:color w:val="auto"/>
                <w:highlight w:val="none"/>
              </w:rPr>
            </w:pPr>
            <w:r>
              <w:rPr>
                <w:rFonts w:hint="eastAsia"/>
                <w:color w:val="auto"/>
                <w:highlight w:val="none"/>
              </w:rPr>
              <w:t>注：根据《房屋建筑和市政基础设施工程施工招标投标管理办法》（建设部令第89号）第二十六条的规定，投标保证金一般不得超过投标总价的2％，最高不得超过50万元。</w:t>
            </w:r>
          </w:p>
          <w:p w14:paraId="477BFAA9">
            <w:pPr>
              <w:rPr>
                <w:rFonts w:hint="eastAsia"/>
                <w:color w:val="auto"/>
                <w:highlight w:val="none"/>
              </w:rPr>
            </w:pPr>
            <w:r>
              <w:rPr>
                <w:rFonts w:hint="eastAsia"/>
                <w:color w:val="auto"/>
                <w:highlight w:val="none"/>
              </w:rPr>
              <w:t>2、投标保证金的形式：投标保证金可采用现金、支票（现金支票、转账支票）、银行汇票、银行本票、银行电汇、银行转账、银行保函、保证保险、专业工程担保公司担保等能够实现保证目的形式。收取方式：</w:t>
            </w:r>
          </w:p>
          <w:p w14:paraId="5E104D63">
            <w:pPr>
              <w:rPr>
                <w:rFonts w:hint="eastAsia"/>
                <w:color w:val="auto"/>
                <w:highlight w:val="none"/>
              </w:rPr>
            </w:pPr>
            <w:r>
              <w:rPr>
                <w:rFonts w:hint="eastAsia"/>
                <w:color w:val="auto"/>
                <w:highlight w:val="none"/>
              </w:rPr>
              <w:t>（1）如采用现金、支票或者银行汇票、银行本票、银行电汇、银行转账形式提交的，由广州交易集团有限公司代收，投标保证金须从投标人基本账户递交。</w:t>
            </w:r>
          </w:p>
          <w:p w14:paraId="12735F50">
            <w:pPr>
              <w:rPr>
                <w:rFonts w:hint="eastAsia"/>
                <w:color w:val="auto"/>
                <w:highlight w:val="none"/>
              </w:rPr>
            </w:pPr>
            <w:r>
              <w:rPr>
                <w:rFonts w:hint="eastAsia"/>
                <w:color w:val="auto"/>
                <w:highlight w:val="none"/>
              </w:rPr>
              <w:t>①具体要求详见广州交易集团有限公司（广州公共资源交易中心）有关指引。</w:t>
            </w:r>
          </w:p>
          <w:p w14:paraId="6261B47C">
            <w:pPr>
              <w:rPr>
                <w:rFonts w:hint="eastAsia"/>
                <w:color w:val="auto"/>
                <w:highlight w:val="none"/>
              </w:rPr>
            </w:pPr>
            <w:r>
              <w:rPr>
                <w:rFonts w:hint="eastAsia"/>
                <w:color w:val="auto"/>
                <w:highlight w:val="none"/>
              </w:rPr>
              <w:t>②投标人必须提前办理缴纳投标保证金的事宜，且在缴纳保证金之前必须先咨询广州交易集团有限公司（广州公共资源交易中心）详细缴纳方法，否则需自行承担保证金无法成功缴纳的风险。</w:t>
            </w:r>
          </w:p>
          <w:p w14:paraId="2D06B1D7">
            <w:pPr>
              <w:rPr>
                <w:rFonts w:hint="eastAsia"/>
                <w:color w:val="auto"/>
                <w:highlight w:val="none"/>
              </w:rPr>
            </w:pPr>
            <w:r>
              <w:rPr>
                <w:rFonts w:hint="eastAsia"/>
                <w:color w:val="auto"/>
                <w:highlight w:val="none"/>
              </w:rPr>
              <w:t>递交事宜请自行咨询广州交易集团有限公司（广州公共资源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171FB8CC">
            <w:pPr>
              <w:rPr>
                <w:rFonts w:hint="eastAsia"/>
                <w:color w:val="auto"/>
                <w:highlight w:val="none"/>
              </w:rPr>
            </w:pPr>
            <w:r>
              <w:rPr>
                <w:rFonts w:hint="eastAsia"/>
                <w:color w:val="auto"/>
                <w:highlight w:val="non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应在投标截止时间前单独密封递交至开标室（时间及地点同递交备用投标文件电子光盘的时间及地点）。</w:t>
            </w:r>
          </w:p>
          <w:p w14:paraId="60869841">
            <w:pPr>
              <w:rPr>
                <w:color w:val="auto"/>
                <w:highlight w:val="none"/>
              </w:rPr>
            </w:pPr>
            <w:r>
              <w:rPr>
                <w:rFonts w:hint="eastAsia"/>
                <w:color w:val="auto"/>
                <w:highlight w:val="none"/>
              </w:rPr>
              <w:t>（3）采用电子形式的保函、担保或保证保险提交投标保证金的，开具及递交以广州交易集团有限公司（广州公共资源交易中心）的相关操作指引为准。到账情况以开标时广州交易集团有限公司（广州公共资源交易中心）数据库查询信息为准。</w:t>
            </w:r>
          </w:p>
        </w:tc>
      </w:tr>
      <w:tr w14:paraId="5D417B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9" w:type="dxa"/>
            <w:tcBorders>
              <w:top w:val="single" w:color="auto" w:sz="4" w:space="0"/>
              <w:left w:val="double" w:color="auto" w:sz="4" w:space="0"/>
              <w:bottom w:val="single" w:color="auto" w:sz="4" w:space="0"/>
              <w:right w:val="single" w:color="auto" w:sz="4" w:space="0"/>
            </w:tcBorders>
            <w:vAlign w:val="center"/>
          </w:tcPr>
          <w:p w14:paraId="5BAEABE1">
            <w:pPr>
              <w:rPr>
                <w:color w:val="auto"/>
                <w:szCs w:val="21"/>
                <w:highlight w:val="none"/>
              </w:rPr>
            </w:pPr>
            <w:r>
              <w:rPr>
                <w:color w:val="auto"/>
                <w:szCs w:val="21"/>
                <w:highlight w:val="none"/>
              </w:rPr>
              <w:t>15</w:t>
            </w:r>
          </w:p>
        </w:tc>
        <w:tc>
          <w:tcPr>
            <w:tcW w:w="893" w:type="dxa"/>
            <w:tcBorders>
              <w:top w:val="single" w:color="auto" w:sz="4" w:space="0"/>
              <w:left w:val="single" w:color="auto" w:sz="4" w:space="0"/>
              <w:bottom w:val="single" w:color="auto" w:sz="4" w:space="0"/>
              <w:right w:val="single" w:color="auto" w:sz="4" w:space="0"/>
            </w:tcBorders>
            <w:vAlign w:val="center"/>
          </w:tcPr>
          <w:p w14:paraId="2CB23F37">
            <w:pPr>
              <w:rPr>
                <w:color w:val="auto"/>
                <w:szCs w:val="21"/>
                <w:highlight w:val="none"/>
              </w:rPr>
            </w:pPr>
            <w:r>
              <w:rPr>
                <w:color w:val="auto"/>
                <w:szCs w:val="21"/>
                <w:highlight w:val="none"/>
              </w:rPr>
              <w:t>5</w:t>
            </w:r>
          </w:p>
        </w:tc>
        <w:tc>
          <w:tcPr>
            <w:tcW w:w="1546" w:type="dxa"/>
            <w:tcBorders>
              <w:top w:val="single" w:color="auto" w:sz="4" w:space="0"/>
              <w:left w:val="single" w:color="auto" w:sz="4" w:space="0"/>
              <w:bottom w:val="single" w:color="auto" w:sz="4" w:space="0"/>
              <w:right w:val="single" w:color="auto" w:sz="4" w:space="0"/>
            </w:tcBorders>
            <w:vAlign w:val="center"/>
          </w:tcPr>
          <w:p w14:paraId="357A3BA3">
            <w:pPr>
              <w:rPr>
                <w:color w:val="auto"/>
                <w:szCs w:val="21"/>
                <w:highlight w:val="none"/>
              </w:rPr>
            </w:pPr>
            <w:r>
              <w:rPr>
                <w:rFonts w:hint="eastAsia"/>
                <w:color w:val="auto"/>
                <w:szCs w:val="21"/>
                <w:highlight w:val="none"/>
              </w:rPr>
              <w:t>踏勘现场</w:t>
            </w:r>
          </w:p>
        </w:tc>
        <w:tc>
          <w:tcPr>
            <w:tcW w:w="6089" w:type="dxa"/>
            <w:tcBorders>
              <w:top w:val="single" w:color="auto" w:sz="4" w:space="0"/>
              <w:left w:val="single" w:color="auto" w:sz="4" w:space="0"/>
              <w:bottom w:val="single" w:color="auto" w:sz="4" w:space="0"/>
              <w:right w:val="double" w:color="auto" w:sz="4" w:space="0"/>
            </w:tcBorders>
            <w:vAlign w:val="center"/>
          </w:tcPr>
          <w:p w14:paraId="117BBDD1">
            <w:pPr>
              <w:pStyle w:val="15"/>
              <w:rPr>
                <w:rFonts w:ascii="宋体" w:hAnsi="宋体"/>
                <w:color w:val="auto"/>
                <w:kern w:val="2"/>
                <w:sz w:val="21"/>
                <w:szCs w:val="21"/>
                <w:highlight w:val="none"/>
              </w:rPr>
            </w:pPr>
            <w:r>
              <w:rPr>
                <w:rFonts w:hint="eastAsia" w:ascii="宋体" w:hAnsi="宋体" w:cs="宋体"/>
                <w:color w:val="auto"/>
                <w:kern w:val="2"/>
                <w:sz w:val="21"/>
                <w:szCs w:val="21"/>
                <w:highlight w:val="none"/>
                <w:u w:val="single"/>
              </w:rPr>
              <w:t>自行踏勘，投标人不进行踏勘的，视为已熟知现场条件，自行承担相关风险。</w:t>
            </w:r>
          </w:p>
        </w:tc>
      </w:tr>
      <w:tr w14:paraId="2A5D07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9" w:type="dxa"/>
            <w:tcBorders>
              <w:top w:val="single" w:color="auto" w:sz="4" w:space="0"/>
              <w:left w:val="double" w:color="auto" w:sz="4" w:space="0"/>
              <w:bottom w:val="single" w:color="auto" w:sz="4" w:space="0"/>
              <w:right w:val="single" w:color="auto" w:sz="4" w:space="0"/>
            </w:tcBorders>
            <w:vAlign w:val="center"/>
          </w:tcPr>
          <w:p w14:paraId="56E99B80">
            <w:pPr>
              <w:rPr>
                <w:color w:val="auto"/>
                <w:szCs w:val="21"/>
                <w:highlight w:val="none"/>
              </w:rPr>
            </w:pPr>
            <w:r>
              <w:rPr>
                <w:color w:val="auto"/>
                <w:szCs w:val="21"/>
                <w:highlight w:val="none"/>
              </w:rPr>
              <w:t>16</w:t>
            </w:r>
          </w:p>
        </w:tc>
        <w:tc>
          <w:tcPr>
            <w:tcW w:w="893" w:type="dxa"/>
            <w:tcBorders>
              <w:top w:val="single" w:color="auto" w:sz="4" w:space="0"/>
              <w:left w:val="single" w:color="auto" w:sz="4" w:space="0"/>
              <w:bottom w:val="single" w:color="auto" w:sz="4" w:space="0"/>
              <w:right w:val="single" w:color="auto" w:sz="4" w:space="0"/>
            </w:tcBorders>
            <w:vAlign w:val="center"/>
          </w:tcPr>
          <w:p w14:paraId="32ABAEC2">
            <w:pPr>
              <w:rPr>
                <w:color w:val="auto"/>
                <w:szCs w:val="21"/>
                <w:highlight w:val="none"/>
              </w:rPr>
            </w:pPr>
            <w:r>
              <w:rPr>
                <w:color w:val="auto"/>
                <w:szCs w:val="21"/>
                <w:highlight w:val="none"/>
              </w:rPr>
              <w:t>8</w:t>
            </w:r>
          </w:p>
        </w:tc>
        <w:tc>
          <w:tcPr>
            <w:tcW w:w="1546" w:type="dxa"/>
            <w:tcBorders>
              <w:top w:val="single" w:color="auto" w:sz="4" w:space="0"/>
              <w:left w:val="single" w:color="auto" w:sz="4" w:space="0"/>
              <w:bottom w:val="single" w:color="auto" w:sz="4" w:space="0"/>
              <w:right w:val="single" w:color="auto" w:sz="4" w:space="0"/>
            </w:tcBorders>
            <w:vAlign w:val="center"/>
          </w:tcPr>
          <w:p w14:paraId="5094BA9E">
            <w:pPr>
              <w:rPr>
                <w:color w:val="auto"/>
                <w:szCs w:val="21"/>
                <w:highlight w:val="none"/>
              </w:rPr>
            </w:pPr>
            <w:r>
              <w:rPr>
                <w:rFonts w:hint="eastAsia"/>
                <w:color w:val="auto"/>
                <w:szCs w:val="21"/>
                <w:highlight w:val="none"/>
              </w:rPr>
              <w:t>投标答疑</w:t>
            </w:r>
          </w:p>
        </w:tc>
        <w:tc>
          <w:tcPr>
            <w:tcW w:w="6089" w:type="dxa"/>
            <w:tcBorders>
              <w:top w:val="single" w:color="auto" w:sz="4" w:space="0"/>
              <w:left w:val="single" w:color="auto" w:sz="4" w:space="0"/>
              <w:bottom w:val="single" w:color="auto" w:sz="4" w:space="0"/>
              <w:right w:val="double" w:color="auto" w:sz="4" w:space="0"/>
            </w:tcBorders>
            <w:vAlign w:val="center"/>
          </w:tcPr>
          <w:p w14:paraId="110E80A4">
            <w:pPr>
              <w:spacing w:line="360" w:lineRule="atLeast"/>
              <w:rPr>
                <w:rFonts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hAnsi="宋体" w:cs="宋体"/>
                <w:color w:val="auto"/>
                <w:szCs w:val="21"/>
                <w:highlight w:val="none"/>
                <w:u w:val="single"/>
              </w:rPr>
              <w:t>在递交投标文件截止日期前18日</w:t>
            </w:r>
          </w:p>
          <w:p w14:paraId="71BE808F">
            <w:pPr>
              <w:spacing w:line="360" w:lineRule="atLeast"/>
              <w:rPr>
                <w:rFonts w:ascii="宋体" w:hAnsi="宋体" w:cs="宋体"/>
                <w:color w:val="auto"/>
                <w:szCs w:val="21"/>
                <w:highlight w:val="none"/>
              </w:rPr>
            </w:pPr>
            <w:r>
              <w:rPr>
                <w:rFonts w:hint="eastAsia" w:ascii="宋体" w:hAnsi="宋体" w:cs="宋体"/>
                <w:color w:val="auto"/>
                <w:szCs w:val="21"/>
                <w:highlight w:val="none"/>
              </w:rPr>
              <w:t>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14:paraId="793A41AC">
            <w:pPr>
              <w:rPr>
                <w:color w:val="auto"/>
                <w:szCs w:val="21"/>
                <w:highlight w:val="none"/>
              </w:rPr>
            </w:pPr>
            <w:r>
              <w:rPr>
                <w:rFonts w:hint="eastAsia" w:ascii="宋体" w:hAnsi="宋体" w:cs="宋体"/>
                <w:color w:val="auto"/>
                <w:szCs w:val="21"/>
                <w:highlight w:val="none"/>
              </w:rPr>
              <w:t>具体要求：</w:t>
            </w:r>
            <w:r>
              <w:rPr>
                <w:rFonts w:hint="eastAsia" w:ascii="宋体" w:hAnsi="宋体" w:cs="宋体"/>
                <w:color w:val="auto"/>
                <w:szCs w:val="21"/>
                <w:highlight w:val="none"/>
                <w:u w:val="single"/>
              </w:rPr>
              <w:t>按照广州交易集团有限公司（广州公共资源交易中心）交易平台关于全流程电 子化项目的相关指南进行操作，详见：广州交易集团有限公司（广州公共资源交易中心）网站最新指引。提问一律不得署名。</w:t>
            </w:r>
          </w:p>
        </w:tc>
      </w:tr>
      <w:tr w14:paraId="1A0467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9" w:type="dxa"/>
            <w:tcBorders>
              <w:top w:val="single" w:color="auto" w:sz="4" w:space="0"/>
              <w:left w:val="double" w:color="auto" w:sz="4" w:space="0"/>
              <w:bottom w:val="single" w:color="auto" w:sz="4" w:space="0"/>
              <w:right w:val="single" w:color="auto" w:sz="4" w:space="0"/>
            </w:tcBorders>
            <w:vAlign w:val="center"/>
          </w:tcPr>
          <w:p w14:paraId="012A0BD5">
            <w:pPr>
              <w:rPr>
                <w:color w:val="auto"/>
                <w:szCs w:val="21"/>
                <w:highlight w:val="none"/>
              </w:rPr>
            </w:pPr>
            <w:r>
              <w:rPr>
                <w:color w:val="auto"/>
                <w:szCs w:val="21"/>
                <w:highlight w:val="none"/>
              </w:rPr>
              <w:t>1</w:t>
            </w:r>
            <w:r>
              <w:rPr>
                <w:rFonts w:hint="eastAsia"/>
                <w:color w:val="auto"/>
                <w:szCs w:val="21"/>
                <w:highlight w:val="none"/>
              </w:rPr>
              <w:t>7</w:t>
            </w:r>
          </w:p>
        </w:tc>
        <w:tc>
          <w:tcPr>
            <w:tcW w:w="893" w:type="dxa"/>
            <w:tcBorders>
              <w:top w:val="single" w:color="auto" w:sz="4" w:space="0"/>
              <w:left w:val="single" w:color="auto" w:sz="4" w:space="0"/>
              <w:bottom w:val="single" w:color="auto" w:sz="4" w:space="0"/>
              <w:right w:val="single" w:color="auto" w:sz="4" w:space="0"/>
            </w:tcBorders>
            <w:vAlign w:val="center"/>
          </w:tcPr>
          <w:p w14:paraId="74EFE9CC">
            <w:pPr>
              <w:rPr>
                <w:color w:val="auto"/>
                <w:szCs w:val="21"/>
                <w:highlight w:val="none"/>
              </w:rPr>
            </w:pPr>
            <w:r>
              <w:rPr>
                <w:rFonts w:hint="eastAsia"/>
                <w:color w:val="auto"/>
                <w:szCs w:val="21"/>
                <w:highlight w:val="none"/>
              </w:rPr>
              <w:t>20</w:t>
            </w:r>
            <w:r>
              <w:rPr>
                <w:color w:val="auto"/>
                <w:szCs w:val="21"/>
                <w:highlight w:val="none"/>
              </w:rPr>
              <w:t>.1</w:t>
            </w:r>
          </w:p>
        </w:tc>
        <w:tc>
          <w:tcPr>
            <w:tcW w:w="1546" w:type="dxa"/>
            <w:tcBorders>
              <w:top w:val="single" w:color="auto" w:sz="4" w:space="0"/>
              <w:left w:val="single" w:color="auto" w:sz="4" w:space="0"/>
              <w:bottom w:val="single" w:color="auto" w:sz="4" w:space="0"/>
              <w:right w:val="single" w:color="auto" w:sz="4" w:space="0"/>
            </w:tcBorders>
            <w:vAlign w:val="center"/>
          </w:tcPr>
          <w:p w14:paraId="0566AA8B">
            <w:pPr>
              <w:rPr>
                <w:color w:val="auto"/>
                <w:szCs w:val="21"/>
                <w:highlight w:val="none"/>
              </w:rPr>
            </w:pPr>
            <w:r>
              <w:rPr>
                <w:rFonts w:hint="eastAsia"/>
                <w:color w:val="auto"/>
                <w:szCs w:val="21"/>
                <w:highlight w:val="none"/>
              </w:rPr>
              <w:t>投标截止时间</w:t>
            </w:r>
          </w:p>
        </w:tc>
        <w:tc>
          <w:tcPr>
            <w:tcW w:w="6089" w:type="dxa"/>
            <w:tcBorders>
              <w:top w:val="single" w:color="auto" w:sz="4" w:space="0"/>
              <w:left w:val="single" w:color="auto" w:sz="4" w:space="0"/>
              <w:bottom w:val="single" w:color="auto" w:sz="4" w:space="0"/>
              <w:right w:val="double" w:color="auto" w:sz="4" w:space="0"/>
            </w:tcBorders>
            <w:vAlign w:val="center"/>
          </w:tcPr>
          <w:p w14:paraId="73E2F090">
            <w:pPr>
              <w:rPr>
                <w:strike/>
                <w:color w:val="auto"/>
                <w:szCs w:val="21"/>
                <w:highlight w:val="none"/>
              </w:rPr>
            </w:pPr>
            <w:r>
              <w:rPr>
                <w:rFonts w:hint="eastAsia"/>
                <w:color w:val="auto"/>
                <w:szCs w:val="21"/>
                <w:highlight w:val="none"/>
                <w:u w:val="single"/>
              </w:rPr>
              <w:t>202</w:t>
            </w:r>
            <w:r>
              <w:rPr>
                <w:rFonts w:hint="eastAsia"/>
                <w:color w:val="auto"/>
                <w:szCs w:val="21"/>
                <w:highlight w:val="none"/>
                <w:u w:val="single"/>
                <w:lang w:val="en-US" w:eastAsia="zh-CN"/>
              </w:rPr>
              <w:t>5</w:t>
            </w:r>
            <w:r>
              <w:rPr>
                <w:rFonts w:hint="eastAsia"/>
                <w:color w:val="auto"/>
                <w:szCs w:val="21"/>
                <w:highlight w:val="none"/>
              </w:rPr>
              <w:t>年</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r>
              <w:rPr>
                <w:rFonts w:hint="eastAsia"/>
                <w:color w:val="auto"/>
                <w:szCs w:val="21"/>
                <w:highlight w:val="none"/>
              </w:rPr>
              <w:t>（北京时间）。</w:t>
            </w:r>
            <w:r>
              <w:rPr>
                <w:rFonts w:hint="eastAsia"/>
                <w:color w:val="auto"/>
                <w:szCs w:val="21"/>
                <w:highlight w:val="none"/>
                <w:lang w:val="en-US" w:eastAsia="zh-CN"/>
              </w:rPr>
              <w:t>时间</w:t>
            </w:r>
            <w:r>
              <w:rPr>
                <w:rFonts w:hint="eastAsia" w:ascii="宋体" w:hAnsi="宋体" w:cs="宋体"/>
                <w:color w:val="auto"/>
                <w:szCs w:val="21"/>
                <w:highlight w:val="none"/>
                <w:u w:val="single"/>
              </w:rPr>
              <w:t>留意广州公共资源交易中心公布的日程安排，投标人可登录广州公共资源交易中心网站首页，点击“交易业务-建设工程”专栏中的“项目查询（日程安排、答疑纪要）”，输入项目编号或项目名称查询最新信息）</w:t>
            </w:r>
          </w:p>
        </w:tc>
      </w:tr>
      <w:tr w14:paraId="73AC66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39" w:type="dxa"/>
            <w:tcBorders>
              <w:top w:val="single" w:color="auto" w:sz="4" w:space="0"/>
              <w:left w:val="double" w:color="auto" w:sz="4" w:space="0"/>
              <w:bottom w:val="single" w:color="auto" w:sz="4" w:space="0"/>
              <w:right w:val="single" w:color="auto" w:sz="4" w:space="0"/>
            </w:tcBorders>
            <w:vAlign w:val="center"/>
          </w:tcPr>
          <w:p w14:paraId="2C221C50">
            <w:pPr>
              <w:rPr>
                <w:color w:val="auto"/>
                <w:szCs w:val="21"/>
                <w:highlight w:val="none"/>
              </w:rPr>
            </w:pPr>
            <w:r>
              <w:rPr>
                <w:rFonts w:hint="eastAsia"/>
                <w:color w:val="auto"/>
                <w:szCs w:val="21"/>
                <w:highlight w:val="none"/>
              </w:rPr>
              <w:t>18</w:t>
            </w:r>
          </w:p>
        </w:tc>
        <w:tc>
          <w:tcPr>
            <w:tcW w:w="893" w:type="dxa"/>
            <w:tcBorders>
              <w:top w:val="single" w:color="auto" w:sz="4" w:space="0"/>
              <w:left w:val="single" w:color="auto" w:sz="4" w:space="0"/>
              <w:bottom w:val="single" w:color="auto" w:sz="4" w:space="0"/>
              <w:right w:val="single" w:color="auto" w:sz="4" w:space="0"/>
            </w:tcBorders>
            <w:vAlign w:val="center"/>
          </w:tcPr>
          <w:p w14:paraId="28F6A8E8">
            <w:pPr>
              <w:rPr>
                <w:color w:val="auto"/>
                <w:szCs w:val="21"/>
                <w:highlight w:val="none"/>
              </w:rPr>
            </w:pPr>
            <w:r>
              <w:rPr>
                <w:color w:val="auto"/>
                <w:szCs w:val="21"/>
                <w:highlight w:val="none"/>
              </w:rPr>
              <w:t>20.1</w:t>
            </w:r>
          </w:p>
        </w:tc>
        <w:tc>
          <w:tcPr>
            <w:tcW w:w="1546" w:type="dxa"/>
            <w:tcBorders>
              <w:top w:val="single" w:color="auto" w:sz="4" w:space="0"/>
              <w:left w:val="single" w:color="auto" w:sz="4" w:space="0"/>
              <w:bottom w:val="single" w:color="auto" w:sz="4" w:space="0"/>
              <w:right w:val="single" w:color="auto" w:sz="4" w:space="0"/>
            </w:tcBorders>
            <w:vAlign w:val="center"/>
          </w:tcPr>
          <w:p w14:paraId="6B4795F7">
            <w:pPr>
              <w:rPr>
                <w:color w:val="auto"/>
                <w:szCs w:val="21"/>
                <w:highlight w:val="none"/>
              </w:rPr>
            </w:pPr>
            <w:r>
              <w:rPr>
                <w:rFonts w:hint="eastAsia"/>
                <w:color w:val="auto"/>
                <w:szCs w:val="21"/>
                <w:highlight w:val="none"/>
              </w:rPr>
              <w:t>开标开始时间和地点</w:t>
            </w:r>
          </w:p>
        </w:tc>
        <w:tc>
          <w:tcPr>
            <w:tcW w:w="6089" w:type="dxa"/>
            <w:tcBorders>
              <w:top w:val="single" w:color="auto" w:sz="4" w:space="0"/>
              <w:left w:val="single" w:color="auto" w:sz="4" w:space="0"/>
              <w:bottom w:val="single" w:color="auto" w:sz="4" w:space="0"/>
              <w:right w:val="double" w:color="auto" w:sz="4" w:space="0"/>
            </w:tcBorders>
            <w:vAlign w:val="center"/>
          </w:tcPr>
          <w:p w14:paraId="548301E1">
            <w:p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（技术标和经济标同时开标）</w:t>
            </w:r>
          </w:p>
          <w:p w14:paraId="56467AE6">
            <w:pPr>
              <w:numPr>
                <w:ilvl w:val="0"/>
                <w:numId w:val="1"/>
              </w:numPr>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开标开始时间：</w:t>
            </w:r>
            <w:r>
              <w:rPr>
                <w:rFonts w:hint="eastAsia" w:ascii="宋体" w:hAnsi="宋体" w:cs="宋体"/>
                <w:color w:val="auto"/>
                <w:szCs w:val="21"/>
                <w:highlight w:val="none"/>
                <w:u w:val="single"/>
              </w:rPr>
              <w:t>202</w:t>
            </w:r>
            <w:r>
              <w:rPr>
                <w:rFonts w:hint="eastAsia"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分（与投标截止时间为同一时间），地点：</w:t>
            </w:r>
            <w:r>
              <w:rPr>
                <w:rFonts w:hint="eastAsia" w:ascii="宋体" w:hAnsi="宋体" w:cs="宋体"/>
                <w:color w:val="auto"/>
                <w:szCs w:val="21"/>
                <w:highlight w:val="none"/>
                <w:u w:val="single"/>
              </w:rPr>
              <w:t>广州交易集团有限公司（广州公共资源交易中心）指定开标室。</w:t>
            </w:r>
            <w:r>
              <w:rPr>
                <w:rFonts w:hint="eastAsia" w:ascii="宋体" w:hAnsi="宋体" w:cs="宋体"/>
                <w:color w:val="auto"/>
                <w:szCs w:val="21"/>
                <w:highlight w:val="none"/>
              </w:rPr>
              <w:t>投标人也可选择参加在线开标，具体按照交易平台相关指南进行操作。详见：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ascii="宋体" w:hAnsi="宋体" w:cs="宋体"/>
                <w:color w:val="auto"/>
                <w:szCs w:val="21"/>
                <w:highlight w:val="none"/>
              </w:rPr>
              <w:t>。</w:t>
            </w:r>
          </w:p>
          <w:p w14:paraId="5CEE69C7">
            <w:pPr>
              <w:pStyle w:val="14"/>
              <w:rPr>
                <w:rFonts w:hint="eastAsia" w:hAnsi="宋体" w:cs="宋体"/>
                <w:color w:val="auto"/>
                <w:highlight w:val="none"/>
                <w:u w:val="single"/>
              </w:rPr>
            </w:pPr>
            <w:r>
              <w:rPr>
                <w:rFonts w:hint="eastAsia" w:hAnsi="宋体" w:cs="宋体"/>
                <w:color w:val="auto"/>
                <w:highlight w:val="none"/>
                <w:u w:val="single"/>
              </w:rPr>
              <w:t>时间留意广州公共资源交易中心公布的日程安排，投标人可登录广州公共资源交易中心网站首页，点击“交易业务-建设工程”专栏中的“项目查询（日程安排、答疑纪要）”，输入项目编号或项目名称查询最新信息）</w:t>
            </w:r>
          </w:p>
          <w:p w14:paraId="57C8DC12">
            <w:pPr>
              <w:spacing w:line="360" w:lineRule="atLeast"/>
              <w:rPr>
                <w:rFonts w:ascii="宋体" w:hAnsi="宋体"/>
                <w:color w:val="auto"/>
                <w:szCs w:val="21"/>
                <w:highlight w:val="none"/>
              </w:rPr>
            </w:pPr>
            <w:r>
              <w:rPr>
                <w:rFonts w:hint="eastAsia" w:ascii="宋体" w:hAnsi="宋体"/>
                <w:color w:val="auto"/>
                <w:szCs w:val="21"/>
                <w:highlight w:val="none"/>
              </w:rPr>
              <w:t>注：投标文件解密问题。投标人只用执行一次解密，招标人执行解密次数根据招标文件开标次数确定。</w:t>
            </w:r>
          </w:p>
          <w:p w14:paraId="6E79C588">
            <w:pPr>
              <w:spacing w:line="360" w:lineRule="atLeast"/>
              <w:rPr>
                <w:rFonts w:hint="eastAsia" w:ascii="宋体" w:hAnsi="宋体"/>
                <w:color w:val="auto"/>
                <w:szCs w:val="21"/>
                <w:highlight w:val="none"/>
              </w:rPr>
            </w:pPr>
            <w:r>
              <w:rPr>
                <w:rFonts w:hint="eastAsia" w:ascii="宋体" w:hAnsi="宋体" w:cs="宋体"/>
                <w:color w:val="auto"/>
                <w:szCs w:val="21"/>
                <w:highlight w:val="none"/>
              </w:rPr>
              <w:t>2、递交投标文件备用</w:t>
            </w:r>
            <w:r>
              <w:rPr>
                <w:rFonts w:hint="eastAsia" w:cs="宋体"/>
                <w:color w:val="auto"/>
                <w:szCs w:val="21"/>
                <w:highlight w:val="none"/>
                <w:u w:val="single"/>
                <w:lang w:val="en-US" w:eastAsia="zh-CN"/>
              </w:rPr>
              <w:t>U</w:t>
            </w:r>
            <w:r>
              <w:rPr>
                <w:rFonts w:hint="eastAsia" w:ascii="宋体" w:hAnsi="宋体" w:cs="宋体"/>
                <w:color w:val="auto"/>
                <w:szCs w:val="21"/>
                <w:highlight w:val="none"/>
              </w:rPr>
              <w:t>盘时间：</w:t>
            </w:r>
            <w:r>
              <w:rPr>
                <w:rFonts w:hint="eastAsia" w:ascii="宋体" w:hAnsi="宋体" w:cs="宋体"/>
                <w:color w:val="auto"/>
                <w:szCs w:val="21"/>
                <w:highlight w:val="none"/>
                <w:u w:val="single"/>
              </w:rPr>
              <w:t>202</w:t>
            </w:r>
            <w:r>
              <w:rPr>
                <w:rFonts w:hint="eastAsia"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分至</w:t>
            </w:r>
            <w:r>
              <w:rPr>
                <w:rFonts w:hint="eastAsia" w:ascii="宋体" w:hAnsi="宋体" w:cs="宋体"/>
                <w:color w:val="auto"/>
                <w:szCs w:val="21"/>
                <w:highlight w:val="none"/>
                <w:u w:val="single"/>
              </w:rPr>
              <w:t>202</w:t>
            </w:r>
            <w:r>
              <w:rPr>
                <w:rFonts w:hint="eastAsia"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分；递交地点：</w:t>
            </w:r>
            <w:r>
              <w:rPr>
                <w:rFonts w:hint="eastAsia" w:ascii="宋体" w:hAnsi="宋体" w:cs="宋体"/>
                <w:color w:val="auto"/>
                <w:szCs w:val="21"/>
                <w:highlight w:val="none"/>
                <w:u w:val="single"/>
              </w:rPr>
              <w:t>广州交易集团有限公司（广州公共资源交易中心）指定开标室</w:t>
            </w:r>
            <w:r>
              <w:rPr>
                <w:rFonts w:hint="eastAsia" w:ascii="宋体" w:hAnsi="宋体" w:cs="宋体"/>
                <w:color w:val="auto"/>
                <w:szCs w:val="21"/>
                <w:highlight w:val="none"/>
              </w:rPr>
              <w:t>。</w:t>
            </w:r>
          </w:p>
          <w:p w14:paraId="5A60A649">
            <w:pPr>
              <w:rPr>
                <w:color w:val="auto"/>
                <w:szCs w:val="21"/>
                <w:highlight w:val="none"/>
              </w:rPr>
            </w:pPr>
            <w:r>
              <w:rPr>
                <w:rFonts w:hint="eastAsia" w:ascii="宋体" w:hAnsi="宋体" w:cs="仿宋_GB2312"/>
                <w:color w:val="auto"/>
                <w:highlight w:val="none"/>
                <w:u w:val="single"/>
              </w:rPr>
              <w:t>上述时间及地点是否有改变，请密切留意补充公告（如有）和招标澄清答疑纪要（如有）的相关信息。</w:t>
            </w:r>
          </w:p>
        </w:tc>
      </w:tr>
      <w:tr w14:paraId="304A8F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639" w:type="dxa"/>
            <w:tcBorders>
              <w:top w:val="single" w:color="auto" w:sz="4" w:space="0"/>
              <w:left w:val="double" w:color="auto" w:sz="4" w:space="0"/>
              <w:bottom w:val="single" w:color="auto" w:sz="4" w:space="0"/>
              <w:right w:val="single" w:color="auto" w:sz="4" w:space="0"/>
            </w:tcBorders>
            <w:vAlign w:val="center"/>
          </w:tcPr>
          <w:p w14:paraId="7C83863C">
            <w:pPr>
              <w:rPr>
                <w:color w:val="auto"/>
                <w:szCs w:val="21"/>
                <w:highlight w:val="none"/>
              </w:rPr>
            </w:pPr>
            <w:r>
              <w:rPr>
                <w:rFonts w:hint="eastAsia"/>
                <w:color w:val="auto"/>
                <w:szCs w:val="21"/>
                <w:highlight w:val="none"/>
              </w:rPr>
              <w:t>19</w:t>
            </w:r>
          </w:p>
        </w:tc>
        <w:tc>
          <w:tcPr>
            <w:tcW w:w="893" w:type="dxa"/>
            <w:tcBorders>
              <w:top w:val="single" w:color="auto" w:sz="4" w:space="0"/>
              <w:left w:val="single" w:color="auto" w:sz="4" w:space="0"/>
              <w:bottom w:val="single" w:color="auto" w:sz="4" w:space="0"/>
              <w:right w:val="single" w:color="auto" w:sz="4" w:space="0"/>
            </w:tcBorders>
            <w:vAlign w:val="center"/>
          </w:tcPr>
          <w:p w14:paraId="013C195D">
            <w:pPr>
              <w:rPr>
                <w:color w:val="auto"/>
                <w:szCs w:val="21"/>
                <w:highlight w:val="none"/>
              </w:rPr>
            </w:pPr>
            <w:r>
              <w:rPr>
                <w:color w:val="auto"/>
                <w:szCs w:val="21"/>
                <w:highlight w:val="none"/>
              </w:rPr>
              <w:t>26</w:t>
            </w:r>
          </w:p>
        </w:tc>
        <w:tc>
          <w:tcPr>
            <w:tcW w:w="1546" w:type="dxa"/>
            <w:tcBorders>
              <w:top w:val="single" w:color="auto" w:sz="4" w:space="0"/>
              <w:left w:val="single" w:color="auto" w:sz="4" w:space="0"/>
              <w:bottom w:val="single" w:color="auto" w:sz="4" w:space="0"/>
              <w:right w:val="single" w:color="auto" w:sz="4" w:space="0"/>
            </w:tcBorders>
            <w:vAlign w:val="center"/>
          </w:tcPr>
          <w:p w14:paraId="1DC4E05E">
            <w:pPr>
              <w:rPr>
                <w:color w:val="auto"/>
                <w:szCs w:val="21"/>
                <w:highlight w:val="none"/>
              </w:rPr>
            </w:pPr>
            <w:r>
              <w:rPr>
                <w:rFonts w:hint="eastAsia" w:ascii="宋体" w:hAnsi="宋体" w:cs="宋体"/>
                <w:color w:val="auto"/>
                <w:szCs w:val="21"/>
                <w:highlight w:val="none"/>
              </w:rPr>
              <w:t>开标评标</w:t>
            </w:r>
            <w:r>
              <w:rPr>
                <w:rFonts w:hint="eastAsia" w:ascii="宋体" w:hAnsi="宋体" w:cs="宋体"/>
                <w:color w:val="auto"/>
                <w:szCs w:val="21"/>
                <w:highlight w:val="none"/>
                <w:u w:val="single"/>
              </w:rPr>
              <w:t>、定标</w:t>
            </w:r>
            <w:r>
              <w:rPr>
                <w:rFonts w:hint="eastAsia" w:ascii="宋体" w:hAnsi="宋体" w:cs="宋体"/>
                <w:color w:val="auto"/>
                <w:szCs w:val="21"/>
                <w:highlight w:val="none"/>
              </w:rPr>
              <w:t>办法</w:t>
            </w:r>
          </w:p>
        </w:tc>
        <w:tc>
          <w:tcPr>
            <w:tcW w:w="6089" w:type="dxa"/>
            <w:tcBorders>
              <w:top w:val="single" w:color="auto" w:sz="4" w:space="0"/>
              <w:left w:val="single" w:color="auto" w:sz="4" w:space="0"/>
              <w:bottom w:val="single" w:color="auto" w:sz="4" w:space="0"/>
              <w:right w:val="double" w:color="auto" w:sz="4" w:space="0"/>
            </w:tcBorders>
            <w:vAlign w:val="center"/>
          </w:tcPr>
          <w:p w14:paraId="1C67DA14">
            <w:pPr>
              <w:spacing w:after="120"/>
              <w:rPr>
                <w:rFonts w:hint="eastAsia" w:ascii="宋体" w:hAnsi="宋体" w:cs="宋体"/>
                <w:color w:val="auto"/>
                <w:szCs w:val="21"/>
                <w:highlight w:val="none"/>
              </w:rPr>
            </w:pPr>
            <w:r>
              <w:rPr>
                <w:rFonts w:hint="eastAsia" w:ascii="宋体" w:hAnsi="宋体" w:cs="宋体"/>
                <w:color w:val="auto"/>
                <w:szCs w:val="21"/>
                <w:highlight w:val="none"/>
              </w:rPr>
              <w:t>本项目采用评定分离定标办法</w:t>
            </w:r>
          </w:p>
          <w:p w14:paraId="1D8D5EE1">
            <w:pPr>
              <w:pStyle w:val="25"/>
              <w:spacing w:after="0"/>
              <w:ind w:firstLine="0"/>
              <w:rPr>
                <w:rFonts w:hint="eastAsia" w:ascii="宋体" w:hAnsi="宋体" w:eastAsia="宋体" w:cs="宋体"/>
                <w:color w:val="auto"/>
                <w:kern w:val="2"/>
                <w:sz w:val="21"/>
                <w:szCs w:val="21"/>
                <w:highlight w:val="none"/>
                <w:u w:val="single"/>
                <w:lang w:eastAsia="zh-CN"/>
              </w:rPr>
            </w:pPr>
            <w:r>
              <w:rPr>
                <w:rFonts w:hint="eastAsia" w:ascii="宋体" w:hAnsi="宋体" w:cs="宋体"/>
                <w:color w:val="auto"/>
                <w:szCs w:val="21"/>
                <w:highlight w:val="none"/>
                <w:lang w:val="en-US" w:eastAsia="zh-CN"/>
              </w:rPr>
              <w:t>1、评标办法：</w:t>
            </w:r>
            <w:r>
              <w:rPr>
                <w:rFonts w:hint="eastAsia" w:ascii="宋体" w:hAnsi="宋体" w:cs="宋体"/>
                <w:color w:val="auto"/>
                <w:szCs w:val="21"/>
                <w:highlight w:val="none"/>
              </w:rPr>
              <w:t>评标采用“通过制”评标办法，所有通过初步评审（形式评审、资格评审、响应性评审）的投标人全部被推荐为合格的中标候选人，进入定标阶段【不排序，按其统一社会信用代码后4位（除校验码外）大小进行排位，如统一社会信用代码后4位（除校验码外）出现字母情况的，字母以“0”进行代替大小排位；如出现后4位（除校验码外）大小一致的，则随机排位】</w:t>
            </w:r>
            <w:r>
              <w:rPr>
                <w:rFonts w:hint="eastAsia" w:ascii="宋体" w:hAnsi="宋体" w:eastAsia="宋体" w:cs="宋体"/>
                <w:color w:val="auto"/>
                <w:kern w:val="2"/>
                <w:sz w:val="21"/>
                <w:szCs w:val="21"/>
                <w:highlight w:val="none"/>
                <w:u w:val="single"/>
                <w:lang w:eastAsia="zh-CN"/>
              </w:rPr>
              <w:t>。</w:t>
            </w:r>
          </w:p>
          <w:p w14:paraId="2AA1F897">
            <w:pPr>
              <w:spacing w:line="288" w:lineRule="auto"/>
              <w:rPr>
                <w:rFonts w:ascii="宋体" w:hAnsi="宋体"/>
                <w:color w:val="auto"/>
                <w:highlight w:val="none"/>
              </w:rPr>
            </w:pPr>
            <w:r>
              <w:rPr>
                <w:rFonts w:hint="eastAsia" w:ascii="宋体" w:hAnsi="宋体"/>
                <w:color w:val="auto"/>
                <w:highlight w:val="none"/>
              </w:rPr>
              <w:t>2.定标采用</w:t>
            </w:r>
            <w:r>
              <w:rPr>
                <w:rFonts w:hint="eastAsia" w:ascii="宋体" w:hAnsi="宋体"/>
                <w:b/>
                <w:bCs/>
                <w:color w:val="auto"/>
                <w:highlight w:val="none"/>
                <w:u w:val="single"/>
              </w:rPr>
              <w:t>“评分法”</w:t>
            </w:r>
            <w:r>
              <w:rPr>
                <w:rFonts w:hint="eastAsia" w:ascii="宋体" w:hAnsi="宋体"/>
                <w:color w:val="auto"/>
                <w:highlight w:val="none"/>
              </w:rPr>
              <w:t>，定标委员会从评标委员会推荐的合格中标候选人中，依据评分法选出得分最高的合格中标候选人，确定为中标人。定标采用“</w:t>
            </w:r>
            <w:r>
              <w:rPr>
                <w:rFonts w:hint="eastAsia" w:ascii="宋体" w:hAnsi="宋体"/>
                <w:color w:val="auto"/>
                <w:highlight w:val="none"/>
                <w:u w:val="single"/>
              </w:rPr>
              <w:t>方案因素+价格因素</w:t>
            </w:r>
            <w:r>
              <w:rPr>
                <w:rFonts w:hint="eastAsia" w:ascii="宋体" w:hAnsi="宋体"/>
                <w:color w:val="auto"/>
                <w:highlight w:val="none"/>
              </w:rPr>
              <w:t>评定法”，总得分（100分）=方案因素得分（</w:t>
            </w:r>
            <w:r>
              <w:rPr>
                <w:rFonts w:hint="eastAsia"/>
                <w:color w:val="auto"/>
                <w:highlight w:val="none"/>
                <w:lang w:val="en-US" w:eastAsia="zh-CN"/>
              </w:rPr>
              <w:t>8</w:t>
            </w:r>
            <w:r>
              <w:rPr>
                <w:rFonts w:hint="eastAsia" w:ascii="宋体" w:hAnsi="宋体"/>
                <w:color w:val="auto"/>
                <w:highlight w:val="none"/>
              </w:rPr>
              <w:t>0分）+价格因素得分（</w:t>
            </w:r>
            <w:r>
              <w:rPr>
                <w:rFonts w:hint="eastAsia"/>
                <w:color w:val="auto"/>
                <w:highlight w:val="none"/>
                <w:lang w:val="en-US" w:eastAsia="zh-CN"/>
              </w:rPr>
              <w:t>2</w:t>
            </w:r>
            <w:r>
              <w:rPr>
                <w:rFonts w:hint="eastAsia" w:ascii="宋体" w:hAnsi="宋体"/>
                <w:color w:val="auto"/>
                <w:highlight w:val="none"/>
              </w:rPr>
              <w:t>0分）。</w:t>
            </w:r>
          </w:p>
          <w:p w14:paraId="1286186D">
            <w:pPr>
              <w:spacing w:line="288" w:lineRule="auto"/>
              <w:rPr>
                <w:rFonts w:ascii="宋体" w:hAnsi="宋体"/>
                <w:b/>
                <w:bCs/>
                <w:color w:val="auto"/>
                <w:highlight w:val="none"/>
              </w:rPr>
            </w:pPr>
            <w:r>
              <w:rPr>
                <w:rFonts w:hint="eastAsia" w:ascii="宋体" w:hAnsi="宋体"/>
                <w:b/>
                <w:bCs/>
                <w:color w:val="auto"/>
                <w:highlight w:val="none"/>
              </w:rPr>
              <w:t>定标因素为：</w:t>
            </w:r>
          </w:p>
          <w:p w14:paraId="4AD41CEB">
            <w:pPr>
              <w:spacing w:line="288" w:lineRule="auto"/>
              <w:rPr>
                <w:rFonts w:ascii="宋体" w:hAnsi="宋体"/>
                <w:color w:val="auto"/>
                <w:highlight w:val="none"/>
              </w:rPr>
            </w:pPr>
            <w:r>
              <w:rPr>
                <w:rFonts w:hint="eastAsia" w:ascii="宋体" w:hAnsi="宋体"/>
                <w:b/>
                <w:bCs/>
                <w:color w:val="auto"/>
                <w:highlight w:val="none"/>
              </w:rPr>
              <w:t>（1）方案因素：</w:t>
            </w:r>
            <w:r>
              <w:rPr>
                <w:rFonts w:hint="eastAsia" w:ascii="宋体" w:hAnsi="宋体"/>
                <w:color w:val="auto"/>
                <w:highlight w:val="none"/>
              </w:rPr>
              <w:t>对合格中标候选人定标方案进行评审：</w:t>
            </w:r>
            <w:r>
              <w:rPr>
                <w:rFonts w:hint="eastAsia"/>
                <w:color w:val="auto"/>
                <w:highlight w:val="none"/>
                <w:lang w:val="en-US" w:eastAsia="zh-CN"/>
              </w:rPr>
              <w:t>商务、技术部分</w:t>
            </w:r>
            <w:r>
              <w:rPr>
                <w:rFonts w:hint="eastAsia" w:ascii="宋体" w:hAnsi="宋体"/>
                <w:color w:val="auto"/>
                <w:highlight w:val="none"/>
              </w:rPr>
              <w:t>。</w:t>
            </w:r>
          </w:p>
          <w:p w14:paraId="28DD8726">
            <w:pPr>
              <w:spacing w:line="312" w:lineRule="auto"/>
              <w:jc w:val="left"/>
              <w:rPr>
                <w:rFonts w:hint="eastAsia" w:ascii="宋体" w:hAnsi="宋体"/>
                <w:b/>
                <w:bCs/>
                <w:color w:val="auto"/>
                <w:highlight w:val="none"/>
              </w:rPr>
            </w:pPr>
            <w:r>
              <w:rPr>
                <w:rFonts w:hint="eastAsia" w:ascii="宋体" w:hAnsi="宋体"/>
                <w:b/>
                <w:bCs/>
                <w:color w:val="auto"/>
                <w:highlight w:val="none"/>
              </w:rPr>
              <w:t>（2）价格因素：</w:t>
            </w:r>
          </w:p>
          <w:p w14:paraId="5D4FE7EE">
            <w:pPr>
              <w:spacing w:line="312" w:lineRule="auto"/>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1）如果</w:t>
            </w:r>
            <w:r>
              <w:rPr>
                <w:rFonts w:hint="eastAsia" w:ascii="宋体" w:hAnsi="宋体" w:eastAsia="宋体" w:cs="宋体"/>
                <w:color w:val="auto"/>
                <w:kern w:val="0"/>
                <w:szCs w:val="21"/>
                <w:highlight w:val="none"/>
                <w:u w:val="none"/>
                <w:lang w:eastAsia="zh-CN"/>
              </w:rPr>
              <w:t>投标人</w:t>
            </w:r>
            <w:r>
              <w:rPr>
                <w:rFonts w:hint="eastAsia" w:ascii="宋体" w:hAnsi="宋体" w:eastAsia="宋体" w:cs="宋体"/>
                <w:color w:val="auto"/>
                <w:kern w:val="0"/>
                <w:szCs w:val="21"/>
                <w:highlight w:val="none"/>
                <w:u w:val="none"/>
              </w:rPr>
              <w:t>的</w:t>
            </w:r>
            <w:r>
              <w:rPr>
                <w:rFonts w:hint="eastAsia" w:ascii="宋体" w:hAnsi="宋体" w:eastAsia="宋体" w:cs="宋体"/>
                <w:color w:val="auto"/>
                <w:kern w:val="0"/>
                <w:szCs w:val="21"/>
                <w:highlight w:val="none"/>
                <w:u w:val="none"/>
                <w:lang w:val="en-US" w:eastAsia="zh-CN"/>
              </w:rPr>
              <w:t>投标</w:t>
            </w:r>
            <w:r>
              <w:rPr>
                <w:rFonts w:hint="eastAsia" w:ascii="宋体" w:hAnsi="宋体" w:eastAsia="宋体" w:cs="宋体"/>
                <w:color w:val="auto"/>
                <w:kern w:val="0"/>
                <w:szCs w:val="21"/>
                <w:highlight w:val="none"/>
                <w:u w:val="none"/>
              </w:rPr>
              <w:t>报价&gt;</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，则报价得分＝20-偏差率×100×1；</w:t>
            </w:r>
          </w:p>
          <w:p w14:paraId="14CA2E4B">
            <w:pPr>
              <w:spacing w:line="288" w:lineRule="auto"/>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2）如果</w:t>
            </w:r>
            <w:r>
              <w:rPr>
                <w:rFonts w:hint="eastAsia" w:ascii="宋体" w:hAnsi="宋体" w:eastAsia="宋体" w:cs="宋体"/>
                <w:color w:val="auto"/>
                <w:kern w:val="0"/>
                <w:szCs w:val="21"/>
                <w:highlight w:val="none"/>
                <w:u w:val="none"/>
                <w:lang w:eastAsia="zh-CN"/>
              </w:rPr>
              <w:t>投标人</w:t>
            </w:r>
            <w:r>
              <w:rPr>
                <w:rFonts w:hint="eastAsia" w:ascii="宋体" w:hAnsi="宋体" w:eastAsia="宋体" w:cs="宋体"/>
                <w:color w:val="auto"/>
                <w:kern w:val="0"/>
                <w:szCs w:val="21"/>
                <w:highlight w:val="none"/>
                <w:u w:val="none"/>
              </w:rPr>
              <w:t>的</w:t>
            </w:r>
            <w:r>
              <w:rPr>
                <w:rFonts w:hint="eastAsia" w:ascii="宋体" w:hAnsi="宋体" w:eastAsia="宋体" w:cs="宋体"/>
                <w:color w:val="auto"/>
                <w:kern w:val="0"/>
                <w:szCs w:val="21"/>
                <w:highlight w:val="none"/>
                <w:u w:val="none"/>
                <w:lang w:val="en-US" w:eastAsia="zh-CN"/>
              </w:rPr>
              <w:t>投标</w:t>
            </w:r>
            <w:r>
              <w:rPr>
                <w:rFonts w:hint="eastAsia" w:ascii="宋体" w:hAnsi="宋体" w:eastAsia="宋体" w:cs="宋体"/>
                <w:color w:val="auto"/>
                <w:kern w:val="0"/>
                <w:szCs w:val="21"/>
                <w:highlight w:val="none"/>
                <w:u w:val="none"/>
              </w:rPr>
              <w:t>报价≤</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，则报价得分＝20-偏差率×100×0.5。</w:t>
            </w:r>
          </w:p>
          <w:p w14:paraId="50D33792">
            <w:pPr>
              <w:spacing w:line="312" w:lineRule="auto"/>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lang w:val="en-US" w:eastAsia="zh-CN"/>
              </w:rPr>
              <w:t>说明</w:t>
            </w:r>
            <w:r>
              <w:rPr>
                <w:rFonts w:hint="eastAsia" w:ascii="宋体" w:hAnsi="宋体" w:eastAsia="宋体" w:cs="宋体"/>
                <w:color w:val="auto"/>
                <w:kern w:val="0"/>
                <w:szCs w:val="21"/>
                <w:highlight w:val="none"/>
                <w:u w:val="none"/>
              </w:rPr>
              <w:t>：</w:t>
            </w:r>
          </w:p>
          <w:p w14:paraId="45B99064">
            <w:pPr>
              <w:spacing w:line="312" w:lineRule="auto"/>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①偏差率=|（</w:t>
            </w:r>
            <w:r>
              <w:rPr>
                <w:rFonts w:hint="eastAsia" w:ascii="宋体" w:hAnsi="宋体" w:eastAsia="宋体" w:cs="宋体"/>
                <w:color w:val="auto"/>
                <w:kern w:val="0"/>
                <w:szCs w:val="21"/>
                <w:highlight w:val="none"/>
                <w:u w:val="none"/>
                <w:lang w:eastAsia="zh-CN"/>
              </w:rPr>
              <w:t>投标人</w:t>
            </w:r>
            <w:r>
              <w:rPr>
                <w:rFonts w:hint="eastAsia" w:ascii="宋体" w:hAnsi="宋体" w:eastAsia="宋体" w:cs="宋体"/>
                <w:color w:val="auto"/>
                <w:kern w:val="0"/>
                <w:szCs w:val="21"/>
                <w:highlight w:val="none"/>
                <w:u w:val="none"/>
                <w:lang w:val="en-US" w:eastAsia="zh-CN"/>
              </w:rPr>
              <w:t>投标</w:t>
            </w:r>
            <w:r>
              <w:rPr>
                <w:rFonts w:hint="eastAsia" w:ascii="宋体" w:hAnsi="宋体" w:eastAsia="宋体" w:cs="宋体"/>
                <w:color w:val="auto"/>
                <w:kern w:val="0"/>
                <w:szCs w:val="21"/>
                <w:highlight w:val="none"/>
                <w:u w:val="none"/>
              </w:rPr>
              <w:t>报价-</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|（取绝对值），偏差率保留2位小数。</w:t>
            </w:r>
          </w:p>
          <w:p w14:paraId="44FA1289">
            <w:pPr>
              <w:spacing w:line="312" w:lineRule="auto"/>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②</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：当所有</w:t>
            </w:r>
            <w:r>
              <w:rPr>
                <w:rFonts w:hint="eastAsia" w:ascii="宋体" w:hAnsi="宋体" w:eastAsia="宋体" w:cs="宋体"/>
                <w:color w:val="auto"/>
                <w:kern w:val="0"/>
                <w:szCs w:val="21"/>
                <w:highlight w:val="none"/>
                <w:u w:val="none"/>
                <w:lang w:eastAsia="zh-CN"/>
              </w:rPr>
              <w:t>合格的中标候选人</w:t>
            </w:r>
            <w:r>
              <w:rPr>
                <w:rFonts w:hint="eastAsia" w:ascii="宋体" w:hAnsi="宋体" w:eastAsia="宋体" w:cs="宋体"/>
                <w:color w:val="auto"/>
                <w:kern w:val="0"/>
                <w:szCs w:val="21"/>
                <w:highlight w:val="none"/>
                <w:u w:val="none"/>
              </w:rPr>
              <w:t>家数小于5家时，取所有</w:t>
            </w:r>
            <w:r>
              <w:rPr>
                <w:rFonts w:hint="eastAsia" w:ascii="宋体" w:hAnsi="宋体" w:eastAsia="宋体" w:cs="宋体"/>
                <w:color w:val="auto"/>
                <w:kern w:val="0"/>
                <w:szCs w:val="21"/>
                <w:highlight w:val="none"/>
                <w:u w:val="none"/>
                <w:lang w:val="en-US" w:eastAsia="zh-CN"/>
              </w:rPr>
              <w:t>投标</w:t>
            </w:r>
            <w:r>
              <w:rPr>
                <w:rFonts w:hint="eastAsia" w:ascii="宋体" w:hAnsi="宋体" w:eastAsia="宋体" w:cs="宋体"/>
                <w:color w:val="auto"/>
                <w:kern w:val="0"/>
                <w:szCs w:val="21"/>
                <w:highlight w:val="none"/>
                <w:u w:val="none"/>
              </w:rPr>
              <w:t>报价平均值为</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；当所有</w:t>
            </w:r>
            <w:r>
              <w:rPr>
                <w:rFonts w:hint="eastAsia" w:ascii="宋体" w:hAnsi="宋体" w:eastAsia="宋体" w:cs="宋体"/>
                <w:color w:val="auto"/>
                <w:kern w:val="0"/>
                <w:szCs w:val="21"/>
                <w:highlight w:val="none"/>
                <w:u w:val="none"/>
                <w:lang w:eastAsia="zh-CN"/>
              </w:rPr>
              <w:t>合格的中标候选人</w:t>
            </w:r>
            <w:r>
              <w:rPr>
                <w:rFonts w:hint="eastAsia" w:ascii="宋体" w:hAnsi="宋体" w:eastAsia="宋体" w:cs="宋体"/>
                <w:color w:val="auto"/>
                <w:kern w:val="0"/>
                <w:szCs w:val="21"/>
                <w:highlight w:val="none"/>
                <w:u w:val="none"/>
              </w:rPr>
              <w:t>家数大于等于5家小于10家时，去掉一个最高价和一个最低价后，取剩余所有</w:t>
            </w:r>
            <w:r>
              <w:rPr>
                <w:rFonts w:hint="eastAsia" w:ascii="宋体" w:hAnsi="宋体" w:eastAsia="宋体" w:cs="宋体"/>
                <w:color w:val="auto"/>
                <w:kern w:val="0"/>
                <w:szCs w:val="21"/>
                <w:highlight w:val="none"/>
                <w:u w:val="none"/>
                <w:lang w:val="en-US" w:eastAsia="zh-CN"/>
              </w:rPr>
              <w:t>投标</w:t>
            </w:r>
            <w:r>
              <w:rPr>
                <w:rFonts w:hint="eastAsia" w:ascii="宋体" w:hAnsi="宋体" w:eastAsia="宋体" w:cs="宋体"/>
                <w:color w:val="auto"/>
                <w:kern w:val="0"/>
                <w:szCs w:val="21"/>
                <w:highlight w:val="none"/>
                <w:u w:val="none"/>
              </w:rPr>
              <w:t>报价平均值为</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；当所有</w:t>
            </w:r>
            <w:r>
              <w:rPr>
                <w:rFonts w:hint="eastAsia" w:ascii="宋体" w:hAnsi="宋体" w:eastAsia="宋体" w:cs="宋体"/>
                <w:color w:val="auto"/>
                <w:kern w:val="0"/>
                <w:szCs w:val="21"/>
                <w:highlight w:val="none"/>
                <w:u w:val="none"/>
                <w:lang w:eastAsia="zh-CN"/>
              </w:rPr>
              <w:t>合格的中标候选人</w:t>
            </w:r>
            <w:r>
              <w:rPr>
                <w:rFonts w:hint="eastAsia" w:ascii="宋体" w:hAnsi="宋体" w:eastAsia="宋体" w:cs="宋体"/>
                <w:color w:val="auto"/>
                <w:kern w:val="0"/>
                <w:szCs w:val="21"/>
                <w:highlight w:val="none"/>
                <w:u w:val="none"/>
              </w:rPr>
              <w:t>家数大于等于10家时，去掉两个最高价和两个最低价后，取剩余所有</w:t>
            </w:r>
            <w:r>
              <w:rPr>
                <w:rFonts w:hint="eastAsia" w:ascii="宋体" w:hAnsi="宋体" w:eastAsia="宋体" w:cs="宋体"/>
                <w:color w:val="auto"/>
                <w:kern w:val="0"/>
                <w:szCs w:val="21"/>
                <w:highlight w:val="none"/>
                <w:u w:val="none"/>
                <w:lang w:val="en-US" w:eastAsia="zh-CN"/>
              </w:rPr>
              <w:t>投标</w:t>
            </w:r>
            <w:r>
              <w:rPr>
                <w:rFonts w:hint="eastAsia" w:ascii="宋体" w:hAnsi="宋体" w:eastAsia="宋体" w:cs="宋体"/>
                <w:color w:val="auto"/>
                <w:kern w:val="0"/>
                <w:szCs w:val="21"/>
                <w:highlight w:val="none"/>
                <w:u w:val="none"/>
              </w:rPr>
              <w:t>报价平均值为</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。按以上方式计算出的</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高于最高投标限价的95%时，以最高投标限价的95%作为</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w:t>
            </w:r>
          </w:p>
          <w:p w14:paraId="04FABD99">
            <w:pPr>
              <w:spacing w:line="288" w:lineRule="auto"/>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③按上述公式计算的得分小于0时，按0分计算</w:t>
            </w:r>
          </w:p>
          <w:p w14:paraId="67F4CB48">
            <w:pPr>
              <w:pStyle w:val="25"/>
              <w:spacing w:after="0"/>
              <w:ind w:firstLine="0"/>
              <w:rPr>
                <w:rFonts w:hint="eastAsia" w:ascii="宋体" w:hAnsi="宋体" w:eastAsia="宋体" w:cs="宋体"/>
                <w:color w:val="auto"/>
                <w:kern w:val="2"/>
                <w:sz w:val="21"/>
                <w:szCs w:val="21"/>
                <w:highlight w:val="none"/>
                <w:u w:val="single"/>
                <w:lang w:eastAsia="zh-CN"/>
              </w:rPr>
            </w:pPr>
            <w:r>
              <w:rPr>
                <w:rFonts w:hint="eastAsia" w:ascii="宋体" w:hAnsi="宋体" w:cs="宋体"/>
                <w:bCs/>
                <w:color w:val="auto"/>
                <w:szCs w:val="21"/>
                <w:highlight w:val="none"/>
                <w:u w:val="single"/>
              </w:rPr>
              <w:t>注：若合格中标候选人总分相同且影响定标排序的，以方案因素得分高的排前；若方案因素得分仍相同的，以投标总报价低的排前；若投标总报价仍相同的，由定标委员会投票确定排序</w:t>
            </w:r>
          </w:p>
        </w:tc>
      </w:tr>
      <w:tr w14:paraId="4CF12F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39" w:type="dxa"/>
            <w:tcBorders>
              <w:top w:val="single" w:color="auto" w:sz="4" w:space="0"/>
              <w:left w:val="double" w:color="auto" w:sz="4" w:space="0"/>
              <w:bottom w:val="single" w:color="auto" w:sz="4" w:space="0"/>
              <w:right w:val="single" w:color="auto" w:sz="4" w:space="0"/>
            </w:tcBorders>
            <w:vAlign w:val="center"/>
          </w:tcPr>
          <w:p w14:paraId="7AD04C1D">
            <w:pPr>
              <w:rPr>
                <w:rFonts w:hint="default" w:eastAsia="宋体"/>
                <w:color w:val="auto"/>
                <w:szCs w:val="21"/>
                <w:highlight w:val="none"/>
                <w:lang w:val="en-US" w:eastAsia="zh-CN"/>
              </w:rPr>
            </w:pPr>
            <w:r>
              <w:rPr>
                <w:rFonts w:hint="eastAsia"/>
                <w:color w:val="auto"/>
                <w:szCs w:val="21"/>
                <w:highlight w:val="none"/>
                <w:lang w:val="en-US" w:eastAsia="zh-CN"/>
              </w:rPr>
              <w:t>20</w:t>
            </w:r>
          </w:p>
        </w:tc>
        <w:tc>
          <w:tcPr>
            <w:tcW w:w="893" w:type="dxa"/>
            <w:tcBorders>
              <w:top w:val="single" w:color="auto" w:sz="4" w:space="0"/>
              <w:left w:val="single" w:color="auto" w:sz="4" w:space="0"/>
              <w:bottom w:val="single" w:color="auto" w:sz="4" w:space="0"/>
              <w:right w:val="single" w:color="auto" w:sz="4" w:space="0"/>
            </w:tcBorders>
            <w:vAlign w:val="center"/>
          </w:tcPr>
          <w:p w14:paraId="227B2E70">
            <w:pPr>
              <w:rPr>
                <w:color w:val="auto"/>
                <w:szCs w:val="21"/>
                <w:highlight w:val="none"/>
              </w:rPr>
            </w:pPr>
            <w:r>
              <w:rPr>
                <w:color w:val="auto"/>
                <w:szCs w:val="21"/>
                <w:highlight w:val="none"/>
              </w:rPr>
              <w:t>29.1</w:t>
            </w:r>
          </w:p>
        </w:tc>
        <w:tc>
          <w:tcPr>
            <w:tcW w:w="1546" w:type="dxa"/>
            <w:tcBorders>
              <w:top w:val="single" w:color="auto" w:sz="4" w:space="0"/>
              <w:left w:val="single" w:color="auto" w:sz="4" w:space="0"/>
              <w:bottom w:val="single" w:color="auto" w:sz="4" w:space="0"/>
              <w:right w:val="single" w:color="auto" w:sz="4" w:space="0"/>
            </w:tcBorders>
            <w:vAlign w:val="center"/>
          </w:tcPr>
          <w:p w14:paraId="2A75354D">
            <w:pPr>
              <w:rPr>
                <w:color w:val="auto"/>
                <w:szCs w:val="21"/>
                <w:highlight w:val="none"/>
              </w:rPr>
            </w:pPr>
            <w:r>
              <w:rPr>
                <w:rFonts w:hint="eastAsia"/>
                <w:color w:val="auto"/>
                <w:szCs w:val="21"/>
                <w:highlight w:val="none"/>
              </w:rPr>
              <w:t>履约担保</w:t>
            </w:r>
          </w:p>
        </w:tc>
        <w:tc>
          <w:tcPr>
            <w:tcW w:w="6089" w:type="dxa"/>
            <w:tcBorders>
              <w:top w:val="single" w:color="auto" w:sz="4" w:space="0"/>
              <w:left w:val="single" w:color="auto" w:sz="4" w:space="0"/>
              <w:bottom w:val="single" w:color="auto" w:sz="4" w:space="0"/>
              <w:right w:val="double" w:color="auto" w:sz="4" w:space="0"/>
            </w:tcBorders>
            <w:vAlign w:val="center"/>
          </w:tcPr>
          <w:p w14:paraId="3EB7B776">
            <w:pPr>
              <w:rPr>
                <w:rFonts w:hint="eastAsia" w:ascii="宋体" w:hAnsi="宋体" w:eastAsia="宋体" w:cs="Times New Roman"/>
                <w:color w:val="auto"/>
                <w:kern w:val="2"/>
                <w:sz w:val="21"/>
                <w:szCs w:val="21"/>
                <w:highlight w:val="none"/>
                <w:u w:val="single"/>
                <w:lang w:val="en-US" w:eastAsia="zh-CN" w:bidi="ar-SA"/>
              </w:rPr>
            </w:pPr>
            <w:r>
              <w:rPr>
                <w:rFonts w:hint="eastAsia" w:ascii="宋体" w:hAnsi="宋体" w:eastAsia="宋体" w:cs="Times New Roman"/>
                <w:color w:val="auto"/>
                <w:kern w:val="2"/>
                <w:sz w:val="21"/>
                <w:szCs w:val="21"/>
                <w:highlight w:val="none"/>
                <w:lang w:val="en-US" w:eastAsia="zh-CN" w:bidi="ar-SA"/>
              </w:rPr>
              <w:t>方式一：中标人提供的履约保证金</w:t>
            </w:r>
            <w:r>
              <w:rPr>
                <w:rFonts w:hint="eastAsia" w:cs="Times New Roman"/>
                <w:color w:val="auto"/>
                <w:kern w:val="2"/>
                <w:sz w:val="21"/>
                <w:szCs w:val="21"/>
                <w:highlight w:val="none"/>
                <w:lang w:val="en-US" w:eastAsia="zh-CN" w:bidi="ar-SA"/>
              </w:rPr>
              <w:t>金额</w:t>
            </w:r>
            <w:r>
              <w:rPr>
                <w:rFonts w:hint="eastAsia" w:ascii="宋体" w:hAnsi="宋体" w:eastAsia="宋体" w:cs="Times New Roman"/>
                <w:color w:val="auto"/>
                <w:kern w:val="2"/>
                <w:sz w:val="21"/>
                <w:szCs w:val="21"/>
                <w:highlight w:val="none"/>
                <w:lang w:val="en-US" w:eastAsia="zh-CN" w:bidi="ar-SA"/>
              </w:rPr>
              <w:t>为中标价款的10%。</w:t>
            </w:r>
            <w:r>
              <w:rPr>
                <w:rFonts w:hint="eastAsia" w:ascii="宋体" w:hAnsi="宋体" w:eastAsia="宋体" w:cs="Times New Roman"/>
                <w:color w:val="auto"/>
                <w:kern w:val="2"/>
                <w:sz w:val="21"/>
                <w:szCs w:val="21"/>
                <w:highlight w:val="none"/>
                <w:u w:val="single"/>
                <w:lang w:val="en-US" w:eastAsia="zh-CN" w:bidi="ar-SA"/>
              </w:rPr>
              <w:t>中标人须提供由银行开具的无条件不可撤销的履约担保。如果中标人的履约担保是以银行保函的形式提供，则该银行保函应由在中国注册且营业的分行级别或以上的银行开具。</w:t>
            </w:r>
          </w:p>
          <w:p w14:paraId="71F7C703">
            <w:pPr>
              <w:pStyle w:val="14"/>
              <w:rPr>
                <w:color w:val="auto"/>
                <w:highlight w:val="none"/>
              </w:rPr>
            </w:pPr>
            <w:r>
              <w:rPr>
                <w:rFonts w:hint="eastAsia"/>
                <w:color w:val="auto"/>
                <w:highlight w:val="none"/>
                <w:lang w:val="en-US" w:eastAsia="zh-CN"/>
              </w:rPr>
              <w:t>中标人</w:t>
            </w:r>
            <w:r>
              <w:rPr>
                <w:rFonts w:hint="eastAsia"/>
                <w:color w:val="auto"/>
                <w:highlight w:val="none"/>
              </w:rPr>
              <w:t>须向</w:t>
            </w:r>
            <w:r>
              <w:rPr>
                <w:rFonts w:hint="eastAsia"/>
                <w:color w:val="auto"/>
                <w:highlight w:val="none"/>
                <w:lang w:val="en-US" w:eastAsia="zh-CN"/>
              </w:rPr>
              <w:t>招标人</w:t>
            </w:r>
            <w:r>
              <w:rPr>
                <w:rFonts w:hint="eastAsia"/>
                <w:color w:val="auto"/>
                <w:highlight w:val="none"/>
              </w:rPr>
              <w:t>提供本合同总价的7%的履约保函或履约保证金作为合同一般履约担保；另</w:t>
            </w:r>
            <w:r>
              <w:rPr>
                <w:rFonts w:hint="eastAsia"/>
                <w:color w:val="auto"/>
                <w:highlight w:val="none"/>
                <w:lang w:val="en-US" w:eastAsia="zh-CN"/>
              </w:rPr>
              <w:t>中标人</w:t>
            </w:r>
            <w:r>
              <w:rPr>
                <w:rFonts w:hint="eastAsia"/>
                <w:color w:val="auto"/>
                <w:highlight w:val="none"/>
              </w:rPr>
              <w:t>须向</w:t>
            </w:r>
            <w:r>
              <w:rPr>
                <w:rFonts w:hint="eastAsia"/>
                <w:color w:val="auto"/>
                <w:highlight w:val="none"/>
                <w:lang w:val="en-US" w:eastAsia="zh-CN"/>
              </w:rPr>
              <w:t>招标</w:t>
            </w:r>
            <w:r>
              <w:rPr>
                <w:rFonts w:hint="eastAsia"/>
                <w:color w:val="auto"/>
                <w:highlight w:val="none"/>
              </w:rPr>
              <w:t>人提供本合同总价的3%的履约保函或履约保证金作为农民工工资支付的专项履约担保。</w:t>
            </w:r>
          </w:p>
        </w:tc>
      </w:tr>
      <w:tr w14:paraId="3B76F6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639" w:type="dxa"/>
            <w:tcBorders>
              <w:top w:val="single" w:color="auto" w:sz="4" w:space="0"/>
              <w:left w:val="double" w:color="auto" w:sz="4" w:space="0"/>
              <w:bottom w:val="single" w:color="auto" w:sz="4" w:space="0"/>
              <w:right w:val="single" w:color="auto" w:sz="4" w:space="0"/>
            </w:tcBorders>
            <w:vAlign w:val="center"/>
          </w:tcPr>
          <w:p w14:paraId="5E200DD0">
            <w:pPr>
              <w:rPr>
                <w:color w:val="auto"/>
                <w:szCs w:val="21"/>
                <w:highlight w:val="none"/>
              </w:rPr>
            </w:pPr>
            <w:r>
              <w:rPr>
                <w:color w:val="auto"/>
                <w:szCs w:val="21"/>
                <w:highlight w:val="none"/>
              </w:rPr>
              <w:t>2</w:t>
            </w:r>
            <w:r>
              <w:rPr>
                <w:rFonts w:hint="eastAsia"/>
                <w:color w:val="auto"/>
                <w:szCs w:val="21"/>
                <w:highlight w:val="none"/>
              </w:rPr>
              <w:t>1</w:t>
            </w:r>
          </w:p>
        </w:tc>
        <w:tc>
          <w:tcPr>
            <w:tcW w:w="893" w:type="dxa"/>
            <w:tcBorders>
              <w:top w:val="single" w:color="auto" w:sz="4" w:space="0"/>
              <w:left w:val="single" w:color="auto" w:sz="4" w:space="0"/>
              <w:bottom w:val="single" w:color="auto" w:sz="4" w:space="0"/>
              <w:right w:val="single" w:color="auto" w:sz="4" w:space="0"/>
            </w:tcBorders>
            <w:vAlign w:val="center"/>
          </w:tcPr>
          <w:p w14:paraId="52BB69C4">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110CFC30">
            <w:pPr>
              <w:rPr>
                <w:color w:val="auto"/>
                <w:szCs w:val="21"/>
                <w:highlight w:val="none"/>
              </w:rPr>
            </w:pPr>
            <w:r>
              <w:rPr>
                <w:rFonts w:hint="eastAsia"/>
                <w:color w:val="auto"/>
                <w:szCs w:val="21"/>
                <w:highlight w:val="none"/>
              </w:rPr>
              <w:t>最高投标限价</w:t>
            </w:r>
          </w:p>
        </w:tc>
        <w:tc>
          <w:tcPr>
            <w:tcW w:w="6089" w:type="dxa"/>
            <w:tcBorders>
              <w:top w:val="single" w:color="auto" w:sz="4" w:space="0"/>
              <w:left w:val="single" w:color="auto" w:sz="4" w:space="0"/>
              <w:bottom w:val="single" w:color="auto" w:sz="4" w:space="0"/>
              <w:right w:val="double" w:color="auto" w:sz="4" w:space="0"/>
            </w:tcBorders>
            <w:vAlign w:val="center"/>
          </w:tcPr>
          <w:p w14:paraId="0E9A6789">
            <w:pPr>
              <w:rPr>
                <w:color w:val="auto"/>
                <w:highlight w:val="none"/>
              </w:rPr>
            </w:pPr>
            <w:r>
              <w:rPr>
                <w:rFonts w:hint="eastAsia" w:cs="宋体"/>
                <w:color w:val="auto"/>
                <w:szCs w:val="21"/>
                <w:highlight w:val="none"/>
              </w:rPr>
              <w:t>本项目最高投标限价为人民币</w:t>
            </w:r>
            <w:r>
              <w:rPr>
                <w:rFonts w:hint="eastAsia" w:cs="宋体"/>
                <w:color w:val="auto"/>
                <w:szCs w:val="21"/>
                <w:highlight w:val="none"/>
                <w:u w:val="single"/>
              </w:rPr>
              <w:t>9,928,736.27</w:t>
            </w:r>
            <w:r>
              <w:rPr>
                <w:rFonts w:hint="eastAsia" w:cs="宋体"/>
                <w:color w:val="auto"/>
                <w:szCs w:val="21"/>
                <w:highlight w:val="none"/>
              </w:rPr>
              <w:t>元，投标总价超过最高投标限价的投标文件将被拒绝。</w:t>
            </w:r>
          </w:p>
        </w:tc>
      </w:tr>
      <w:tr w14:paraId="68661B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639" w:type="dxa"/>
            <w:tcBorders>
              <w:top w:val="single" w:color="auto" w:sz="4" w:space="0"/>
              <w:left w:val="double" w:color="auto" w:sz="4" w:space="0"/>
              <w:bottom w:val="single" w:color="auto" w:sz="4" w:space="0"/>
              <w:right w:val="single" w:color="auto" w:sz="4" w:space="0"/>
            </w:tcBorders>
            <w:vAlign w:val="center"/>
          </w:tcPr>
          <w:p w14:paraId="53E41DBA">
            <w:pPr>
              <w:rPr>
                <w:color w:val="auto"/>
                <w:szCs w:val="21"/>
                <w:highlight w:val="none"/>
              </w:rPr>
            </w:pPr>
            <w:r>
              <w:rPr>
                <w:color w:val="auto"/>
                <w:szCs w:val="21"/>
                <w:highlight w:val="none"/>
              </w:rPr>
              <w:t>2</w:t>
            </w:r>
            <w:r>
              <w:rPr>
                <w:rFonts w:hint="eastAsia"/>
                <w:color w:val="auto"/>
                <w:szCs w:val="21"/>
                <w:highlight w:val="none"/>
              </w:rPr>
              <w:t>2</w:t>
            </w:r>
          </w:p>
        </w:tc>
        <w:tc>
          <w:tcPr>
            <w:tcW w:w="893" w:type="dxa"/>
            <w:tcBorders>
              <w:top w:val="single" w:color="auto" w:sz="4" w:space="0"/>
              <w:left w:val="single" w:color="auto" w:sz="4" w:space="0"/>
              <w:bottom w:val="single" w:color="auto" w:sz="4" w:space="0"/>
              <w:right w:val="single" w:color="auto" w:sz="4" w:space="0"/>
            </w:tcBorders>
            <w:vAlign w:val="center"/>
          </w:tcPr>
          <w:p w14:paraId="371E229C">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7AE8E22A">
            <w:pPr>
              <w:rPr>
                <w:color w:val="auto"/>
                <w:szCs w:val="21"/>
                <w:highlight w:val="none"/>
              </w:rPr>
            </w:pPr>
            <w:r>
              <w:rPr>
                <w:rFonts w:hint="eastAsia"/>
                <w:color w:val="auto"/>
                <w:szCs w:val="21"/>
                <w:highlight w:val="none"/>
              </w:rPr>
              <w:t>非竞争费用</w:t>
            </w:r>
          </w:p>
        </w:tc>
        <w:tc>
          <w:tcPr>
            <w:tcW w:w="6089" w:type="dxa"/>
            <w:tcBorders>
              <w:top w:val="single" w:color="auto" w:sz="4" w:space="0"/>
              <w:left w:val="single" w:color="auto" w:sz="4" w:space="0"/>
              <w:bottom w:val="single" w:color="auto" w:sz="4" w:space="0"/>
              <w:right w:val="double" w:color="auto" w:sz="4" w:space="0"/>
            </w:tcBorders>
            <w:vAlign w:val="center"/>
          </w:tcPr>
          <w:p w14:paraId="18D1A350">
            <w:pPr>
              <w:jc w:val="left"/>
              <w:rPr>
                <w:rFonts w:cs="宋体"/>
                <w:color w:val="auto"/>
                <w:szCs w:val="21"/>
                <w:highlight w:val="none"/>
              </w:rPr>
            </w:pPr>
            <w:r>
              <w:rPr>
                <w:rFonts w:hint="eastAsia" w:cs="宋体"/>
                <w:color w:val="auto"/>
                <w:szCs w:val="21"/>
                <w:highlight w:val="none"/>
              </w:rPr>
              <w:t>本项目安全生产措施项目费为</w:t>
            </w:r>
            <w:r>
              <w:rPr>
                <w:rFonts w:hint="eastAsia" w:cs="宋体"/>
                <w:color w:val="auto"/>
                <w:szCs w:val="21"/>
                <w:highlight w:val="none"/>
                <w:lang w:val="en-US" w:eastAsia="zh-CN"/>
              </w:rPr>
              <w:t>人民币253,250.81</w:t>
            </w:r>
            <w:r>
              <w:rPr>
                <w:rFonts w:hint="eastAsia" w:cs="宋体"/>
                <w:color w:val="auto"/>
                <w:szCs w:val="21"/>
                <w:highlight w:val="none"/>
              </w:rPr>
              <w:t>元，暂列金额为人民币</w:t>
            </w:r>
            <w:r>
              <w:rPr>
                <w:rFonts w:hint="eastAsia" w:cs="宋体"/>
                <w:color w:val="auto"/>
                <w:szCs w:val="21"/>
                <w:highlight w:val="none"/>
                <w:u w:val="single"/>
                <w:lang w:val="en-US" w:eastAsia="zh-CN"/>
              </w:rPr>
              <w:t>473,000.00</w:t>
            </w:r>
            <w:r>
              <w:rPr>
                <w:rFonts w:hint="eastAsia" w:cs="宋体"/>
                <w:color w:val="auto"/>
                <w:szCs w:val="21"/>
                <w:highlight w:val="none"/>
              </w:rPr>
              <w:t>元，暂估价为</w:t>
            </w:r>
            <w:r>
              <w:rPr>
                <w:rFonts w:hint="eastAsia" w:cs="宋体"/>
                <w:color w:val="auto"/>
                <w:szCs w:val="21"/>
                <w:highlight w:val="none"/>
                <w:u w:val="single"/>
                <w:lang w:val="en-US" w:eastAsia="zh-CN"/>
              </w:rPr>
              <w:t>/</w:t>
            </w:r>
            <w:r>
              <w:rPr>
                <w:rFonts w:hint="eastAsia" w:cs="宋体"/>
                <w:color w:val="auto"/>
                <w:szCs w:val="21"/>
                <w:highlight w:val="none"/>
              </w:rPr>
              <w:t>元。（未按招标文件规定的金额填写的，由评标委员会按照招标文件规定的金额进行修正）</w:t>
            </w:r>
          </w:p>
        </w:tc>
      </w:tr>
      <w:tr w14:paraId="6FDC63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639" w:type="dxa"/>
            <w:tcBorders>
              <w:top w:val="single" w:color="auto" w:sz="4" w:space="0"/>
              <w:left w:val="double" w:color="auto" w:sz="4" w:space="0"/>
              <w:bottom w:val="single" w:color="auto" w:sz="4" w:space="0"/>
              <w:right w:val="single" w:color="auto" w:sz="4" w:space="0"/>
            </w:tcBorders>
            <w:vAlign w:val="center"/>
          </w:tcPr>
          <w:p w14:paraId="42BF3F46">
            <w:pPr>
              <w:rPr>
                <w:color w:val="auto"/>
                <w:szCs w:val="21"/>
                <w:highlight w:val="none"/>
              </w:rPr>
            </w:pPr>
            <w:r>
              <w:rPr>
                <w:rFonts w:hint="eastAsia"/>
                <w:color w:val="auto"/>
                <w:szCs w:val="21"/>
                <w:highlight w:val="none"/>
              </w:rPr>
              <w:t>23</w:t>
            </w:r>
          </w:p>
        </w:tc>
        <w:tc>
          <w:tcPr>
            <w:tcW w:w="893" w:type="dxa"/>
            <w:tcBorders>
              <w:top w:val="single" w:color="auto" w:sz="4" w:space="0"/>
              <w:left w:val="single" w:color="auto" w:sz="4" w:space="0"/>
              <w:bottom w:val="single" w:color="auto" w:sz="4" w:space="0"/>
              <w:right w:val="single" w:color="auto" w:sz="4" w:space="0"/>
            </w:tcBorders>
            <w:vAlign w:val="center"/>
          </w:tcPr>
          <w:p w14:paraId="073A60D5">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5635032A">
            <w:pPr>
              <w:pStyle w:val="25"/>
              <w:ind w:firstLine="0"/>
              <w:rPr>
                <w:rFonts w:ascii="宋体" w:hAnsi="宋体"/>
                <w:color w:val="auto"/>
                <w:kern w:val="2"/>
                <w:sz w:val="21"/>
                <w:szCs w:val="21"/>
                <w:highlight w:val="none"/>
              </w:rPr>
            </w:pPr>
            <w:r>
              <w:rPr>
                <w:rFonts w:hint="eastAsia" w:ascii="宋体" w:hAnsi="宋体"/>
                <w:color w:val="auto"/>
                <w:kern w:val="2"/>
                <w:sz w:val="21"/>
                <w:szCs w:val="21"/>
                <w:highlight w:val="none"/>
              </w:rPr>
              <w:t>保修期</w:t>
            </w:r>
          </w:p>
        </w:tc>
        <w:tc>
          <w:tcPr>
            <w:tcW w:w="6089" w:type="dxa"/>
            <w:tcBorders>
              <w:top w:val="single" w:color="auto" w:sz="4" w:space="0"/>
              <w:left w:val="single" w:color="auto" w:sz="4" w:space="0"/>
              <w:bottom w:val="single" w:color="auto" w:sz="4" w:space="0"/>
              <w:right w:val="double" w:color="auto" w:sz="4" w:space="0"/>
            </w:tcBorders>
            <w:vAlign w:val="center"/>
          </w:tcPr>
          <w:p w14:paraId="31EC44A2">
            <w:pPr>
              <w:rPr>
                <w:color w:val="auto"/>
                <w:szCs w:val="21"/>
                <w:highlight w:val="none"/>
              </w:rPr>
            </w:pPr>
            <w:r>
              <w:rPr>
                <w:rFonts w:hint="eastAsia"/>
                <w:color w:val="auto"/>
                <w:szCs w:val="21"/>
                <w:highlight w:val="none"/>
              </w:rPr>
              <w:t>按照《建设工程质量管理条例》规定</w:t>
            </w:r>
            <w:r>
              <w:rPr>
                <w:rFonts w:hint="eastAsia"/>
                <w:color w:val="auto"/>
                <w:szCs w:val="21"/>
                <w:highlight w:val="none"/>
                <w:lang w:val="en-US" w:eastAsia="zh-CN"/>
              </w:rPr>
              <w:t>。</w:t>
            </w:r>
          </w:p>
        </w:tc>
      </w:tr>
      <w:tr w14:paraId="06DD3E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639" w:type="dxa"/>
            <w:tcBorders>
              <w:top w:val="single" w:color="auto" w:sz="4" w:space="0"/>
              <w:left w:val="double" w:color="auto" w:sz="4" w:space="0"/>
              <w:bottom w:val="single" w:color="auto" w:sz="4" w:space="0"/>
              <w:right w:val="single" w:color="auto" w:sz="4" w:space="0"/>
            </w:tcBorders>
            <w:vAlign w:val="center"/>
          </w:tcPr>
          <w:p w14:paraId="236B8151">
            <w:pPr>
              <w:rPr>
                <w:color w:val="auto"/>
                <w:szCs w:val="21"/>
                <w:highlight w:val="none"/>
              </w:rPr>
            </w:pPr>
            <w:r>
              <w:rPr>
                <w:color w:val="auto"/>
                <w:szCs w:val="21"/>
                <w:highlight w:val="none"/>
              </w:rPr>
              <w:t>2</w:t>
            </w:r>
            <w:r>
              <w:rPr>
                <w:rFonts w:hint="eastAsia"/>
                <w:color w:val="auto"/>
                <w:szCs w:val="21"/>
                <w:highlight w:val="none"/>
              </w:rPr>
              <w:t>4</w:t>
            </w:r>
          </w:p>
        </w:tc>
        <w:tc>
          <w:tcPr>
            <w:tcW w:w="893" w:type="dxa"/>
            <w:tcBorders>
              <w:top w:val="single" w:color="auto" w:sz="4" w:space="0"/>
              <w:left w:val="single" w:color="auto" w:sz="4" w:space="0"/>
              <w:bottom w:val="single" w:color="auto" w:sz="4" w:space="0"/>
              <w:right w:val="single" w:color="auto" w:sz="4" w:space="0"/>
            </w:tcBorders>
            <w:vAlign w:val="center"/>
          </w:tcPr>
          <w:p w14:paraId="2B1D7627">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7CEACFDF">
            <w:pPr>
              <w:rPr>
                <w:rFonts w:hint="default" w:eastAsia="宋体"/>
                <w:color w:val="auto"/>
                <w:szCs w:val="21"/>
                <w:highlight w:val="none"/>
                <w:lang w:val="en-US" w:eastAsia="zh-CN"/>
              </w:rPr>
            </w:pPr>
            <w:r>
              <w:rPr>
                <w:rFonts w:hint="eastAsia"/>
                <w:color w:val="auto"/>
                <w:szCs w:val="21"/>
                <w:highlight w:val="none"/>
              </w:rPr>
              <w:t>计算评标参考价的等分点值</w:t>
            </w:r>
          </w:p>
        </w:tc>
        <w:tc>
          <w:tcPr>
            <w:tcW w:w="6089" w:type="dxa"/>
            <w:tcBorders>
              <w:top w:val="single" w:color="auto" w:sz="4" w:space="0"/>
              <w:left w:val="single" w:color="auto" w:sz="4" w:space="0"/>
              <w:bottom w:val="single" w:color="auto" w:sz="4" w:space="0"/>
              <w:right w:val="double" w:color="auto" w:sz="4" w:space="0"/>
            </w:tcBorders>
            <w:vAlign w:val="center"/>
          </w:tcPr>
          <w:p w14:paraId="05123834">
            <w:pPr>
              <w:rPr>
                <w:color w:val="auto"/>
                <w:szCs w:val="21"/>
                <w:highlight w:val="none"/>
              </w:rPr>
            </w:pPr>
            <w:r>
              <w:rPr>
                <w:rFonts w:hint="eastAsia"/>
                <w:color w:val="auto"/>
                <w:szCs w:val="21"/>
                <w:highlight w:val="none"/>
                <w:lang w:val="en-US" w:eastAsia="zh-CN"/>
              </w:rPr>
              <w:t>本项目不适用</w:t>
            </w:r>
            <w:r>
              <w:rPr>
                <w:rFonts w:hint="eastAsia"/>
                <w:color w:val="auto"/>
                <w:szCs w:val="21"/>
                <w:highlight w:val="none"/>
              </w:rPr>
              <w:t>。</w:t>
            </w:r>
          </w:p>
        </w:tc>
      </w:tr>
      <w:tr w14:paraId="25EEBC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14:paraId="74ACCE03">
            <w:pPr>
              <w:rPr>
                <w:color w:val="auto"/>
                <w:szCs w:val="21"/>
                <w:highlight w:val="none"/>
              </w:rPr>
            </w:pPr>
            <w:r>
              <w:rPr>
                <w:rFonts w:hint="eastAsia"/>
                <w:color w:val="auto"/>
                <w:szCs w:val="21"/>
                <w:highlight w:val="none"/>
              </w:rPr>
              <w:t>25</w:t>
            </w:r>
          </w:p>
        </w:tc>
        <w:tc>
          <w:tcPr>
            <w:tcW w:w="893" w:type="dxa"/>
            <w:tcBorders>
              <w:top w:val="single" w:color="auto" w:sz="4" w:space="0"/>
              <w:left w:val="single" w:color="auto" w:sz="4" w:space="0"/>
              <w:bottom w:val="single" w:color="auto" w:sz="4" w:space="0"/>
              <w:right w:val="single" w:color="auto" w:sz="4" w:space="0"/>
            </w:tcBorders>
            <w:vAlign w:val="center"/>
          </w:tcPr>
          <w:p w14:paraId="4DB29044">
            <w:pPr>
              <w:ind w:firstLine="458"/>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55736979">
            <w:pPr>
              <w:rPr>
                <w:color w:val="auto"/>
                <w:szCs w:val="21"/>
                <w:highlight w:val="none"/>
              </w:rPr>
            </w:pPr>
            <w:r>
              <w:rPr>
                <w:rFonts w:hint="eastAsia"/>
                <w:color w:val="auto"/>
                <w:szCs w:val="21"/>
                <w:highlight w:val="none"/>
              </w:rPr>
              <w:t>进入第二阶段评审的家数</w:t>
            </w:r>
          </w:p>
        </w:tc>
        <w:tc>
          <w:tcPr>
            <w:tcW w:w="6089" w:type="dxa"/>
            <w:tcBorders>
              <w:top w:val="single" w:color="auto" w:sz="4" w:space="0"/>
              <w:left w:val="single" w:color="auto" w:sz="4" w:space="0"/>
              <w:bottom w:val="single" w:color="auto" w:sz="4" w:space="0"/>
              <w:right w:val="double" w:color="auto" w:sz="4" w:space="0"/>
            </w:tcBorders>
            <w:vAlign w:val="center"/>
          </w:tcPr>
          <w:p w14:paraId="10D3F477">
            <w:pPr>
              <w:rPr>
                <w:color w:val="auto"/>
                <w:szCs w:val="21"/>
                <w:highlight w:val="none"/>
              </w:rPr>
            </w:pPr>
            <w:r>
              <w:rPr>
                <w:rFonts w:hint="eastAsia" w:ascii="宋体" w:hAnsi="宋体" w:cs="宋体"/>
                <w:color w:val="auto"/>
                <w:szCs w:val="21"/>
                <w:highlight w:val="none"/>
                <w:u w:val="single"/>
              </w:rPr>
              <w:t>本</w:t>
            </w:r>
            <w:r>
              <w:rPr>
                <w:rFonts w:hint="eastAsia" w:cs="宋体"/>
                <w:color w:val="auto"/>
                <w:szCs w:val="21"/>
                <w:highlight w:val="none"/>
                <w:u w:val="single"/>
                <w:lang w:val="en-US" w:eastAsia="zh-CN"/>
              </w:rPr>
              <w:t>项目</w:t>
            </w:r>
            <w:r>
              <w:rPr>
                <w:rFonts w:hint="eastAsia" w:ascii="宋体" w:hAnsi="宋体" w:cs="宋体"/>
                <w:color w:val="auto"/>
                <w:szCs w:val="21"/>
                <w:highlight w:val="none"/>
                <w:u w:val="single"/>
              </w:rPr>
              <w:t>不适用。</w:t>
            </w:r>
          </w:p>
        </w:tc>
      </w:tr>
      <w:tr w14:paraId="2134CD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14:paraId="7EE842BB">
            <w:pPr>
              <w:rPr>
                <w:color w:val="auto"/>
                <w:szCs w:val="21"/>
                <w:highlight w:val="none"/>
              </w:rPr>
            </w:pPr>
            <w:r>
              <w:rPr>
                <w:rFonts w:hint="eastAsia"/>
                <w:color w:val="auto"/>
                <w:szCs w:val="21"/>
                <w:highlight w:val="none"/>
              </w:rPr>
              <w:t>26</w:t>
            </w:r>
          </w:p>
        </w:tc>
        <w:tc>
          <w:tcPr>
            <w:tcW w:w="893" w:type="dxa"/>
            <w:tcBorders>
              <w:top w:val="single" w:color="auto" w:sz="4" w:space="0"/>
              <w:left w:val="single" w:color="auto" w:sz="4" w:space="0"/>
              <w:bottom w:val="single" w:color="auto" w:sz="4" w:space="0"/>
              <w:right w:val="single" w:color="auto" w:sz="4" w:space="0"/>
            </w:tcBorders>
            <w:vAlign w:val="center"/>
          </w:tcPr>
          <w:p w14:paraId="17DC2C5E">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76894C7E">
            <w:pPr>
              <w:rPr>
                <w:color w:val="auto"/>
                <w:szCs w:val="21"/>
                <w:highlight w:val="none"/>
              </w:rPr>
            </w:pPr>
            <w:r>
              <w:rPr>
                <w:rFonts w:hint="eastAsia"/>
                <w:color w:val="auto"/>
                <w:szCs w:val="21"/>
                <w:highlight w:val="none"/>
              </w:rPr>
              <w:t>工程成本警戒价</w:t>
            </w:r>
          </w:p>
        </w:tc>
        <w:tc>
          <w:tcPr>
            <w:tcW w:w="6089" w:type="dxa"/>
            <w:tcBorders>
              <w:top w:val="single" w:color="auto" w:sz="4" w:space="0"/>
              <w:left w:val="single" w:color="auto" w:sz="4" w:space="0"/>
              <w:bottom w:val="single" w:color="auto" w:sz="4" w:space="0"/>
              <w:right w:val="double" w:color="auto" w:sz="4" w:space="0"/>
            </w:tcBorders>
            <w:vAlign w:val="center"/>
          </w:tcPr>
          <w:p w14:paraId="2ED27E3F">
            <w:pPr>
              <w:rPr>
                <w:color w:val="auto"/>
                <w:szCs w:val="21"/>
                <w:highlight w:val="none"/>
              </w:rPr>
            </w:pPr>
            <w:r>
              <w:rPr>
                <w:rFonts w:hint="eastAsia"/>
                <w:color w:val="auto"/>
                <w:szCs w:val="21"/>
                <w:highlight w:val="none"/>
              </w:rPr>
              <w:t>工程成本警戒价为</w:t>
            </w:r>
            <w:r>
              <w:rPr>
                <w:rFonts w:hint="eastAsia" w:cs="宋体"/>
                <w:color w:val="auto"/>
                <w:szCs w:val="21"/>
                <w:highlight w:val="none"/>
                <w:u w:val="single"/>
                <w:lang w:val="en-US" w:eastAsia="zh-CN"/>
              </w:rPr>
              <w:t>/</w:t>
            </w:r>
            <w:r>
              <w:rPr>
                <w:rFonts w:hint="eastAsia" w:cs="宋体"/>
                <w:color w:val="auto"/>
                <w:szCs w:val="21"/>
                <w:highlight w:val="none"/>
              </w:rPr>
              <w:t>元(按最高投标限价的</w:t>
            </w:r>
            <w:r>
              <w:rPr>
                <w:rFonts w:hint="eastAsia" w:cs="宋体"/>
                <w:color w:val="auto"/>
                <w:szCs w:val="21"/>
                <w:highlight w:val="none"/>
                <w:lang w:val="en-US" w:eastAsia="zh-CN"/>
              </w:rPr>
              <w:t>/</w:t>
            </w:r>
            <w:r>
              <w:rPr>
                <w:rFonts w:hint="eastAsia" w:cs="宋体"/>
                <w:color w:val="auto"/>
                <w:szCs w:val="21"/>
                <w:highlight w:val="none"/>
              </w:rPr>
              <w:t>设置）</w:t>
            </w:r>
            <w:r>
              <w:rPr>
                <w:rFonts w:hint="eastAsia"/>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1B17D29F">
            <w:pPr>
              <w:rPr>
                <w:color w:val="auto"/>
                <w:szCs w:val="21"/>
                <w:highlight w:val="none"/>
                <w:u w:val="single"/>
              </w:rPr>
            </w:pPr>
            <w:r>
              <w:rPr>
                <w:rFonts w:hint="eastAsia"/>
                <w:color w:val="auto"/>
                <w:szCs w:val="21"/>
                <w:highlight w:val="none"/>
              </w:rPr>
              <w:t>注：为充分体现招标人意愿及落实项目招标人负责制，警戒价由招标人决定。</w:t>
            </w:r>
          </w:p>
        </w:tc>
      </w:tr>
      <w:tr w14:paraId="417909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14:paraId="216809C2">
            <w:pPr>
              <w:rPr>
                <w:color w:val="auto"/>
                <w:szCs w:val="21"/>
                <w:highlight w:val="none"/>
              </w:rPr>
            </w:pPr>
            <w:r>
              <w:rPr>
                <w:rFonts w:hint="eastAsia"/>
                <w:color w:val="auto"/>
                <w:szCs w:val="21"/>
                <w:highlight w:val="none"/>
              </w:rPr>
              <w:t>27</w:t>
            </w:r>
          </w:p>
        </w:tc>
        <w:tc>
          <w:tcPr>
            <w:tcW w:w="893" w:type="dxa"/>
            <w:tcBorders>
              <w:top w:val="single" w:color="auto" w:sz="4" w:space="0"/>
              <w:left w:val="single" w:color="auto" w:sz="4" w:space="0"/>
              <w:bottom w:val="single" w:color="auto" w:sz="4" w:space="0"/>
              <w:right w:val="single" w:color="auto" w:sz="4" w:space="0"/>
            </w:tcBorders>
            <w:vAlign w:val="center"/>
          </w:tcPr>
          <w:p w14:paraId="74928067">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33DE4425">
            <w:pPr>
              <w:rPr>
                <w:color w:val="auto"/>
                <w:szCs w:val="21"/>
                <w:highlight w:val="none"/>
              </w:rPr>
            </w:pPr>
            <w:r>
              <w:rPr>
                <w:rFonts w:hint="eastAsia"/>
                <w:color w:val="auto"/>
                <w:szCs w:val="21"/>
                <w:highlight w:val="none"/>
              </w:rPr>
              <w:t>第一阶段各分值的权重</w:t>
            </w:r>
          </w:p>
        </w:tc>
        <w:tc>
          <w:tcPr>
            <w:tcW w:w="6089" w:type="dxa"/>
            <w:tcBorders>
              <w:top w:val="single" w:color="auto" w:sz="4" w:space="0"/>
              <w:left w:val="single" w:color="auto" w:sz="4" w:space="0"/>
              <w:bottom w:val="single" w:color="auto" w:sz="4" w:space="0"/>
              <w:right w:val="double" w:color="auto" w:sz="4" w:space="0"/>
            </w:tcBorders>
            <w:vAlign w:val="center"/>
          </w:tcPr>
          <w:p w14:paraId="2AB04D03">
            <w:pPr>
              <w:rPr>
                <w:color w:val="auto"/>
                <w:highlight w:val="none"/>
              </w:rPr>
            </w:pPr>
            <w:r>
              <w:rPr>
                <w:rFonts w:hint="eastAsia"/>
                <w:color w:val="auto"/>
                <w:szCs w:val="21"/>
                <w:highlight w:val="none"/>
                <w:u w:val="single"/>
              </w:rPr>
              <w:t>本项目不适用。</w:t>
            </w:r>
          </w:p>
        </w:tc>
      </w:tr>
      <w:tr w14:paraId="3EAB6F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vMerge w:val="restart"/>
            <w:tcBorders>
              <w:top w:val="single" w:color="auto" w:sz="4" w:space="0"/>
              <w:left w:val="double" w:color="auto" w:sz="4" w:space="0"/>
              <w:right w:val="single" w:color="auto" w:sz="4" w:space="0"/>
            </w:tcBorders>
            <w:vAlign w:val="center"/>
          </w:tcPr>
          <w:p w14:paraId="2C9C69E9">
            <w:pPr>
              <w:rPr>
                <w:color w:val="auto"/>
                <w:szCs w:val="21"/>
                <w:highlight w:val="none"/>
              </w:rPr>
            </w:pPr>
            <w:r>
              <w:rPr>
                <w:rFonts w:hint="eastAsia"/>
                <w:color w:val="auto"/>
                <w:szCs w:val="21"/>
                <w:highlight w:val="none"/>
              </w:rPr>
              <w:t>28</w:t>
            </w:r>
          </w:p>
        </w:tc>
        <w:tc>
          <w:tcPr>
            <w:tcW w:w="893" w:type="dxa"/>
            <w:vMerge w:val="restart"/>
            <w:tcBorders>
              <w:top w:val="single" w:color="auto" w:sz="4" w:space="0"/>
              <w:left w:val="single" w:color="auto" w:sz="4" w:space="0"/>
              <w:right w:val="single" w:color="auto" w:sz="4" w:space="0"/>
            </w:tcBorders>
            <w:vAlign w:val="center"/>
          </w:tcPr>
          <w:p w14:paraId="4F794F11">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275658D2">
            <w:pPr>
              <w:rPr>
                <w:color w:val="auto"/>
                <w:szCs w:val="21"/>
                <w:highlight w:val="none"/>
              </w:rPr>
            </w:pPr>
            <w:r>
              <w:rPr>
                <w:rFonts w:hint="eastAsia"/>
                <w:color w:val="auto"/>
                <w:szCs w:val="21"/>
                <w:highlight w:val="none"/>
              </w:rPr>
              <w:t>评标委员会人数</w:t>
            </w:r>
          </w:p>
        </w:tc>
        <w:tc>
          <w:tcPr>
            <w:tcW w:w="6089" w:type="dxa"/>
            <w:tcBorders>
              <w:top w:val="single" w:color="auto" w:sz="4" w:space="0"/>
              <w:left w:val="single" w:color="auto" w:sz="4" w:space="0"/>
              <w:bottom w:val="single" w:color="auto" w:sz="4" w:space="0"/>
              <w:right w:val="double" w:color="auto" w:sz="4" w:space="0"/>
            </w:tcBorders>
            <w:vAlign w:val="center"/>
          </w:tcPr>
          <w:p w14:paraId="7B2271D7">
            <w:pPr>
              <w:rPr>
                <w:color w:val="auto"/>
                <w:szCs w:val="21"/>
                <w:highlight w:val="none"/>
              </w:rPr>
            </w:pPr>
            <w:r>
              <w:rPr>
                <w:rFonts w:hint="eastAsia" w:cs="宋体"/>
                <w:color w:val="auto"/>
                <w:szCs w:val="21"/>
                <w:highlight w:val="none"/>
              </w:rPr>
              <w:t>评标委员会由招标人依法组建。</w:t>
            </w:r>
          </w:p>
        </w:tc>
      </w:tr>
      <w:tr w14:paraId="4CDC98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639" w:type="dxa"/>
            <w:vMerge w:val="continue"/>
            <w:tcBorders>
              <w:left w:val="double" w:color="auto" w:sz="4" w:space="0"/>
              <w:right w:val="single" w:color="auto" w:sz="4" w:space="0"/>
            </w:tcBorders>
            <w:vAlign w:val="center"/>
          </w:tcPr>
          <w:p w14:paraId="35445D35">
            <w:pPr>
              <w:rPr>
                <w:rFonts w:hint="eastAsia"/>
                <w:color w:val="auto"/>
                <w:szCs w:val="21"/>
                <w:highlight w:val="none"/>
              </w:rPr>
            </w:pPr>
          </w:p>
        </w:tc>
        <w:tc>
          <w:tcPr>
            <w:tcW w:w="893" w:type="dxa"/>
            <w:vMerge w:val="continue"/>
            <w:tcBorders>
              <w:left w:val="single" w:color="auto" w:sz="4" w:space="0"/>
              <w:right w:val="single" w:color="auto" w:sz="4" w:space="0"/>
            </w:tcBorders>
            <w:vAlign w:val="center"/>
          </w:tcPr>
          <w:p w14:paraId="13FD9DE5">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7603FDC2">
            <w:pPr>
              <w:rPr>
                <w:rFonts w:hint="default" w:eastAsia="宋体"/>
                <w:color w:val="auto"/>
                <w:szCs w:val="21"/>
                <w:highlight w:val="none"/>
                <w:lang w:val="en-US" w:eastAsia="zh-CN"/>
              </w:rPr>
            </w:pPr>
            <w:r>
              <w:rPr>
                <w:rFonts w:hint="eastAsia"/>
                <w:color w:val="auto"/>
                <w:szCs w:val="21"/>
                <w:highlight w:val="none"/>
                <w:lang w:val="en-US" w:eastAsia="zh-CN"/>
              </w:rPr>
              <w:t>定标委员会人数</w:t>
            </w:r>
          </w:p>
        </w:tc>
        <w:tc>
          <w:tcPr>
            <w:tcW w:w="6089" w:type="dxa"/>
            <w:tcBorders>
              <w:top w:val="single" w:color="auto" w:sz="4" w:space="0"/>
              <w:left w:val="single" w:color="auto" w:sz="4" w:space="0"/>
              <w:bottom w:val="single" w:color="auto" w:sz="4" w:space="0"/>
              <w:right w:val="double" w:color="auto" w:sz="4" w:space="0"/>
            </w:tcBorders>
            <w:vAlign w:val="center"/>
          </w:tcPr>
          <w:p w14:paraId="1DBC6F57">
            <w:pPr>
              <w:rPr>
                <w:rFonts w:hint="eastAsia" w:cs="宋体"/>
                <w:color w:val="auto"/>
                <w:szCs w:val="21"/>
                <w:highlight w:val="none"/>
              </w:rPr>
            </w:pPr>
            <w:r>
              <w:rPr>
                <w:rFonts w:hint="eastAsia" w:ascii="宋体" w:hAnsi="宋体" w:cs="宋体"/>
                <w:color w:val="auto"/>
                <w:szCs w:val="21"/>
                <w:highlight w:val="none"/>
              </w:rPr>
              <w:t>定标委员会由招标人依法组建，成员数量为5人。</w:t>
            </w:r>
          </w:p>
        </w:tc>
      </w:tr>
      <w:tr w14:paraId="2AEE73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639" w:type="dxa"/>
            <w:vMerge w:val="continue"/>
            <w:tcBorders>
              <w:left w:val="double" w:color="auto" w:sz="4" w:space="0"/>
              <w:bottom w:val="single" w:color="auto" w:sz="4" w:space="0"/>
              <w:right w:val="single" w:color="auto" w:sz="4" w:space="0"/>
            </w:tcBorders>
            <w:vAlign w:val="center"/>
          </w:tcPr>
          <w:p w14:paraId="3D5AA8D5">
            <w:pPr>
              <w:rPr>
                <w:rFonts w:hint="eastAsia"/>
                <w:color w:val="auto"/>
                <w:szCs w:val="21"/>
                <w:highlight w:val="none"/>
              </w:rPr>
            </w:pPr>
          </w:p>
        </w:tc>
        <w:tc>
          <w:tcPr>
            <w:tcW w:w="893" w:type="dxa"/>
            <w:vMerge w:val="continue"/>
            <w:tcBorders>
              <w:left w:val="single" w:color="auto" w:sz="4" w:space="0"/>
              <w:bottom w:val="single" w:color="auto" w:sz="4" w:space="0"/>
              <w:right w:val="single" w:color="auto" w:sz="4" w:space="0"/>
            </w:tcBorders>
            <w:vAlign w:val="center"/>
          </w:tcPr>
          <w:p w14:paraId="13640EA5">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66D9A52E">
            <w:pPr>
              <w:rPr>
                <w:rFonts w:hint="default"/>
                <w:color w:val="auto"/>
                <w:szCs w:val="21"/>
                <w:highlight w:val="none"/>
                <w:lang w:val="en-US" w:eastAsia="zh-CN"/>
              </w:rPr>
            </w:pPr>
            <w:r>
              <w:rPr>
                <w:rFonts w:hint="eastAsia"/>
                <w:color w:val="auto"/>
                <w:szCs w:val="21"/>
                <w:highlight w:val="none"/>
                <w:lang w:val="en-US" w:eastAsia="zh-CN"/>
              </w:rPr>
              <w:t>监督小组人数</w:t>
            </w:r>
          </w:p>
        </w:tc>
        <w:tc>
          <w:tcPr>
            <w:tcW w:w="6089" w:type="dxa"/>
            <w:tcBorders>
              <w:top w:val="single" w:color="auto" w:sz="4" w:space="0"/>
              <w:left w:val="single" w:color="auto" w:sz="4" w:space="0"/>
              <w:bottom w:val="single" w:color="auto" w:sz="4" w:space="0"/>
              <w:right w:val="double" w:color="auto" w:sz="4" w:space="0"/>
            </w:tcBorders>
            <w:vAlign w:val="center"/>
          </w:tcPr>
          <w:p w14:paraId="19ECDBB8">
            <w:pPr>
              <w:rPr>
                <w:rFonts w:hint="eastAsia" w:ascii="宋体" w:hAnsi="宋体" w:cs="宋体"/>
                <w:color w:val="auto"/>
                <w:szCs w:val="21"/>
                <w:highlight w:val="none"/>
              </w:rPr>
            </w:pPr>
            <w:r>
              <w:rPr>
                <w:rFonts w:hint="eastAsia" w:ascii="宋体" w:hAnsi="宋体" w:cs="宋体"/>
                <w:color w:val="auto"/>
                <w:szCs w:val="21"/>
                <w:highlight w:val="none"/>
              </w:rPr>
              <w:t>定标监督小组由招标人组建，人数为2人。</w:t>
            </w:r>
          </w:p>
        </w:tc>
      </w:tr>
      <w:tr w14:paraId="68684E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14:paraId="518A65BF">
            <w:pPr>
              <w:rPr>
                <w:color w:val="auto"/>
                <w:szCs w:val="21"/>
                <w:highlight w:val="none"/>
              </w:rPr>
            </w:pPr>
            <w:r>
              <w:rPr>
                <w:rFonts w:hint="eastAsia"/>
                <w:color w:val="auto"/>
                <w:szCs w:val="21"/>
                <w:highlight w:val="none"/>
              </w:rPr>
              <w:t>29</w:t>
            </w:r>
          </w:p>
        </w:tc>
        <w:tc>
          <w:tcPr>
            <w:tcW w:w="893" w:type="dxa"/>
            <w:tcBorders>
              <w:top w:val="single" w:color="auto" w:sz="4" w:space="0"/>
              <w:left w:val="single" w:color="auto" w:sz="4" w:space="0"/>
              <w:bottom w:val="single" w:color="auto" w:sz="4" w:space="0"/>
              <w:right w:val="single" w:color="auto" w:sz="4" w:space="0"/>
            </w:tcBorders>
            <w:vAlign w:val="center"/>
          </w:tcPr>
          <w:p w14:paraId="67EC0700">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7DEE642B">
            <w:pPr>
              <w:rPr>
                <w:color w:val="auto"/>
                <w:szCs w:val="21"/>
                <w:highlight w:val="none"/>
              </w:rPr>
            </w:pPr>
            <w:r>
              <w:rPr>
                <w:rFonts w:hint="eastAsia"/>
                <w:color w:val="auto"/>
                <w:szCs w:val="21"/>
                <w:highlight w:val="none"/>
              </w:rPr>
              <w:t>企业综合诚信评价分数</w:t>
            </w:r>
          </w:p>
        </w:tc>
        <w:tc>
          <w:tcPr>
            <w:tcW w:w="6089" w:type="dxa"/>
            <w:tcBorders>
              <w:top w:val="single" w:color="auto" w:sz="4" w:space="0"/>
              <w:left w:val="single" w:color="auto" w:sz="4" w:space="0"/>
              <w:bottom w:val="single" w:color="auto" w:sz="4" w:space="0"/>
              <w:right w:val="double" w:color="auto" w:sz="4" w:space="0"/>
            </w:tcBorders>
            <w:vAlign w:val="center"/>
          </w:tcPr>
          <w:p w14:paraId="5DF860DE">
            <w:pPr>
              <w:pStyle w:val="2"/>
              <w:ind w:firstLine="0" w:firstLineChars="0"/>
              <w:rPr>
                <w:rFonts w:hint="eastAsia" w:eastAsia="宋体"/>
                <w:color w:val="auto"/>
                <w:highlight w:val="none"/>
                <w:u w:val="single"/>
                <w:lang w:eastAsia="zh-CN"/>
              </w:rPr>
            </w:pPr>
            <w:r>
              <w:rPr>
                <w:rFonts w:hint="eastAsia"/>
                <w:color w:val="auto"/>
                <w:szCs w:val="21"/>
                <w:highlight w:val="none"/>
                <w:u w:val="single"/>
              </w:rPr>
              <w:t>本项目不适用。</w:t>
            </w:r>
          </w:p>
        </w:tc>
      </w:tr>
      <w:tr w14:paraId="7A9D18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14:paraId="01124BFD">
            <w:pPr>
              <w:rPr>
                <w:color w:val="auto"/>
                <w:szCs w:val="21"/>
                <w:highlight w:val="none"/>
              </w:rPr>
            </w:pPr>
            <w:r>
              <w:rPr>
                <w:rFonts w:hint="eastAsia"/>
                <w:color w:val="auto"/>
                <w:szCs w:val="21"/>
                <w:highlight w:val="none"/>
              </w:rPr>
              <w:t>30</w:t>
            </w:r>
          </w:p>
        </w:tc>
        <w:tc>
          <w:tcPr>
            <w:tcW w:w="893" w:type="dxa"/>
            <w:tcBorders>
              <w:top w:val="single" w:color="auto" w:sz="4" w:space="0"/>
              <w:left w:val="single" w:color="auto" w:sz="4" w:space="0"/>
              <w:bottom w:val="single" w:color="auto" w:sz="4" w:space="0"/>
              <w:right w:val="single" w:color="auto" w:sz="4" w:space="0"/>
            </w:tcBorders>
            <w:vAlign w:val="center"/>
          </w:tcPr>
          <w:p w14:paraId="486E66FB">
            <w:pPr>
              <w:ind w:firstLine="458"/>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409BBF80">
            <w:pPr>
              <w:rPr>
                <w:color w:val="auto"/>
                <w:szCs w:val="21"/>
                <w:highlight w:val="none"/>
              </w:rPr>
            </w:pPr>
            <w:r>
              <w:rPr>
                <w:rFonts w:hint="eastAsia"/>
                <w:color w:val="auto"/>
                <w:szCs w:val="21"/>
                <w:highlight w:val="none"/>
              </w:rPr>
              <w:t>第二阶段投标人名次的排序方法（适用于办法一、办法二）</w:t>
            </w:r>
          </w:p>
        </w:tc>
        <w:tc>
          <w:tcPr>
            <w:tcW w:w="6089" w:type="dxa"/>
            <w:tcBorders>
              <w:top w:val="single" w:color="auto" w:sz="4" w:space="0"/>
              <w:left w:val="single" w:color="auto" w:sz="4" w:space="0"/>
              <w:bottom w:val="single" w:color="auto" w:sz="4" w:space="0"/>
              <w:right w:val="double" w:color="auto" w:sz="4" w:space="0"/>
            </w:tcBorders>
            <w:vAlign w:val="center"/>
          </w:tcPr>
          <w:p w14:paraId="63D0120B">
            <w:pPr>
              <w:rPr>
                <w:color w:val="auto"/>
                <w:szCs w:val="21"/>
                <w:highlight w:val="none"/>
                <w:u w:val="single"/>
              </w:rPr>
            </w:pPr>
            <w:r>
              <w:rPr>
                <w:rFonts w:hint="eastAsia"/>
                <w:color w:val="auto"/>
                <w:szCs w:val="21"/>
                <w:highlight w:val="none"/>
                <w:u w:val="single"/>
              </w:rPr>
              <w:t>本项目不适用。</w:t>
            </w:r>
          </w:p>
        </w:tc>
      </w:tr>
      <w:tr w14:paraId="770055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14:paraId="61835233">
            <w:pPr>
              <w:rPr>
                <w:color w:val="auto"/>
                <w:szCs w:val="21"/>
                <w:highlight w:val="none"/>
              </w:rPr>
            </w:pPr>
            <w:r>
              <w:rPr>
                <w:rFonts w:hint="eastAsia"/>
                <w:color w:val="auto"/>
                <w:szCs w:val="21"/>
                <w:highlight w:val="none"/>
              </w:rPr>
              <w:t>31</w:t>
            </w:r>
          </w:p>
        </w:tc>
        <w:tc>
          <w:tcPr>
            <w:tcW w:w="893" w:type="dxa"/>
            <w:tcBorders>
              <w:top w:val="single" w:color="auto" w:sz="4" w:space="0"/>
              <w:left w:val="single" w:color="auto" w:sz="4" w:space="0"/>
              <w:bottom w:val="single" w:color="auto" w:sz="4" w:space="0"/>
              <w:right w:val="single" w:color="auto" w:sz="4" w:space="0"/>
            </w:tcBorders>
            <w:vAlign w:val="center"/>
          </w:tcPr>
          <w:p w14:paraId="182557A8">
            <w:pPr>
              <w:ind w:firstLine="458"/>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13FDF409">
            <w:pPr>
              <w:rPr>
                <w:color w:val="auto"/>
                <w:szCs w:val="21"/>
                <w:highlight w:val="none"/>
              </w:rPr>
            </w:pPr>
            <w:r>
              <w:rPr>
                <w:rFonts w:hint="eastAsia"/>
                <w:color w:val="auto"/>
                <w:szCs w:val="21"/>
                <w:highlight w:val="none"/>
              </w:rPr>
              <w:t>经济分相同情况下的排序方法（适用于办法三、办法四）</w:t>
            </w:r>
          </w:p>
        </w:tc>
        <w:tc>
          <w:tcPr>
            <w:tcW w:w="6089" w:type="dxa"/>
            <w:tcBorders>
              <w:top w:val="single" w:color="auto" w:sz="4" w:space="0"/>
              <w:left w:val="single" w:color="auto" w:sz="4" w:space="0"/>
              <w:bottom w:val="single" w:color="auto" w:sz="4" w:space="0"/>
              <w:right w:val="double" w:color="auto" w:sz="4" w:space="0"/>
            </w:tcBorders>
            <w:vAlign w:val="center"/>
          </w:tcPr>
          <w:p w14:paraId="48E26833">
            <w:pPr>
              <w:rPr>
                <w:color w:val="auto"/>
                <w:szCs w:val="21"/>
                <w:highlight w:val="none"/>
                <w:u w:val="single"/>
              </w:rPr>
            </w:pPr>
            <w:r>
              <w:rPr>
                <w:rFonts w:hint="eastAsia"/>
                <w:color w:val="auto"/>
                <w:szCs w:val="21"/>
                <w:highlight w:val="none"/>
                <w:u w:val="single"/>
              </w:rPr>
              <w:t>本项目不适用。</w:t>
            </w:r>
          </w:p>
        </w:tc>
      </w:tr>
      <w:tr w14:paraId="402B17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14:paraId="45EC91C3">
            <w:pPr>
              <w:rPr>
                <w:color w:val="auto"/>
                <w:szCs w:val="21"/>
                <w:highlight w:val="none"/>
              </w:rPr>
            </w:pPr>
            <w:r>
              <w:rPr>
                <w:rFonts w:hint="eastAsia"/>
                <w:color w:val="auto"/>
                <w:szCs w:val="21"/>
                <w:highlight w:val="none"/>
              </w:rPr>
              <w:t>32</w:t>
            </w:r>
          </w:p>
        </w:tc>
        <w:tc>
          <w:tcPr>
            <w:tcW w:w="893" w:type="dxa"/>
            <w:tcBorders>
              <w:top w:val="single" w:color="auto" w:sz="4" w:space="0"/>
              <w:left w:val="single" w:color="auto" w:sz="4" w:space="0"/>
              <w:bottom w:val="single" w:color="auto" w:sz="4" w:space="0"/>
              <w:right w:val="single" w:color="auto" w:sz="4" w:space="0"/>
            </w:tcBorders>
            <w:vAlign w:val="center"/>
          </w:tcPr>
          <w:p w14:paraId="104C76B0">
            <w:pPr>
              <w:ind w:firstLine="458"/>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40BCCC93">
            <w:pPr>
              <w:rPr>
                <w:color w:val="auto"/>
                <w:szCs w:val="21"/>
                <w:highlight w:val="none"/>
              </w:rPr>
            </w:pPr>
            <w:r>
              <w:rPr>
                <w:rFonts w:hint="eastAsia"/>
                <w:color w:val="auto"/>
                <w:szCs w:val="21"/>
                <w:highlight w:val="none"/>
              </w:rPr>
              <w:t>第二阶段投标人名次的排序方法（适用于办法五、办法六）</w:t>
            </w:r>
          </w:p>
        </w:tc>
        <w:tc>
          <w:tcPr>
            <w:tcW w:w="6089" w:type="dxa"/>
            <w:tcBorders>
              <w:top w:val="single" w:color="auto" w:sz="4" w:space="0"/>
              <w:left w:val="single" w:color="auto" w:sz="4" w:space="0"/>
              <w:bottom w:val="single" w:color="auto" w:sz="4" w:space="0"/>
              <w:right w:val="double" w:color="auto" w:sz="4" w:space="0"/>
            </w:tcBorders>
            <w:vAlign w:val="center"/>
          </w:tcPr>
          <w:p w14:paraId="21F2BCA5">
            <w:pPr>
              <w:rPr>
                <w:color w:val="auto"/>
                <w:szCs w:val="21"/>
                <w:highlight w:val="none"/>
              </w:rPr>
            </w:pPr>
            <w:r>
              <w:rPr>
                <w:rFonts w:hint="eastAsia"/>
                <w:color w:val="auto"/>
                <w:szCs w:val="21"/>
                <w:highlight w:val="none"/>
                <w:u w:val="single"/>
              </w:rPr>
              <w:t>本项目不适用。</w:t>
            </w:r>
          </w:p>
        </w:tc>
      </w:tr>
      <w:tr w14:paraId="221FBA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639" w:type="dxa"/>
            <w:tcBorders>
              <w:top w:val="single" w:color="auto" w:sz="4" w:space="0"/>
              <w:left w:val="double" w:color="auto" w:sz="4" w:space="0"/>
              <w:bottom w:val="single" w:color="auto" w:sz="4" w:space="0"/>
              <w:right w:val="single" w:color="auto" w:sz="4" w:space="0"/>
            </w:tcBorders>
            <w:vAlign w:val="center"/>
          </w:tcPr>
          <w:p w14:paraId="76C67DB6">
            <w:pPr>
              <w:rPr>
                <w:color w:val="auto"/>
                <w:szCs w:val="21"/>
                <w:highlight w:val="none"/>
              </w:rPr>
            </w:pPr>
            <w:r>
              <w:rPr>
                <w:rFonts w:hint="eastAsia"/>
                <w:color w:val="auto"/>
                <w:szCs w:val="21"/>
                <w:highlight w:val="none"/>
              </w:rPr>
              <w:t>33</w:t>
            </w:r>
          </w:p>
        </w:tc>
        <w:tc>
          <w:tcPr>
            <w:tcW w:w="893" w:type="dxa"/>
            <w:tcBorders>
              <w:top w:val="single" w:color="auto" w:sz="4" w:space="0"/>
              <w:left w:val="single" w:color="auto" w:sz="4" w:space="0"/>
              <w:bottom w:val="single" w:color="auto" w:sz="4" w:space="0"/>
              <w:right w:val="single" w:color="auto" w:sz="4" w:space="0"/>
            </w:tcBorders>
            <w:vAlign w:val="center"/>
          </w:tcPr>
          <w:p w14:paraId="04CA86B4">
            <w:pPr>
              <w:rPr>
                <w:color w:val="auto"/>
                <w:szCs w:val="21"/>
                <w:highlight w:val="none"/>
              </w:rPr>
            </w:pPr>
            <w:r>
              <w:rPr>
                <w:color w:val="auto"/>
                <w:szCs w:val="21"/>
                <w:highlight w:val="none"/>
              </w:rPr>
              <w:t>13.4</w:t>
            </w:r>
            <w:r>
              <w:rPr>
                <w:rFonts w:hint="eastAsia"/>
                <w:color w:val="auto"/>
                <w:szCs w:val="21"/>
                <w:highlight w:val="none"/>
              </w:rPr>
              <w:t>、</w:t>
            </w:r>
            <w:r>
              <w:rPr>
                <w:color w:val="auto"/>
                <w:szCs w:val="21"/>
                <w:highlight w:val="none"/>
              </w:rPr>
              <w:t>13.5.2</w:t>
            </w:r>
          </w:p>
        </w:tc>
        <w:tc>
          <w:tcPr>
            <w:tcW w:w="1546" w:type="dxa"/>
            <w:tcBorders>
              <w:top w:val="single" w:color="auto" w:sz="4" w:space="0"/>
              <w:left w:val="single" w:color="auto" w:sz="4" w:space="0"/>
              <w:bottom w:val="single" w:color="auto" w:sz="4" w:space="0"/>
              <w:right w:val="single" w:color="auto" w:sz="4" w:space="0"/>
            </w:tcBorders>
            <w:vAlign w:val="center"/>
          </w:tcPr>
          <w:p w14:paraId="00F30894">
            <w:pPr>
              <w:rPr>
                <w:color w:val="auto"/>
                <w:szCs w:val="21"/>
                <w:highlight w:val="none"/>
              </w:rPr>
            </w:pPr>
            <w:r>
              <w:rPr>
                <w:rFonts w:hint="eastAsia"/>
                <w:color w:val="auto"/>
                <w:szCs w:val="21"/>
                <w:highlight w:val="none"/>
              </w:rPr>
              <w:t>合同价款的调整办法</w:t>
            </w:r>
          </w:p>
        </w:tc>
        <w:tc>
          <w:tcPr>
            <w:tcW w:w="6089" w:type="dxa"/>
            <w:tcBorders>
              <w:top w:val="single" w:color="auto" w:sz="4" w:space="0"/>
              <w:left w:val="single" w:color="auto" w:sz="4" w:space="0"/>
              <w:bottom w:val="single" w:color="auto" w:sz="4" w:space="0"/>
              <w:right w:val="double" w:color="auto" w:sz="4" w:space="0"/>
            </w:tcBorders>
            <w:vAlign w:val="center"/>
          </w:tcPr>
          <w:p w14:paraId="2283B947">
            <w:pPr>
              <w:rPr>
                <w:color w:val="auto"/>
                <w:szCs w:val="21"/>
                <w:highlight w:val="none"/>
                <w:u w:val="single"/>
              </w:rPr>
            </w:pPr>
            <w:r>
              <w:rPr>
                <w:rFonts w:hint="eastAsia"/>
                <w:color w:val="auto"/>
                <w:szCs w:val="21"/>
                <w:highlight w:val="none"/>
                <w:u w:val="single"/>
              </w:rPr>
              <w:t>按合同条款相关约定调整。</w:t>
            </w:r>
          </w:p>
        </w:tc>
      </w:tr>
      <w:tr w14:paraId="68F6F7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14:paraId="62B81A20">
            <w:pPr>
              <w:rPr>
                <w:color w:val="auto"/>
                <w:szCs w:val="21"/>
                <w:highlight w:val="none"/>
              </w:rPr>
            </w:pPr>
            <w:r>
              <w:rPr>
                <w:color w:val="auto"/>
                <w:szCs w:val="21"/>
                <w:highlight w:val="none"/>
              </w:rPr>
              <w:t>3</w:t>
            </w:r>
            <w:r>
              <w:rPr>
                <w:rFonts w:hint="eastAsia"/>
                <w:color w:val="auto"/>
                <w:szCs w:val="21"/>
                <w:highlight w:val="none"/>
              </w:rPr>
              <w:t>4</w:t>
            </w:r>
          </w:p>
        </w:tc>
        <w:tc>
          <w:tcPr>
            <w:tcW w:w="893" w:type="dxa"/>
            <w:tcBorders>
              <w:top w:val="single" w:color="auto" w:sz="4" w:space="0"/>
              <w:left w:val="single" w:color="auto" w:sz="4" w:space="0"/>
              <w:bottom w:val="single" w:color="auto" w:sz="4" w:space="0"/>
              <w:right w:val="single" w:color="auto" w:sz="4" w:space="0"/>
            </w:tcBorders>
            <w:vAlign w:val="center"/>
          </w:tcPr>
          <w:p w14:paraId="416CCE21">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431E29A2">
            <w:pPr>
              <w:rPr>
                <w:color w:val="auto"/>
                <w:szCs w:val="21"/>
                <w:highlight w:val="none"/>
              </w:rPr>
            </w:pPr>
            <w:r>
              <w:rPr>
                <w:rFonts w:hint="eastAsia"/>
                <w:color w:val="auto"/>
                <w:kern w:val="0"/>
                <w:szCs w:val="21"/>
                <w:highlight w:val="none"/>
                <w:lang w:val="zh-CN"/>
              </w:rPr>
              <w:t>建设工程质量检测单位</w:t>
            </w:r>
          </w:p>
        </w:tc>
        <w:tc>
          <w:tcPr>
            <w:tcW w:w="6089" w:type="dxa"/>
            <w:tcBorders>
              <w:top w:val="single" w:color="auto" w:sz="4" w:space="0"/>
              <w:left w:val="single" w:color="auto" w:sz="4" w:space="0"/>
              <w:bottom w:val="single" w:color="auto" w:sz="4" w:space="0"/>
              <w:right w:val="double" w:color="auto" w:sz="4" w:space="0"/>
            </w:tcBorders>
            <w:vAlign w:val="center"/>
          </w:tcPr>
          <w:p w14:paraId="4F6A1013">
            <w:pPr>
              <w:rPr>
                <w:color w:val="auto"/>
                <w:kern w:val="0"/>
                <w:sz w:val="21"/>
                <w:szCs w:val="21"/>
                <w:highlight w:val="none"/>
                <w:lang w:val="zh-CN"/>
              </w:rPr>
            </w:pPr>
            <w:r>
              <w:rPr>
                <w:rFonts w:hint="eastAsia" w:ascii="宋体" w:hAnsi="宋体"/>
                <w:color w:val="auto"/>
                <w:kern w:val="0"/>
                <w:sz w:val="21"/>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3A386C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39" w:type="dxa"/>
            <w:tcBorders>
              <w:top w:val="single" w:color="auto" w:sz="4" w:space="0"/>
              <w:left w:val="double" w:color="auto" w:sz="4" w:space="0"/>
              <w:bottom w:val="single" w:color="auto" w:sz="4" w:space="0"/>
              <w:right w:val="single" w:color="auto" w:sz="4" w:space="0"/>
            </w:tcBorders>
            <w:vAlign w:val="center"/>
          </w:tcPr>
          <w:p w14:paraId="475D9431">
            <w:pPr>
              <w:rPr>
                <w:color w:val="auto"/>
                <w:szCs w:val="21"/>
                <w:highlight w:val="none"/>
              </w:rPr>
            </w:pPr>
            <w:r>
              <w:rPr>
                <w:rFonts w:hint="eastAsia"/>
                <w:color w:val="auto"/>
                <w:szCs w:val="21"/>
                <w:highlight w:val="none"/>
              </w:rPr>
              <w:t>35</w:t>
            </w:r>
          </w:p>
        </w:tc>
        <w:tc>
          <w:tcPr>
            <w:tcW w:w="893" w:type="dxa"/>
            <w:tcBorders>
              <w:top w:val="single" w:color="auto" w:sz="4" w:space="0"/>
              <w:left w:val="single" w:color="auto" w:sz="4" w:space="0"/>
              <w:bottom w:val="single" w:color="auto" w:sz="4" w:space="0"/>
              <w:right w:val="single" w:color="auto" w:sz="4" w:space="0"/>
            </w:tcBorders>
            <w:vAlign w:val="center"/>
          </w:tcPr>
          <w:p w14:paraId="7CB82955">
            <w:pPr>
              <w:rPr>
                <w:color w:val="auto"/>
                <w:szCs w:val="21"/>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2052575C">
            <w:pPr>
              <w:rPr>
                <w:color w:val="auto"/>
                <w:kern w:val="0"/>
                <w:szCs w:val="21"/>
                <w:highlight w:val="none"/>
                <w:lang w:val="zh-CN"/>
              </w:rPr>
            </w:pPr>
            <w:r>
              <w:rPr>
                <w:rFonts w:hint="eastAsia"/>
                <w:color w:val="auto"/>
                <w:kern w:val="0"/>
                <w:szCs w:val="21"/>
                <w:highlight w:val="none"/>
                <w:lang w:val="zh-CN"/>
              </w:rPr>
              <w:t>分包</w:t>
            </w:r>
          </w:p>
        </w:tc>
        <w:tc>
          <w:tcPr>
            <w:tcW w:w="6089" w:type="dxa"/>
            <w:tcBorders>
              <w:top w:val="single" w:color="auto" w:sz="4" w:space="0"/>
              <w:left w:val="single" w:color="auto" w:sz="4" w:space="0"/>
              <w:bottom w:val="single" w:color="auto" w:sz="4" w:space="0"/>
              <w:right w:val="double" w:color="auto" w:sz="4" w:space="0"/>
            </w:tcBorders>
            <w:vAlign w:val="center"/>
          </w:tcPr>
          <w:p w14:paraId="6ABA8FBB">
            <w:pPr>
              <w:rPr>
                <w:rFonts w:ascii="宋体" w:hAnsi="宋体"/>
                <w:color w:val="auto"/>
                <w:kern w:val="0"/>
                <w:szCs w:val="21"/>
                <w:highlight w:val="none"/>
                <w:lang w:val="zh-CN"/>
              </w:rPr>
            </w:pPr>
            <w:r>
              <w:rPr>
                <w:rFonts w:hint="eastAsia" w:ascii="宋体" w:hAnsi="宋体"/>
                <w:color w:val="auto"/>
                <w:kern w:val="0"/>
                <w:szCs w:val="21"/>
                <w:highlight w:val="none"/>
                <w:lang w:val="zh-CN"/>
              </w:rPr>
              <w:sym w:font="Wingdings 2" w:char="0052"/>
            </w:r>
            <w:r>
              <w:rPr>
                <w:rFonts w:hint="eastAsia" w:ascii="宋体" w:hAnsi="宋体"/>
                <w:color w:val="auto"/>
                <w:kern w:val="0"/>
                <w:szCs w:val="21"/>
                <w:highlight w:val="none"/>
                <w:lang w:val="zh-CN"/>
              </w:rPr>
              <w:t>不允许分包（劳务作业除外）；</w:t>
            </w:r>
          </w:p>
          <w:p w14:paraId="27A7EBA6">
            <w:pPr>
              <w:rPr>
                <w:rFonts w:ascii="宋体" w:hAnsi="宋体"/>
                <w:color w:val="auto"/>
                <w:kern w:val="0"/>
                <w:szCs w:val="21"/>
                <w:highlight w:val="none"/>
                <w:lang w:val="zh-CN"/>
              </w:rPr>
            </w:pPr>
            <w:r>
              <w:rPr>
                <w:rFonts w:hint="eastAsia" w:ascii="宋体" w:hAnsi="宋体"/>
                <w:color w:val="auto"/>
                <w:kern w:val="0"/>
                <w:szCs w:val="21"/>
                <w:highlight w:val="none"/>
                <w:lang w:val="zh-CN"/>
              </w:rPr>
              <w:t>□允许：分包内容要求：</w:t>
            </w:r>
            <w:r>
              <w:rPr>
                <w:rFonts w:hint="eastAsia" w:ascii="宋体" w:hAnsi="宋体"/>
                <w:color w:val="auto"/>
                <w:kern w:val="0"/>
                <w:szCs w:val="21"/>
                <w:highlight w:val="none"/>
                <w:u w:val="single"/>
              </w:rPr>
              <w:t>/</w:t>
            </w:r>
            <w:r>
              <w:rPr>
                <w:rFonts w:hint="eastAsia" w:ascii="宋体" w:hAnsi="宋体"/>
                <w:color w:val="auto"/>
                <w:kern w:val="0"/>
                <w:szCs w:val="21"/>
                <w:highlight w:val="none"/>
                <w:u w:val="single"/>
                <w:lang w:val="zh-CN"/>
              </w:rPr>
              <w:t>。</w:t>
            </w:r>
          </w:p>
          <w:p w14:paraId="2D8029E5">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分包金额要求：</w:t>
            </w:r>
            <w:r>
              <w:rPr>
                <w:rFonts w:hint="eastAsia" w:ascii="宋体" w:hAnsi="宋体"/>
                <w:color w:val="auto"/>
                <w:kern w:val="0"/>
                <w:szCs w:val="21"/>
                <w:highlight w:val="none"/>
                <w:u w:val="single"/>
              </w:rPr>
              <w:t>/</w:t>
            </w:r>
            <w:r>
              <w:rPr>
                <w:rFonts w:hint="eastAsia" w:ascii="宋体" w:hAnsi="宋体"/>
                <w:color w:val="auto"/>
                <w:kern w:val="0"/>
                <w:szCs w:val="21"/>
                <w:highlight w:val="none"/>
                <w:u w:val="single"/>
                <w:lang w:val="zh-CN"/>
              </w:rPr>
              <w:t>。</w:t>
            </w:r>
          </w:p>
          <w:p w14:paraId="31E73AA6">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对分包人的资质要求：</w:t>
            </w:r>
            <w:r>
              <w:rPr>
                <w:rFonts w:hint="eastAsia" w:ascii="宋体" w:hAnsi="宋体"/>
                <w:color w:val="auto"/>
                <w:kern w:val="0"/>
                <w:szCs w:val="21"/>
                <w:highlight w:val="none"/>
                <w:u w:val="single"/>
              </w:rPr>
              <w:t>/</w:t>
            </w:r>
            <w:r>
              <w:rPr>
                <w:rFonts w:hint="eastAsia" w:ascii="宋体" w:hAnsi="宋体"/>
                <w:color w:val="auto"/>
                <w:kern w:val="0"/>
                <w:szCs w:val="21"/>
                <w:highlight w:val="none"/>
                <w:u w:val="single"/>
                <w:lang w:val="zh-CN"/>
              </w:rPr>
              <w:t>。</w:t>
            </w:r>
          </w:p>
          <w:p w14:paraId="79CFF494">
            <w:pPr>
              <w:tabs>
                <w:tab w:val="left" w:pos="2940"/>
              </w:tabs>
              <w:rPr>
                <w:color w:val="auto"/>
                <w:kern w:val="0"/>
                <w:sz w:val="21"/>
                <w:szCs w:val="21"/>
                <w:highlight w:val="none"/>
                <w:lang w:val="zh-CN"/>
              </w:rPr>
            </w:pPr>
            <w:r>
              <w:rPr>
                <w:rFonts w:hint="eastAsia" w:ascii="宋体" w:hAnsi="宋体"/>
                <w:color w:val="auto"/>
                <w:kern w:val="0"/>
                <w:szCs w:val="21"/>
                <w:highlight w:val="none"/>
                <w:lang w:val="zh-CN"/>
              </w:rPr>
              <w:t xml:space="preserve">     对分包人的其他要求：</w:t>
            </w:r>
            <w:r>
              <w:rPr>
                <w:rFonts w:hint="eastAsia" w:ascii="宋体" w:hAnsi="宋体"/>
                <w:color w:val="auto"/>
                <w:kern w:val="0"/>
                <w:szCs w:val="21"/>
                <w:highlight w:val="none"/>
                <w:u w:val="single"/>
              </w:rPr>
              <w:t>/</w:t>
            </w:r>
            <w:r>
              <w:rPr>
                <w:rFonts w:hint="eastAsia" w:ascii="宋体" w:hAnsi="宋体"/>
                <w:color w:val="auto"/>
                <w:kern w:val="0"/>
                <w:szCs w:val="21"/>
                <w:highlight w:val="none"/>
                <w:u w:val="single"/>
                <w:lang w:val="zh-CN"/>
              </w:rPr>
              <w:t>。</w:t>
            </w:r>
          </w:p>
        </w:tc>
      </w:tr>
      <w:tr w14:paraId="15EEC5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39" w:type="dxa"/>
            <w:tcBorders>
              <w:top w:val="single" w:color="auto" w:sz="4" w:space="0"/>
              <w:left w:val="double" w:color="auto" w:sz="4" w:space="0"/>
              <w:bottom w:val="single" w:color="auto" w:sz="4" w:space="0"/>
              <w:right w:val="single" w:color="auto" w:sz="4" w:space="0"/>
            </w:tcBorders>
            <w:vAlign w:val="center"/>
          </w:tcPr>
          <w:p w14:paraId="4C741966">
            <w:pPr>
              <w:rPr>
                <w:color w:val="auto"/>
                <w:szCs w:val="21"/>
                <w:highlight w:val="none"/>
              </w:rPr>
            </w:pPr>
            <w:r>
              <w:rPr>
                <w:rFonts w:hint="eastAsia"/>
                <w:color w:val="auto"/>
                <w:szCs w:val="21"/>
                <w:highlight w:val="none"/>
              </w:rPr>
              <w:t>36</w:t>
            </w:r>
          </w:p>
        </w:tc>
        <w:tc>
          <w:tcPr>
            <w:tcW w:w="893" w:type="dxa"/>
            <w:tcBorders>
              <w:top w:val="single" w:color="auto" w:sz="4" w:space="0"/>
              <w:left w:val="single" w:color="auto" w:sz="4" w:space="0"/>
              <w:bottom w:val="single" w:color="auto" w:sz="4" w:space="0"/>
              <w:right w:val="single" w:color="auto" w:sz="4" w:space="0"/>
            </w:tcBorders>
            <w:vAlign w:val="center"/>
          </w:tcPr>
          <w:p w14:paraId="2CEB363A">
            <w:pPr>
              <w:jc w:val="center"/>
              <w:rPr>
                <w:color w:val="auto"/>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756CFDEF">
            <w:pPr>
              <w:jc w:val="center"/>
              <w:rPr>
                <w:color w:val="auto"/>
                <w:highlight w:val="none"/>
              </w:rPr>
            </w:pPr>
            <w:r>
              <w:rPr>
                <w:rFonts w:hint="eastAsia"/>
                <w:color w:val="auto"/>
                <w:highlight w:val="none"/>
              </w:rPr>
              <w:t>电子招标投标解密失败及突发情况的补救</w:t>
            </w:r>
          </w:p>
        </w:tc>
        <w:tc>
          <w:tcPr>
            <w:tcW w:w="6089" w:type="dxa"/>
            <w:tcBorders>
              <w:top w:val="single" w:color="auto" w:sz="4" w:space="0"/>
              <w:left w:val="single" w:color="auto" w:sz="4" w:space="0"/>
              <w:bottom w:val="single" w:color="auto" w:sz="4" w:space="0"/>
              <w:right w:val="double" w:color="auto" w:sz="4" w:space="0"/>
            </w:tcBorders>
            <w:vAlign w:val="center"/>
          </w:tcPr>
          <w:p w14:paraId="6214F31A">
            <w:pPr>
              <w:rPr>
                <w:rFonts w:cs="Courier New"/>
                <w:color w:val="auto"/>
                <w:szCs w:val="21"/>
                <w:highlight w:val="none"/>
              </w:rPr>
            </w:pPr>
            <w:r>
              <w:rPr>
                <w:rFonts w:hint="eastAsia" w:cs="Courier New"/>
                <w:color w:val="auto"/>
                <w:szCs w:val="21"/>
                <w:highlight w:val="none"/>
              </w:rPr>
              <w:t>1、按照交易平台关于全流程电子化项目的相关指南进行操作。详见：</w:t>
            </w:r>
            <w:r>
              <w:rPr>
                <w:rFonts w:hint="eastAsia" w:cs="Courier New"/>
                <w:color w:val="auto"/>
                <w:szCs w:val="21"/>
                <w:highlight w:val="none"/>
                <w:u w:val="single"/>
              </w:rPr>
              <w:t>广州公共资源交易中心网站。</w:t>
            </w:r>
          </w:p>
          <w:p w14:paraId="1BCE6FD9">
            <w:pPr>
              <w:rPr>
                <w:rFonts w:cs="Courier New"/>
                <w:color w:val="auto"/>
                <w:szCs w:val="21"/>
                <w:highlight w:val="none"/>
              </w:rPr>
            </w:pPr>
            <w:r>
              <w:rPr>
                <w:rFonts w:hint="eastAsia" w:cs="Courier New"/>
                <w:color w:val="auto"/>
                <w:szCs w:val="21"/>
                <w:highlight w:val="none"/>
              </w:rPr>
              <w:t>2、提交投标文件</w:t>
            </w:r>
            <w:r>
              <w:rPr>
                <w:rFonts w:hint="eastAsia" w:cs="Courier New"/>
                <w:color w:val="auto"/>
                <w:szCs w:val="21"/>
                <w:highlight w:val="none"/>
                <w:u w:val="single"/>
                <w:lang w:val="en-US" w:eastAsia="zh-CN"/>
              </w:rPr>
              <w:t>U</w:t>
            </w:r>
            <w:r>
              <w:rPr>
                <w:rFonts w:hint="eastAsia" w:cs="Courier New"/>
                <w:color w:val="auto"/>
                <w:szCs w:val="21"/>
                <w:highlight w:val="none"/>
              </w:rPr>
              <w:t>盘</w:t>
            </w:r>
            <w:r>
              <w:rPr>
                <w:rFonts w:hint="eastAsia" w:cs="Courier New"/>
                <w:color w:val="auto"/>
                <w:szCs w:val="21"/>
                <w:highlight w:val="none"/>
                <w:lang w:val="en-US" w:eastAsia="zh-CN"/>
              </w:rPr>
              <w:t>/光盘</w:t>
            </w:r>
            <w:r>
              <w:rPr>
                <w:rFonts w:hint="eastAsia" w:cs="Courier New"/>
                <w:color w:val="auto"/>
                <w:szCs w:val="21"/>
                <w:highlight w:val="none"/>
              </w:rPr>
              <w:t>备用</w:t>
            </w:r>
          </w:p>
          <w:p w14:paraId="6D40E054">
            <w:pPr>
              <w:rPr>
                <w:rFonts w:cs="Courier New"/>
                <w:color w:val="auto"/>
                <w:szCs w:val="21"/>
                <w:highlight w:val="none"/>
              </w:rPr>
            </w:pPr>
            <w:r>
              <w:rPr>
                <w:rFonts w:hint="eastAsia" w:cs="Courier New"/>
                <w:color w:val="auto"/>
                <w:szCs w:val="21"/>
                <w:highlight w:val="none"/>
              </w:rPr>
              <w:t>投标人可制作非加密的电子投标文件（PDF格式）刻入</w:t>
            </w:r>
            <w:r>
              <w:rPr>
                <w:rFonts w:hint="eastAsia" w:ascii="宋体" w:hAnsi="宋体" w:cs="宋体"/>
                <w:color w:val="auto"/>
                <w:szCs w:val="21"/>
                <w:highlight w:val="none"/>
                <w:u w:val="single"/>
              </w:rPr>
              <w:t>U盘/光盘</w:t>
            </w:r>
            <w:r>
              <w:rPr>
                <w:rFonts w:hint="eastAsia" w:cs="Courier New"/>
                <w:color w:val="auto"/>
                <w:szCs w:val="21"/>
                <w:highlight w:val="none"/>
              </w:rPr>
              <w:t>（1份），在投标须知前附表第18项规定的时间、地点提交备用。刻录好的投标文件</w:t>
            </w:r>
            <w:r>
              <w:rPr>
                <w:rFonts w:hint="eastAsia" w:ascii="宋体" w:hAnsi="宋体" w:cs="宋体"/>
                <w:color w:val="auto"/>
                <w:szCs w:val="21"/>
                <w:highlight w:val="none"/>
                <w:u w:val="single"/>
              </w:rPr>
              <w:t>U盘/光盘</w:t>
            </w:r>
            <w:r>
              <w:rPr>
                <w:rFonts w:hint="eastAsia" w:cs="Courier New"/>
                <w:color w:val="auto"/>
                <w:szCs w:val="21"/>
                <w:highlight w:val="none"/>
              </w:rPr>
              <w:t>密封在密封袋中，并在封口处加盖投标人单位公章。密封袋上应写明项目名称和招标人名称。递交的</w:t>
            </w:r>
            <w:r>
              <w:rPr>
                <w:rFonts w:hint="eastAsia" w:ascii="宋体" w:hAnsi="宋体" w:cs="宋体"/>
                <w:color w:val="auto"/>
                <w:szCs w:val="21"/>
                <w:highlight w:val="none"/>
                <w:u w:val="single"/>
              </w:rPr>
              <w:t>U盘/光盘</w:t>
            </w:r>
            <w:r>
              <w:rPr>
                <w:rFonts w:hint="eastAsia" w:cs="Courier New"/>
                <w:color w:val="auto"/>
                <w:szCs w:val="21"/>
                <w:highlight w:val="none"/>
              </w:rPr>
              <w:t>不得加密。</w:t>
            </w:r>
            <w:r>
              <w:rPr>
                <w:rFonts w:hint="eastAsia" w:ascii="宋体" w:hAnsi="宋体" w:cs="宋体"/>
                <w:color w:val="auto"/>
                <w:szCs w:val="21"/>
                <w:highlight w:val="none"/>
                <w:u w:val="single"/>
              </w:rPr>
              <w:t>U盘/光盘</w:t>
            </w:r>
            <w:r>
              <w:rPr>
                <w:rFonts w:hint="eastAsia" w:cs="Courier New"/>
                <w:color w:val="auto"/>
                <w:szCs w:val="21"/>
                <w:highlight w:val="none"/>
              </w:rPr>
              <w:t>无法读取或导入的，则视为未提交备用投标文件</w:t>
            </w:r>
            <w:r>
              <w:rPr>
                <w:rFonts w:hint="eastAsia" w:ascii="宋体" w:hAnsi="宋体" w:cs="宋体"/>
                <w:color w:val="auto"/>
                <w:szCs w:val="21"/>
                <w:highlight w:val="none"/>
                <w:u w:val="single"/>
              </w:rPr>
              <w:t>U盘/光盘</w:t>
            </w:r>
            <w:r>
              <w:rPr>
                <w:rFonts w:hint="eastAsia" w:cs="Courier New"/>
                <w:color w:val="auto"/>
                <w:szCs w:val="21"/>
                <w:highlight w:val="none"/>
              </w:rPr>
              <w:t>。如果投标人没有按规定通过交易平台网上递交电子投标文件的，不再读取提交的</w:t>
            </w:r>
            <w:r>
              <w:rPr>
                <w:rFonts w:hint="eastAsia" w:ascii="宋体" w:hAnsi="宋体" w:cs="宋体"/>
                <w:color w:val="auto"/>
                <w:szCs w:val="21"/>
                <w:highlight w:val="none"/>
                <w:u w:val="single"/>
              </w:rPr>
              <w:t>U盘/光盘</w:t>
            </w:r>
            <w:r>
              <w:rPr>
                <w:rFonts w:hint="eastAsia" w:cs="Courier New"/>
                <w:color w:val="auto"/>
                <w:szCs w:val="21"/>
                <w:highlight w:val="none"/>
              </w:rPr>
              <w:t>。投标人也可不提交备用</w:t>
            </w:r>
            <w:r>
              <w:rPr>
                <w:rFonts w:hint="eastAsia" w:ascii="宋体" w:hAnsi="宋体" w:cs="宋体"/>
                <w:color w:val="auto"/>
                <w:szCs w:val="21"/>
                <w:highlight w:val="none"/>
                <w:u w:val="single"/>
              </w:rPr>
              <w:t>U盘/光盘</w:t>
            </w:r>
            <w:r>
              <w:rPr>
                <w:rFonts w:hint="eastAsia" w:cs="Courier New"/>
                <w:color w:val="auto"/>
                <w:szCs w:val="21"/>
                <w:highlight w:val="none"/>
              </w:rPr>
              <w:t>。</w:t>
            </w:r>
          </w:p>
          <w:p w14:paraId="2AAF36A6">
            <w:pPr>
              <w:rPr>
                <w:rFonts w:cs="Courier New"/>
                <w:color w:val="auto"/>
                <w:szCs w:val="21"/>
                <w:highlight w:val="none"/>
              </w:rPr>
            </w:pPr>
            <w:r>
              <w:rPr>
                <w:rFonts w:hint="eastAsia" w:cs="Courier New"/>
                <w:color w:val="auto"/>
                <w:szCs w:val="21"/>
                <w:highlight w:val="none"/>
              </w:rPr>
              <w:t>3、补救方案</w:t>
            </w:r>
          </w:p>
          <w:p w14:paraId="2E4A6689">
            <w:pPr>
              <w:rPr>
                <w:rFonts w:cs="Courier New"/>
                <w:color w:val="auto"/>
                <w:szCs w:val="21"/>
                <w:highlight w:val="none"/>
              </w:rPr>
            </w:pPr>
            <w:r>
              <w:rPr>
                <w:rFonts w:hint="eastAsia" w:cs="Courier New"/>
                <w:color w:val="auto"/>
                <w:szCs w:val="21"/>
                <w:highlight w:val="none"/>
              </w:rPr>
              <w:t>（1）投标文件解密失败的补救方案：</w:t>
            </w:r>
          </w:p>
          <w:p w14:paraId="3C403412">
            <w:pPr>
              <w:rPr>
                <w:rFonts w:cs="Courier New"/>
                <w:color w:val="auto"/>
                <w:szCs w:val="21"/>
                <w:highlight w:val="none"/>
              </w:rPr>
            </w:pPr>
            <w:r>
              <w:rPr>
                <w:rFonts w:hint="eastAsia" w:cs="Courier New"/>
                <w:color w:val="auto"/>
                <w:szCs w:val="21"/>
                <w:highlight w:val="none"/>
              </w:rPr>
              <w:t>在规定时间内，因投标人之外原因(指网络瘫痪、服务器损坏、交易系统故障短期无法恢复)导致的电子投标文件解密失败，在开标现场读取</w:t>
            </w:r>
            <w:r>
              <w:rPr>
                <w:rFonts w:hint="eastAsia" w:ascii="宋体" w:hAnsi="宋体" w:cs="宋体"/>
                <w:color w:val="auto"/>
                <w:szCs w:val="21"/>
                <w:highlight w:val="none"/>
                <w:u w:val="single"/>
              </w:rPr>
              <w:t>U盘/光盘</w:t>
            </w:r>
            <w:r>
              <w:rPr>
                <w:rFonts w:hint="eastAsia" w:cs="Courier New"/>
                <w:color w:val="auto"/>
                <w:szCs w:val="21"/>
                <w:highlight w:val="none"/>
              </w:rPr>
              <w:t>内容，继续开标程序。评标委员会对其投标文件的评审以</w:t>
            </w:r>
            <w:r>
              <w:rPr>
                <w:rFonts w:hint="eastAsia" w:ascii="宋体" w:hAnsi="宋体" w:cs="宋体"/>
                <w:color w:val="auto"/>
                <w:szCs w:val="21"/>
                <w:highlight w:val="none"/>
                <w:u w:val="single"/>
              </w:rPr>
              <w:t>U盘/光盘</w:t>
            </w:r>
            <w:r>
              <w:rPr>
                <w:rFonts w:hint="eastAsia" w:cs="Courier New"/>
                <w:color w:val="auto"/>
                <w:szCs w:val="21"/>
                <w:highlight w:val="none"/>
              </w:rPr>
              <w:t>内容为准。因投标人之外原因解密失败且未递交电子</w:t>
            </w:r>
            <w:r>
              <w:rPr>
                <w:rFonts w:hint="eastAsia" w:ascii="宋体" w:hAnsi="宋体" w:cs="宋体"/>
                <w:color w:val="auto"/>
                <w:szCs w:val="21"/>
                <w:highlight w:val="none"/>
                <w:u w:val="single"/>
              </w:rPr>
              <w:t>U盘/光盘</w:t>
            </w:r>
            <w:r>
              <w:rPr>
                <w:rFonts w:hint="eastAsia" w:cs="Courier New"/>
                <w:color w:val="auto"/>
                <w:szCs w:val="21"/>
                <w:highlight w:val="none"/>
              </w:rPr>
              <w:t>的，视为撤回投标文件。</w:t>
            </w:r>
          </w:p>
          <w:p w14:paraId="41398B46">
            <w:pPr>
              <w:rPr>
                <w:rFonts w:cs="Courier New"/>
                <w:color w:val="auto"/>
                <w:szCs w:val="21"/>
                <w:highlight w:val="none"/>
              </w:rPr>
            </w:pPr>
            <w:r>
              <w:rPr>
                <w:rFonts w:hint="eastAsia" w:cs="Courier New"/>
                <w:color w:val="auto"/>
                <w:szCs w:val="21"/>
                <w:highlight w:val="none"/>
              </w:rPr>
              <w:t>（2）评标时突发情况的补救方案</w:t>
            </w:r>
          </w:p>
          <w:p w14:paraId="28F5D663">
            <w:pPr>
              <w:rPr>
                <w:rFonts w:cs="Courier New"/>
                <w:color w:val="auto"/>
                <w:szCs w:val="21"/>
                <w:highlight w:val="none"/>
              </w:rPr>
            </w:pPr>
            <w:r>
              <w:rPr>
                <w:rFonts w:hint="eastAsia" w:cs="Courier New"/>
                <w:color w:val="auto"/>
                <w:szCs w:val="21"/>
                <w:highlight w:val="none"/>
              </w:rPr>
              <w:t>若遇不可抗力发生（指网络瘫痪、服务器损坏、交易系统故障短期无法恢复等因素），由评标委员会开启投标人递交的全部投标文件</w:t>
            </w:r>
            <w:r>
              <w:rPr>
                <w:rFonts w:hint="eastAsia" w:ascii="宋体" w:hAnsi="宋体" w:cs="宋体"/>
                <w:color w:val="auto"/>
                <w:szCs w:val="21"/>
                <w:highlight w:val="none"/>
                <w:u w:val="single"/>
              </w:rPr>
              <w:t>U盘/光盘</w:t>
            </w:r>
            <w:r>
              <w:rPr>
                <w:rFonts w:hint="eastAsia" w:cs="Courier New"/>
                <w:color w:val="auto"/>
                <w:szCs w:val="21"/>
                <w:highlight w:val="none"/>
              </w:rPr>
              <w:t>，并按</w:t>
            </w:r>
            <w:r>
              <w:rPr>
                <w:rFonts w:hint="eastAsia" w:ascii="宋体" w:hAnsi="宋体" w:cs="宋体"/>
                <w:color w:val="auto"/>
                <w:szCs w:val="21"/>
                <w:highlight w:val="none"/>
                <w:u w:val="single"/>
              </w:rPr>
              <w:t>U盘/光盘</w:t>
            </w:r>
            <w:r>
              <w:rPr>
                <w:rFonts w:hint="eastAsia" w:cs="Courier New"/>
                <w:color w:val="auto"/>
                <w:szCs w:val="21"/>
                <w:highlight w:val="none"/>
              </w:rPr>
              <w:t>内容进行评审。</w:t>
            </w:r>
          </w:p>
          <w:p w14:paraId="0037FCEC">
            <w:pPr>
              <w:rPr>
                <w:rFonts w:cs="Courier New"/>
                <w:color w:val="auto"/>
                <w:szCs w:val="21"/>
                <w:highlight w:val="none"/>
              </w:rPr>
            </w:pPr>
            <w:r>
              <w:rPr>
                <w:rFonts w:hint="eastAsia" w:cs="Courier New"/>
                <w:color w:val="auto"/>
                <w:szCs w:val="21"/>
                <w:highlight w:val="none"/>
              </w:rPr>
              <w:t>（3）除发生上述情况外，开标评标均以投标人通过交易平台网上递交的电子投标文件为准。</w:t>
            </w:r>
          </w:p>
        </w:tc>
      </w:tr>
      <w:tr w14:paraId="44D8DB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39" w:type="dxa"/>
            <w:tcBorders>
              <w:top w:val="single" w:color="auto" w:sz="4" w:space="0"/>
              <w:left w:val="double" w:color="auto" w:sz="4" w:space="0"/>
              <w:bottom w:val="single" w:color="auto" w:sz="4" w:space="0"/>
              <w:right w:val="single" w:color="auto" w:sz="4" w:space="0"/>
            </w:tcBorders>
            <w:vAlign w:val="center"/>
          </w:tcPr>
          <w:p w14:paraId="734B5737">
            <w:pPr>
              <w:rPr>
                <w:color w:val="auto"/>
                <w:szCs w:val="21"/>
                <w:highlight w:val="none"/>
              </w:rPr>
            </w:pPr>
            <w:r>
              <w:rPr>
                <w:rFonts w:hint="eastAsia"/>
                <w:color w:val="auto"/>
                <w:szCs w:val="21"/>
                <w:highlight w:val="none"/>
                <w:u w:val="single"/>
              </w:rPr>
              <w:t>37</w:t>
            </w:r>
          </w:p>
        </w:tc>
        <w:tc>
          <w:tcPr>
            <w:tcW w:w="893" w:type="dxa"/>
            <w:tcBorders>
              <w:top w:val="single" w:color="auto" w:sz="4" w:space="0"/>
              <w:left w:val="single" w:color="auto" w:sz="4" w:space="0"/>
              <w:bottom w:val="single" w:color="auto" w:sz="4" w:space="0"/>
              <w:right w:val="single" w:color="auto" w:sz="4" w:space="0"/>
            </w:tcBorders>
            <w:vAlign w:val="center"/>
          </w:tcPr>
          <w:p w14:paraId="19963698">
            <w:pPr>
              <w:jc w:val="center"/>
              <w:rPr>
                <w:color w:val="auto"/>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27B490F3">
            <w:pPr>
              <w:spacing w:line="276" w:lineRule="auto"/>
              <w:rPr>
                <w:color w:val="auto"/>
                <w:highlight w:val="none"/>
              </w:rPr>
            </w:pPr>
            <w:r>
              <w:rPr>
                <w:rFonts w:hint="eastAsia" w:cs="宋体"/>
                <w:color w:val="auto"/>
                <w:szCs w:val="21"/>
                <w:highlight w:val="none"/>
                <w:u w:val="single"/>
              </w:rPr>
              <w:t>招标人拒绝接收投标文件备用光盘的情况</w:t>
            </w:r>
          </w:p>
        </w:tc>
        <w:tc>
          <w:tcPr>
            <w:tcW w:w="6089" w:type="dxa"/>
            <w:tcBorders>
              <w:top w:val="single" w:color="auto" w:sz="4" w:space="0"/>
              <w:left w:val="single" w:color="auto" w:sz="4" w:space="0"/>
              <w:bottom w:val="single" w:color="auto" w:sz="4" w:space="0"/>
              <w:right w:val="double" w:color="auto" w:sz="4" w:space="0"/>
            </w:tcBorders>
            <w:vAlign w:val="center"/>
          </w:tcPr>
          <w:p w14:paraId="7AC39754">
            <w:pPr>
              <w:spacing w:line="276" w:lineRule="auto"/>
              <w:rPr>
                <w:rFonts w:cs="宋体"/>
                <w:color w:val="auto"/>
                <w:szCs w:val="21"/>
                <w:highlight w:val="none"/>
                <w:u w:val="single"/>
              </w:rPr>
            </w:pPr>
            <w:r>
              <w:rPr>
                <w:rFonts w:hint="eastAsia" w:cs="宋体"/>
                <w:color w:val="auto"/>
                <w:szCs w:val="21"/>
                <w:highlight w:val="none"/>
                <w:u w:val="single"/>
              </w:rPr>
              <w:t>1、在投标截止期后逾期或未在指定地点递交投标文件备用</w:t>
            </w:r>
            <w:r>
              <w:rPr>
                <w:rFonts w:hint="eastAsia" w:ascii="宋体" w:hAnsi="宋体" w:cs="宋体"/>
                <w:color w:val="auto"/>
                <w:szCs w:val="21"/>
                <w:highlight w:val="none"/>
                <w:u w:val="single"/>
              </w:rPr>
              <w:t>U盘/光盘</w:t>
            </w:r>
            <w:r>
              <w:rPr>
                <w:rFonts w:hint="eastAsia" w:cs="宋体"/>
                <w:color w:val="auto"/>
                <w:szCs w:val="21"/>
                <w:highlight w:val="none"/>
                <w:u w:val="single"/>
              </w:rPr>
              <w:t>的；</w:t>
            </w:r>
          </w:p>
          <w:p w14:paraId="76F64536">
            <w:pPr>
              <w:spacing w:line="276" w:lineRule="auto"/>
              <w:rPr>
                <w:rFonts w:cs="宋体"/>
                <w:color w:val="auto"/>
                <w:szCs w:val="21"/>
                <w:highlight w:val="none"/>
                <w:u w:val="single"/>
              </w:rPr>
            </w:pPr>
            <w:r>
              <w:rPr>
                <w:rFonts w:hint="eastAsia" w:cs="宋体"/>
                <w:color w:val="auto"/>
                <w:szCs w:val="21"/>
                <w:highlight w:val="none"/>
                <w:u w:val="single"/>
              </w:rPr>
              <w:t>2、投标文件备用</w:t>
            </w:r>
            <w:r>
              <w:rPr>
                <w:rFonts w:hint="eastAsia" w:ascii="宋体" w:hAnsi="宋体" w:cs="宋体"/>
                <w:color w:val="auto"/>
                <w:szCs w:val="21"/>
                <w:highlight w:val="none"/>
                <w:u w:val="single"/>
              </w:rPr>
              <w:t>U盘/光盘</w:t>
            </w:r>
            <w:r>
              <w:rPr>
                <w:rFonts w:hint="eastAsia" w:cs="宋体"/>
                <w:color w:val="auto"/>
                <w:szCs w:val="21"/>
                <w:highlight w:val="none"/>
                <w:u w:val="single"/>
              </w:rPr>
              <w:t>未按招标文件要求密封或未在密封处盖章的；</w:t>
            </w:r>
          </w:p>
          <w:p w14:paraId="25F44122">
            <w:pPr>
              <w:spacing w:line="276" w:lineRule="auto"/>
              <w:rPr>
                <w:color w:val="auto"/>
                <w:highlight w:val="none"/>
              </w:rPr>
            </w:pPr>
            <w:r>
              <w:rPr>
                <w:rFonts w:hint="eastAsia" w:cs="宋体"/>
                <w:color w:val="auto"/>
                <w:szCs w:val="21"/>
                <w:highlight w:val="none"/>
                <w:u w:val="single"/>
              </w:rPr>
              <w:t>3、投标人代表未凭法定代表人证明书（原件）、授权委托书原件（仅限于非法定代表人）、本人身份证原件递交投标文件备用</w:t>
            </w:r>
            <w:r>
              <w:rPr>
                <w:rFonts w:hint="eastAsia" w:ascii="宋体" w:hAnsi="宋体" w:cs="宋体"/>
                <w:color w:val="auto"/>
                <w:szCs w:val="21"/>
                <w:highlight w:val="none"/>
                <w:u w:val="single"/>
              </w:rPr>
              <w:t>U盘/光盘</w:t>
            </w:r>
            <w:r>
              <w:rPr>
                <w:rFonts w:hint="eastAsia" w:cs="宋体"/>
                <w:color w:val="auto"/>
                <w:szCs w:val="21"/>
                <w:highlight w:val="none"/>
                <w:u w:val="single"/>
              </w:rPr>
              <w:t>的。</w:t>
            </w:r>
          </w:p>
        </w:tc>
      </w:tr>
      <w:tr w14:paraId="331645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639" w:type="dxa"/>
            <w:tcBorders>
              <w:top w:val="single" w:color="auto" w:sz="4" w:space="0"/>
              <w:left w:val="double" w:color="auto" w:sz="4" w:space="0"/>
              <w:bottom w:val="single" w:color="auto" w:sz="4" w:space="0"/>
              <w:right w:val="single" w:color="auto" w:sz="4" w:space="0"/>
            </w:tcBorders>
            <w:vAlign w:val="center"/>
          </w:tcPr>
          <w:p w14:paraId="3B70C0C5">
            <w:pPr>
              <w:rPr>
                <w:rFonts w:cs="宋体"/>
                <w:color w:val="auto"/>
                <w:szCs w:val="21"/>
                <w:highlight w:val="none"/>
                <w:u w:val="single"/>
              </w:rPr>
            </w:pPr>
            <w:r>
              <w:rPr>
                <w:rFonts w:hint="eastAsia" w:ascii="宋体" w:hAnsi="宋体"/>
                <w:color w:val="auto"/>
                <w:szCs w:val="21"/>
                <w:highlight w:val="none"/>
                <w:u w:val="single"/>
              </w:rPr>
              <w:t>38</w:t>
            </w:r>
          </w:p>
        </w:tc>
        <w:tc>
          <w:tcPr>
            <w:tcW w:w="893" w:type="dxa"/>
            <w:tcBorders>
              <w:top w:val="single" w:color="auto" w:sz="4" w:space="0"/>
              <w:left w:val="single" w:color="auto" w:sz="4" w:space="0"/>
              <w:bottom w:val="single" w:color="auto" w:sz="4" w:space="0"/>
              <w:right w:val="single" w:color="auto" w:sz="4" w:space="0"/>
            </w:tcBorders>
            <w:vAlign w:val="center"/>
          </w:tcPr>
          <w:p w14:paraId="7AABE2E9">
            <w:pPr>
              <w:jc w:val="center"/>
              <w:rPr>
                <w:rFonts w:cs="宋体"/>
                <w:color w:val="auto"/>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0E3D6D18">
            <w:pPr>
              <w:jc w:val="center"/>
              <w:rPr>
                <w:rFonts w:cs="宋体"/>
                <w:color w:val="auto"/>
                <w:szCs w:val="21"/>
                <w:highlight w:val="none"/>
                <w:u w:val="single"/>
              </w:rPr>
            </w:pPr>
            <w:r>
              <w:rPr>
                <w:rFonts w:hint="eastAsia" w:ascii="宋体" w:hAnsi="宋体" w:cs="宋体"/>
                <w:color w:val="auto"/>
                <w:szCs w:val="21"/>
                <w:highlight w:val="none"/>
                <w:u w:val="single"/>
              </w:rPr>
              <w:t>中标公示后中标单位提交投标文件要求</w:t>
            </w:r>
          </w:p>
        </w:tc>
        <w:tc>
          <w:tcPr>
            <w:tcW w:w="6089" w:type="dxa"/>
            <w:tcBorders>
              <w:top w:val="single" w:color="auto" w:sz="4" w:space="0"/>
              <w:left w:val="single" w:color="auto" w:sz="4" w:space="0"/>
              <w:bottom w:val="single" w:color="auto" w:sz="4" w:space="0"/>
              <w:right w:val="double" w:color="auto" w:sz="4" w:space="0"/>
            </w:tcBorders>
            <w:vAlign w:val="center"/>
          </w:tcPr>
          <w:p w14:paraId="6DB8C128">
            <w:pPr>
              <w:rPr>
                <w:rFonts w:cs="宋体"/>
                <w:color w:val="auto"/>
                <w:szCs w:val="21"/>
                <w:highlight w:val="none"/>
                <w:u w:val="single"/>
              </w:rPr>
            </w:pPr>
            <w:r>
              <w:rPr>
                <w:rFonts w:hint="eastAsia" w:ascii="宋体" w:hAnsi="宋体" w:cs="宋体"/>
                <w:color w:val="auto"/>
                <w:szCs w:val="21"/>
                <w:highlight w:val="none"/>
                <w:u w:val="single"/>
              </w:rPr>
              <w:t>中标单位在中标公示后，须提供与所递交投标电子标书内容一致且加盖单位公章的纸质文件</w:t>
            </w:r>
            <w:r>
              <w:rPr>
                <w:rFonts w:hint="eastAsia" w:cs="宋体"/>
                <w:color w:val="auto"/>
                <w:szCs w:val="21"/>
                <w:highlight w:val="none"/>
                <w:u w:val="single"/>
                <w:lang w:val="en-US" w:eastAsia="zh-CN"/>
              </w:rPr>
              <w:t>一</w:t>
            </w:r>
            <w:r>
              <w:rPr>
                <w:rFonts w:hint="eastAsia" w:ascii="宋体" w:hAnsi="宋体" w:cs="宋体"/>
                <w:color w:val="auto"/>
                <w:szCs w:val="21"/>
                <w:highlight w:val="none"/>
                <w:u w:val="single"/>
              </w:rPr>
              <w:t>套及电子文件</w:t>
            </w:r>
            <w:r>
              <w:rPr>
                <w:rFonts w:hint="eastAsia" w:cs="宋体"/>
                <w:color w:val="auto"/>
                <w:szCs w:val="21"/>
                <w:highlight w:val="none"/>
                <w:u w:val="single"/>
                <w:lang w:val="en-US" w:eastAsia="zh-CN"/>
              </w:rPr>
              <w:t>一</w:t>
            </w:r>
            <w:r>
              <w:rPr>
                <w:rFonts w:hint="eastAsia" w:ascii="宋体" w:hAnsi="宋体" w:cs="宋体"/>
                <w:color w:val="auto"/>
                <w:szCs w:val="21"/>
                <w:highlight w:val="none"/>
                <w:u w:val="single"/>
              </w:rPr>
              <w:t>套（不用生成投标书；包括用Microsoft Excel 软件或广州公共资源交易中心提供的投标书制作软件制作的工程量清单报价表和单价分析表，用Microsoft Word软件或广州公共资源交易中心提供的投标书制作软件制作的经济投标文件其他部分。电子文件介质使用CD-R光盘，所有电子文件不能采用压缩处理）给招标单位。</w:t>
            </w:r>
          </w:p>
        </w:tc>
      </w:tr>
      <w:tr w14:paraId="2CEBE4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639" w:type="dxa"/>
            <w:tcBorders>
              <w:top w:val="single" w:color="auto" w:sz="4" w:space="0"/>
              <w:left w:val="double" w:color="auto" w:sz="4" w:space="0"/>
              <w:bottom w:val="single" w:color="auto" w:sz="4" w:space="0"/>
              <w:right w:val="single" w:color="auto" w:sz="4" w:space="0"/>
            </w:tcBorders>
            <w:vAlign w:val="center"/>
          </w:tcPr>
          <w:p w14:paraId="16E392F2">
            <w:pPr>
              <w:spacing w:line="276" w:lineRule="auto"/>
              <w:rPr>
                <w:rFonts w:hint="eastAsia" w:ascii="宋体" w:hAnsi="宋体"/>
                <w:color w:val="auto"/>
                <w:szCs w:val="21"/>
                <w:highlight w:val="none"/>
                <w:u w:val="single"/>
              </w:rPr>
            </w:pPr>
            <w:r>
              <w:rPr>
                <w:rFonts w:hint="eastAsia" w:cs="宋体"/>
                <w:color w:val="auto"/>
                <w:szCs w:val="21"/>
                <w:highlight w:val="none"/>
                <w:u w:val="single"/>
              </w:rPr>
              <w:t>39</w:t>
            </w:r>
          </w:p>
        </w:tc>
        <w:tc>
          <w:tcPr>
            <w:tcW w:w="893" w:type="dxa"/>
            <w:tcBorders>
              <w:top w:val="single" w:color="auto" w:sz="4" w:space="0"/>
              <w:left w:val="single" w:color="auto" w:sz="4" w:space="0"/>
              <w:bottom w:val="single" w:color="auto" w:sz="4" w:space="0"/>
              <w:right w:val="single" w:color="auto" w:sz="4" w:space="0"/>
            </w:tcBorders>
            <w:vAlign w:val="center"/>
          </w:tcPr>
          <w:p w14:paraId="3EDD2EA4">
            <w:pPr>
              <w:spacing w:line="276" w:lineRule="auto"/>
              <w:jc w:val="center"/>
              <w:rPr>
                <w:rFonts w:cs="宋体"/>
                <w:color w:val="auto"/>
                <w:highlight w:val="none"/>
              </w:rPr>
            </w:pPr>
          </w:p>
        </w:tc>
        <w:tc>
          <w:tcPr>
            <w:tcW w:w="1546" w:type="dxa"/>
            <w:tcBorders>
              <w:top w:val="single" w:color="auto" w:sz="4" w:space="0"/>
              <w:left w:val="single" w:color="auto" w:sz="4" w:space="0"/>
              <w:bottom w:val="single" w:color="auto" w:sz="4" w:space="0"/>
              <w:right w:val="single" w:color="auto" w:sz="4" w:space="0"/>
            </w:tcBorders>
            <w:vAlign w:val="center"/>
          </w:tcPr>
          <w:p w14:paraId="73CFBAB5">
            <w:pPr>
              <w:ind w:left="-65" w:leftChars="-31" w:right="-59" w:rightChars="-28"/>
              <w:rPr>
                <w:rFonts w:hint="eastAsia" w:ascii="宋体" w:hAnsi="宋体" w:cs="宋体"/>
                <w:color w:val="auto"/>
                <w:szCs w:val="21"/>
                <w:highlight w:val="none"/>
                <w:u w:val="single"/>
              </w:rPr>
            </w:pPr>
            <w:r>
              <w:rPr>
                <w:rFonts w:hint="eastAsia" w:cs="宋体"/>
                <w:color w:val="auto"/>
                <w:szCs w:val="21"/>
                <w:highlight w:val="none"/>
                <w:u w:val="single"/>
              </w:rPr>
              <w:t>安全生产责任保险</w:t>
            </w:r>
          </w:p>
        </w:tc>
        <w:tc>
          <w:tcPr>
            <w:tcW w:w="6089" w:type="dxa"/>
            <w:tcBorders>
              <w:top w:val="single" w:color="auto" w:sz="4" w:space="0"/>
              <w:left w:val="single" w:color="auto" w:sz="4" w:space="0"/>
              <w:bottom w:val="single" w:color="auto" w:sz="4" w:space="0"/>
              <w:right w:val="double" w:color="auto" w:sz="4" w:space="0"/>
            </w:tcBorders>
            <w:vAlign w:val="center"/>
          </w:tcPr>
          <w:p w14:paraId="2C6C5D9F">
            <w:pPr>
              <w:ind w:left="-27" w:leftChars="-13" w:right="-59" w:rightChars="-28"/>
              <w:rPr>
                <w:rFonts w:hint="eastAsia" w:ascii="宋体" w:hAnsi="宋体" w:cs="宋体"/>
                <w:color w:val="auto"/>
                <w:szCs w:val="21"/>
                <w:highlight w:val="none"/>
                <w:u w:val="single"/>
              </w:rPr>
            </w:pPr>
            <w:r>
              <w:rPr>
                <w:rFonts w:hint="eastAsia" w:cs="宋体"/>
                <w:color w:val="auto"/>
                <w:szCs w:val="21"/>
                <w:highlight w:val="none"/>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w:t>
            </w:r>
          </w:p>
        </w:tc>
      </w:tr>
    </w:tbl>
    <w:p w14:paraId="5D6850FF">
      <w:pPr>
        <w:rPr>
          <w:rFonts w:ascii="宋体" w:hAnsi="宋体" w:cs="宋体"/>
          <w:strike w:val="0"/>
          <w:color w:val="auto"/>
          <w:sz w:val="24"/>
          <w:highlight w:val="none"/>
        </w:rPr>
      </w:pPr>
    </w:p>
    <w:p w14:paraId="3A4B1F1E">
      <w:pPr>
        <w:pStyle w:val="4"/>
        <w:rPr>
          <w:color w:val="auto"/>
          <w:highlight w:val="none"/>
        </w:rPr>
      </w:pPr>
      <w:r>
        <w:rPr>
          <w:color w:val="auto"/>
          <w:highlight w:val="none"/>
        </w:rPr>
        <w:br w:type="page"/>
      </w:r>
      <w:bookmarkStart w:id="2" w:name="_Toc15791"/>
      <w:r>
        <w:rPr>
          <w:rFonts w:hint="eastAsia"/>
          <w:color w:val="auto"/>
          <w:highlight w:val="none"/>
        </w:rPr>
        <w:t>二、投标须知修改表</w:t>
      </w:r>
      <w:bookmarkEnd w:id="2"/>
    </w:p>
    <w:p w14:paraId="1F2046EA">
      <w:pPr>
        <w:pStyle w:val="25"/>
        <w:pBdr>
          <w:bottom w:val="single" w:color="auto" w:sz="6" w:space="1"/>
        </w:pBdr>
        <w:spacing w:line="360" w:lineRule="auto"/>
        <w:rPr>
          <w:rFonts w:ascii="宋体" w:hAnsi="宋体" w:cs="宋体"/>
          <w:b/>
          <w:color w:val="auto"/>
          <w:szCs w:val="21"/>
          <w:highlight w:val="none"/>
        </w:rPr>
      </w:pPr>
      <w:r>
        <w:rPr>
          <w:rFonts w:hint="eastAsia" w:ascii="宋体" w:hAnsi="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w:t>
      </w:r>
      <w:r>
        <w:rPr>
          <w:rFonts w:hint="eastAsia" w:ascii="宋体" w:hAnsi="宋体" w:cs="宋体"/>
          <w:b/>
          <w:color w:val="auto"/>
          <w:szCs w:val="21"/>
          <w:highlight w:val="none"/>
          <w:u w:val="single"/>
        </w:rPr>
        <w:t>网址：http://zfcj.gz.gov.cn/</w:t>
      </w:r>
      <w:r>
        <w:rPr>
          <w:rFonts w:hint="eastAsia" w:ascii="宋体" w:hAnsi="宋体" w:cs="宋体"/>
          <w:b/>
          <w:color w:val="auto"/>
          <w:szCs w:val="21"/>
          <w:highlight w:val="none"/>
        </w:rPr>
        <w:t>）下载查阅。</w:t>
      </w:r>
    </w:p>
    <w:p w14:paraId="0D8862B7">
      <w:pPr>
        <w:pStyle w:val="25"/>
        <w:pBdr>
          <w:bottom w:val="single" w:color="auto" w:sz="4" w:space="1"/>
        </w:pBdr>
        <w:spacing w:line="360" w:lineRule="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条款号：</w:t>
      </w:r>
      <w:r>
        <w:rPr>
          <w:rFonts w:hint="eastAsia" w:ascii="宋体" w:hAnsi="宋体" w:cs="宋体"/>
          <w:b/>
          <w:color w:val="auto"/>
          <w:kern w:val="2"/>
          <w:sz w:val="21"/>
          <w:szCs w:val="21"/>
          <w:highlight w:val="none"/>
          <w:lang w:val="en-US" w:eastAsia="zh-CN" w:bidi="ar-SA"/>
        </w:rPr>
        <w:t>2.5</w:t>
      </w:r>
      <w:r>
        <w:rPr>
          <w:rFonts w:hint="eastAsia" w:ascii="宋体" w:hAnsi="宋体" w:eastAsia="宋体" w:cs="宋体"/>
          <w:b/>
          <w:color w:val="auto"/>
          <w:kern w:val="2"/>
          <w:sz w:val="21"/>
          <w:szCs w:val="21"/>
          <w:highlight w:val="none"/>
          <w:lang w:val="en-US" w:eastAsia="zh-CN" w:bidi="ar-SA"/>
        </w:rPr>
        <w:t xml:space="preserve">                          修改类型：增加</w:t>
      </w:r>
    </w:p>
    <w:p w14:paraId="23C4FCFC">
      <w:pPr>
        <w:pBdr>
          <w:bottom w:val="single" w:color="auto" w:sz="4"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lang w:val="en-US" w:eastAsia="zh-CN"/>
        </w:rPr>
        <w:t>2.5</w:t>
      </w:r>
      <w:r>
        <w:rPr>
          <w:rFonts w:hint="eastAsia" w:cs="宋体"/>
          <w:color w:val="auto"/>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w:t>
      </w:r>
      <w:r>
        <w:rPr>
          <w:rFonts w:hint="eastAsia" w:cs="宋体"/>
          <w:color w:val="auto"/>
          <w:szCs w:val="21"/>
          <w:highlight w:val="none"/>
          <w:lang w:val="en-US" w:eastAsia="zh-CN"/>
        </w:rPr>
        <w:t>测</w:t>
      </w:r>
      <w:r>
        <w:rPr>
          <w:rFonts w:hint="eastAsia" w:cs="宋体"/>
          <w:color w:val="auto"/>
          <w:szCs w:val="21"/>
          <w:highlight w:val="none"/>
        </w:rPr>
        <w:t>工作。</w:t>
      </w:r>
    </w:p>
    <w:p w14:paraId="0591D855">
      <w:pPr>
        <w:pStyle w:val="25"/>
        <w:pBdr>
          <w:bottom w:val="single" w:color="auto" w:sz="6" w:space="1"/>
        </w:pBdr>
        <w:spacing w:line="360" w:lineRule="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条款号：5.1                          修改类型：修改</w:t>
      </w:r>
    </w:p>
    <w:p w14:paraId="17625F59">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：5.1</w:t>
      </w:r>
      <w:r>
        <w:rPr>
          <w:rFonts w:hint="eastAsia" w:cs="宋体"/>
          <w:bCs/>
          <w:color w:val="auto"/>
          <w:szCs w:val="21"/>
          <w:highlight w:val="none"/>
        </w:rPr>
        <w:t>投标人应按本投标须知前附表第15项所述时间和要求对工程现场及周围环境进行踏勘，</w:t>
      </w:r>
      <w:r>
        <w:rPr>
          <w:rFonts w:hint="eastAsia" w:cs="宋体"/>
          <w:color w:val="auto"/>
          <w:szCs w:val="21"/>
          <w:highlight w:val="none"/>
        </w:rPr>
        <w:t>投标人应充分重视和仔细地进行这种考察，</w:t>
      </w:r>
      <w:r>
        <w:rPr>
          <w:rFonts w:hint="eastAsia" w:cs="宋体"/>
          <w:bCs/>
          <w:color w:val="auto"/>
          <w:szCs w:val="21"/>
          <w:highlight w:val="none"/>
        </w:rPr>
        <w:t>以便投标人获取</w:t>
      </w:r>
      <w:r>
        <w:rPr>
          <w:rFonts w:hint="eastAsia" w:cs="宋体"/>
          <w:color w:val="auto"/>
          <w:szCs w:val="21"/>
          <w:highlight w:val="none"/>
        </w:rPr>
        <w:t>那些须投标人自己负责的</w:t>
      </w:r>
      <w:r>
        <w:rPr>
          <w:rFonts w:hint="eastAsia" w:cs="宋体"/>
          <w:bCs/>
          <w:color w:val="auto"/>
          <w:szCs w:val="21"/>
          <w:highlight w:val="none"/>
        </w:rPr>
        <w:t>有关编制投标文件和签署合同所涉及现场所有的资料。</w:t>
      </w:r>
      <w:r>
        <w:rPr>
          <w:rFonts w:hint="eastAsia" w:cs="宋体"/>
          <w:color w:val="auto"/>
          <w:szCs w:val="21"/>
          <w:highlight w:val="none"/>
        </w:rPr>
        <w:t>一旦中标，这种考察即被认为其结果已在中标文件中得到充分反映。考察现场的费用由投标人自己承担。</w:t>
      </w:r>
    </w:p>
    <w:p w14:paraId="2A73AFE6">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r>
        <w:rPr>
          <w:rFonts w:hint="eastAsia" w:cs="宋体"/>
          <w:color w:val="auto"/>
          <w:szCs w:val="21"/>
          <w:highlight w:val="none"/>
          <w:u w:val="single"/>
        </w:rPr>
        <w:t>招标人不受理因投标人缺乏对现场条件的了解或掌握而提出的任何索赔。</w:t>
      </w:r>
      <w:r>
        <w:rPr>
          <w:rFonts w:hint="eastAsia" w:cs="宋体"/>
          <w:color w:val="auto"/>
          <w:szCs w:val="21"/>
          <w:highlight w:val="none"/>
        </w:rPr>
        <w:t>考察现场的费用由投标人自己承担。</w:t>
      </w:r>
    </w:p>
    <w:p w14:paraId="589944DB">
      <w:pPr>
        <w:spacing w:line="360" w:lineRule="auto"/>
        <w:ind w:firstLine="411" w:firstLineChars="195"/>
        <w:rPr>
          <w:rFonts w:cs="宋体"/>
          <w:b/>
          <w:color w:val="auto"/>
          <w:szCs w:val="21"/>
          <w:highlight w:val="none"/>
        </w:rPr>
      </w:pPr>
      <w:r>
        <w:rPr>
          <w:rFonts w:hint="eastAsia" w:cs="宋体"/>
          <w:b/>
          <w:color w:val="auto"/>
          <w:szCs w:val="21"/>
          <w:highlight w:val="none"/>
        </w:rPr>
        <w:t>条款号：8.1                          修改类型：修改</w:t>
      </w:r>
    </w:p>
    <w:p w14:paraId="6CD9AD74">
      <w:pPr>
        <w:pStyle w:val="25"/>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8.1投标人若对招标文件（包括招标图纸）中有疑问，可以书面形式通过交易平台提交给招标人或招标代理人，提交形式见本须知前附表第16项。</w:t>
      </w:r>
    </w:p>
    <w:p w14:paraId="68ED5EA9">
      <w:pPr>
        <w:pStyle w:val="25"/>
        <w:pBdr>
          <w:bottom w:val="single" w:color="auto" w:sz="6"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8.1</w:t>
      </w:r>
      <w:r>
        <w:rPr>
          <w:rFonts w:hint="eastAsia" w:ascii="宋体" w:hAnsi="宋体" w:cs="宋体"/>
          <w:bCs/>
          <w:color w:val="auto"/>
          <w:sz w:val="21"/>
          <w:szCs w:val="21"/>
          <w:highlight w:val="none"/>
          <w:u w:val="single"/>
        </w:rPr>
        <w:t>投标人若对招标文件（包括招标图纸、清单、最高投标限价）中有疑问，采用网上答疑方式进行，详见本须知前附表第16项。招标人或招标代理人将于本须知前附表第16项指定的地点（交易平台）和时间对疑问进行答复。</w:t>
      </w:r>
    </w:p>
    <w:p w14:paraId="4BA007E0">
      <w:pPr>
        <w:spacing w:line="360" w:lineRule="auto"/>
        <w:ind w:firstLine="411" w:firstLineChars="195"/>
        <w:rPr>
          <w:rFonts w:cs="宋体"/>
          <w:b/>
          <w:color w:val="auto"/>
          <w:szCs w:val="21"/>
          <w:highlight w:val="none"/>
        </w:rPr>
      </w:pPr>
      <w:r>
        <w:rPr>
          <w:rFonts w:hint="eastAsia" w:cs="宋体"/>
          <w:b/>
          <w:color w:val="auto"/>
          <w:szCs w:val="21"/>
          <w:highlight w:val="none"/>
        </w:rPr>
        <w:t>条款号：8.2                         修改类型：修改</w:t>
      </w:r>
    </w:p>
    <w:p w14:paraId="6FE9145C">
      <w:pPr>
        <w:pStyle w:val="25"/>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8.2招标答疑会会议纪要将在提交投标文件截止时间15日前在交易平台 “项目答疑纪要”专区公开发布。答疑纪要一经在交易平台发布，视作已发放给所有投标人。</w:t>
      </w:r>
    </w:p>
    <w:p w14:paraId="339789F6">
      <w:pPr>
        <w:pStyle w:val="25"/>
        <w:pBdr>
          <w:bottom w:val="single" w:color="auto" w:sz="4" w:space="1"/>
        </w:pBdr>
        <w:spacing w:after="0" w:line="360" w:lineRule="auto"/>
        <w:ind w:firstLine="411" w:firstLineChars="195"/>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ascii="宋体" w:hAnsi="宋体" w:cs="宋体"/>
          <w:color w:val="auto"/>
          <w:sz w:val="21"/>
          <w:szCs w:val="21"/>
          <w:highlight w:val="none"/>
          <w:u w:val="single"/>
        </w:rPr>
        <w:t>项目查询(日程安排、答疑纪要)</w:t>
      </w:r>
      <w:r>
        <w:rPr>
          <w:rFonts w:hint="eastAsia" w:ascii="宋体" w:hAnsi="宋体" w:cs="宋体"/>
          <w:color w:val="auto"/>
          <w:sz w:val="21"/>
          <w:szCs w:val="21"/>
          <w:highlight w:val="none"/>
          <w:u w:val="single"/>
        </w:rPr>
        <w:fldChar w:fldCharType="end"/>
      </w:r>
      <w:r>
        <w:rPr>
          <w:rFonts w:hint="eastAsia" w:ascii="宋体" w:hAnsi="宋体" w:cs="宋体"/>
          <w:color w:val="auto"/>
          <w:sz w:val="21"/>
          <w:szCs w:val="21"/>
          <w:highlight w:val="none"/>
        </w:rPr>
        <w:t>”专区公开发布。答疑纪要一经在</w:t>
      </w:r>
      <w:r>
        <w:rPr>
          <w:rFonts w:hint="eastAsia" w:ascii="宋体" w:hAnsi="宋体" w:cs="宋体"/>
          <w:color w:val="auto"/>
          <w:sz w:val="21"/>
          <w:szCs w:val="21"/>
          <w:highlight w:val="none"/>
          <w:u w:val="single"/>
        </w:rPr>
        <w:t>广州交易集团有限公司（广州公共资源交易中心）</w:t>
      </w:r>
      <w:r>
        <w:rPr>
          <w:rFonts w:hint="eastAsia" w:ascii="宋体" w:hAnsi="宋体" w:cs="宋体"/>
          <w:color w:val="auto"/>
          <w:sz w:val="21"/>
          <w:szCs w:val="21"/>
          <w:highlight w:val="none"/>
        </w:rPr>
        <w:t>交易平台发布，视作已发放给所有投标人。</w:t>
      </w:r>
    </w:p>
    <w:p w14:paraId="7483E34E">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条款号：8.3            修改类型：修改</w:t>
      </w:r>
    </w:p>
    <w:p w14:paraId="35F7A2F3">
      <w:pPr>
        <w:pBdr>
          <w:bottom w:val="single" w:color="auto" w:sz="6" w:space="1"/>
        </w:pBdr>
        <w:spacing w:line="440" w:lineRule="exact"/>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8.3答疑会会议纪要为招标文件的一部分。</w:t>
      </w:r>
    </w:p>
    <w:p w14:paraId="46D74F8E">
      <w:pPr>
        <w:pBdr>
          <w:bottom w:val="single" w:color="auto" w:sz="6" w:space="1"/>
        </w:pBdr>
        <w:spacing w:line="440" w:lineRule="exact"/>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8.3</w:t>
      </w:r>
      <w:r>
        <w:rPr>
          <w:rFonts w:hint="eastAsia" w:ascii="宋体" w:hAnsi="宋体" w:cs="宋体"/>
          <w:color w:val="auto"/>
          <w:szCs w:val="21"/>
          <w:highlight w:val="none"/>
          <w:u w:val="single"/>
        </w:rPr>
        <w:t>答疑纪要为招标文件的一部分</w:t>
      </w:r>
      <w:r>
        <w:rPr>
          <w:rFonts w:hint="eastAsia" w:ascii="宋体" w:hAnsi="宋体" w:cs="宋体"/>
          <w:color w:val="auto"/>
          <w:szCs w:val="21"/>
          <w:highlight w:val="none"/>
        </w:rPr>
        <w:t>。</w:t>
      </w:r>
    </w:p>
    <w:p w14:paraId="5FB16284">
      <w:pPr>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条款号：8.4             修改类型：修改</w:t>
      </w:r>
    </w:p>
    <w:p w14:paraId="7C1A6801">
      <w:pPr>
        <w:spacing w:line="440" w:lineRule="exact"/>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8.4若招标答疑会会议纪要与招标文件有矛盾，以答疑会议纪要最后发出的书面形式的文件为准。</w:t>
      </w:r>
    </w:p>
    <w:p w14:paraId="5E460980">
      <w:pPr>
        <w:pBdr>
          <w:bottom w:val="single" w:color="auto" w:sz="6" w:space="1"/>
        </w:pBdr>
        <w:spacing w:line="440" w:lineRule="exact"/>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8.4若招标</w:t>
      </w:r>
      <w:r>
        <w:rPr>
          <w:rFonts w:hint="eastAsia" w:ascii="宋体" w:hAnsi="宋体" w:cs="宋体"/>
          <w:color w:val="auto"/>
          <w:szCs w:val="21"/>
          <w:highlight w:val="none"/>
          <w:u w:val="single"/>
        </w:rPr>
        <w:t>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广州公共资源交易中心网站最后发布的答疑纪要为准</w:t>
      </w:r>
      <w:r>
        <w:rPr>
          <w:rFonts w:hint="eastAsia" w:ascii="宋体" w:hAnsi="宋体" w:cs="宋体"/>
          <w:color w:val="auto"/>
          <w:szCs w:val="21"/>
          <w:highlight w:val="none"/>
        </w:rPr>
        <w:t>。</w:t>
      </w:r>
    </w:p>
    <w:p w14:paraId="69BDA868">
      <w:pPr>
        <w:spacing w:line="360" w:lineRule="auto"/>
        <w:ind w:firstLine="411" w:firstLineChars="195"/>
        <w:rPr>
          <w:rFonts w:cs="宋体"/>
          <w:b/>
          <w:color w:val="auto"/>
          <w:szCs w:val="21"/>
          <w:highlight w:val="none"/>
        </w:rPr>
      </w:pPr>
      <w:r>
        <w:rPr>
          <w:rFonts w:hint="eastAsia" w:cs="宋体"/>
          <w:b/>
          <w:color w:val="auto"/>
          <w:szCs w:val="21"/>
          <w:highlight w:val="none"/>
        </w:rPr>
        <w:t>条款号：9.2                         修改类型：修改</w:t>
      </w:r>
    </w:p>
    <w:p w14:paraId="2C01F996">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9.2招标文件的澄清或修改将在交易平台“项目答疑纪要”专区公开发布。答疑纪要一经在交易平台发布，视作已发放给所有投标人，以交易平台上网发布时间作为送达时间。</w:t>
      </w:r>
    </w:p>
    <w:p w14:paraId="51F5C829">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9.2招标文件的澄清或修改将在</w:t>
      </w:r>
      <w:r>
        <w:rPr>
          <w:rFonts w:hint="eastAsia" w:ascii="宋体" w:hAnsi="宋体" w:cs="宋体"/>
          <w:color w:val="auto"/>
          <w:sz w:val="21"/>
          <w:szCs w:val="21"/>
          <w:highlight w:val="none"/>
          <w:u w:val="single"/>
        </w:rPr>
        <w:t>广州交易集团有限公司（广州公共资源交易中心）</w:t>
      </w:r>
      <w:r>
        <w:rPr>
          <w:rFonts w:hint="eastAsia" w:cs="宋体"/>
          <w:color w:val="auto"/>
          <w:szCs w:val="21"/>
          <w:highlight w:val="none"/>
        </w:rPr>
        <w:t>交易平台“</w:t>
      </w:r>
      <w:r>
        <w:rPr>
          <w:color w:val="auto"/>
          <w:highlight w:val="none"/>
        </w:rPr>
        <w:fldChar w:fldCharType="begin"/>
      </w:r>
      <w:r>
        <w:rPr>
          <w:color w:val="auto"/>
          <w:highlight w:val="none"/>
        </w:rPr>
        <w:instrText xml:space="preserve"> HYPERLINK "http://ggzy.gz.gov.cn/xmcxjsgc/index.jhtml" </w:instrText>
      </w:r>
      <w:r>
        <w:rPr>
          <w:color w:val="auto"/>
          <w:highlight w:val="none"/>
        </w:rPr>
        <w:fldChar w:fldCharType="separate"/>
      </w:r>
      <w:r>
        <w:rPr>
          <w:rFonts w:hint="eastAsia" w:cs="宋体"/>
          <w:color w:val="auto"/>
          <w:szCs w:val="21"/>
          <w:highlight w:val="none"/>
          <w:u w:val="single"/>
        </w:rPr>
        <w:t>项目查询(日程安排、答疑纪要)</w:t>
      </w:r>
      <w:r>
        <w:rPr>
          <w:rFonts w:hint="eastAsia" w:cs="宋体"/>
          <w:color w:val="auto"/>
          <w:szCs w:val="21"/>
          <w:highlight w:val="none"/>
          <w:u w:val="single"/>
        </w:rPr>
        <w:fldChar w:fldCharType="end"/>
      </w:r>
      <w:r>
        <w:rPr>
          <w:rFonts w:hint="eastAsia" w:cs="宋体"/>
          <w:color w:val="auto"/>
          <w:szCs w:val="21"/>
          <w:highlight w:val="none"/>
        </w:rPr>
        <w:t>”专区公开发布。答疑纪要一经在</w:t>
      </w:r>
      <w:r>
        <w:rPr>
          <w:rFonts w:hint="eastAsia" w:ascii="宋体" w:hAnsi="宋体" w:cs="宋体"/>
          <w:color w:val="auto"/>
          <w:sz w:val="21"/>
          <w:szCs w:val="21"/>
          <w:highlight w:val="none"/>
          <w:u w:val="single"/>
        </w:rPr>
        <w:t>广州交易集团有限公司（广州公共资源交易中心）</w:t>
      </w:r>
      <w:r>
        <w:rPr>
          <w:rFonts w:hint="eastAsia" w:cs="宋体"/>
          <w:color w:val="auto"/>
          <w:szCs w:val="21"/>
          <w:highlight w:val="none"/>
        </w:rPr>
        <w:t>交易平台发布，视作已发放给所有投标人，以</w:t>
      </w:r>
      <w:r>
        <w:rPr>
          <w:rFonts w:hint="eastAsia" w:ascii="宋体" w:hAnsi="宋体" w:cs="宋体"/>
          <w:color w:val="auto"/>
          <w:sz w:val="21"/>
          <w:szCs w:val="21"/>
          <w:highlight w:val="none"/>
          <w:u w:val="single"/>
        </w:rPr>
        <w:t>广州交易集团有限公司（广州公共资源交易中心）</w:t>
      </w:r>
      <w:r>
        <w:rPr>
          <w:rFonts w:hint="eastAsia" w:cs="宋体"/>
          <w:color w:val="auto"/>
          <w:szCs w:val="21"/>
          <w:highlight w:val="none"/>
        </w:rPr>
        <w:t>交易平台上网发布时间作为送达时间。</w:t>
      </w:r>
    </w:p>
    <w:p w14:paraId="1F486D91">
      <w:pPr>
        <w:spacing w:line="360" w:lineRule="auto"/>
        <w:ind w:firstLine="411" w:firstLineChars="195"/>
        <w:rPr>
          <w:rFonts w:cs="宋体"/>
          <w:b/>
          <w:color w:val="auto"/>
          <w:szCs w:val="21"/>
          <w:highlight w:val="none"/>
        </w:rPr>
      </w:pPr>
      <w:r>
        <w:rPr>
          <w:rFonts w:hint="eastAsia" w:cs="宋体"/>
          <w:b/>
          <w:color w:val="auto"/>
          <w:szCs w:val="21"/>
          <w:highlight w:val="none"/>
        </w:rPr>
        <w:t>条款号：9.4                         修改类型：修改</w:t>
      </w:r>
    </w:p>
    <w:p w14:paraId="510CC868">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9.4招标文件的澄清或修改均以书面形式明确的内容为准。当招标文件的澄清、修改、补充等在同一内容的表述不一致时，以最后发出的书面形式的文件为准。</w:t>
      </w:r>
    </w:p>
    <w:p w14:paraId="467D8981">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9.4招标文件的澄清或修改均以</w:t>
      </w:r>
      <w:r>
        <w:rPr>
          <w:rFonts w:hint="eastAsia" w:ascii="宋体" w:hAnsi="宋体" w:cs="宋体"/>
          <w:color w:val="auto"/>
          <w:sz w:val="21"/>
          <w:szCs w:val="21"/>
          <w:highlight w:val="none"/>
          <w:u w:val="single"/>
        </w:rPr>
        <w:t>广州交易集团有限公司（广州公共资源交易中心）</w:t>
      </w:r>
      <w:r>
        <w:rPr>
          <w:rFonts w:hint="eastAsia" w:cs="宋体"/>
          <w:color w:val="auto"/>
          <w:szCs w:val="21"/>
          <w:highlight w:val="none"/>
          <w:u w:val="single"/>
        </w:rPr>
        <w:t>交易平台网上答疑公布</w:t>
      </w:r>
      <w:r>
        <w:rPr>
          <w:rFonts w:hint="eastAsia" w:cs="宋体"/>
          <w:color w:val="auto"/>
          <w:szCs w:val="21"/>
          <w:highlight w:val="none"/>
        </w:rPr>
        <w:t>的内容为准。当招标文件的澄清、修改、补充等在同一内容的表述不一致时，以</w:t>
      </w:r>
      <w:r>
        <w:rPr>
          <w:rFonts w:hint="eastAsia" w:ascii="宋体" w:hAnsi="宋体" w:cs="宋体"/>
          <w:color w:val="auto"/>
          <w:sz w:val="21"/>
          <w:szCs w:val="21"/>
          <w:highlight w:val="none"/>
          <w:u w:val="single"/>
        </w:rPr>
        <w:t>广州交易集团有限公司（广州公共资源交易中心）</w:t>
      </w:r>
      <w:r>
        <w:rPr>
          <w:rFonts w:hint="eastAsia" w:cs="宋体"/>
          <w:color w:val="auto"/>
          <w:szCs w:val="21"/>
          <w:highlight w:val="none"/>
          <w:u w:val="single"/>
        </w:rPr>
        <w:t>交易平台网上最后发出的文件为准</w:t>
      </w:r>
      <w:r>
        <w:rPr>
          <w:rFonts w:hint="eastAsia" w:cs="宋体"/>
          <w:color w:val="auto"/>
          <w:szCs w:val="21"/>
          <w:highlight w:val="none"/>
        </w:rPr>
        <w:t>。</w:t>
      </w:r>
    </w:p>
    <w:p w14:paraId="6B8E79B6">
      <w:pPr>
        <w:spacing w:line="360" w:lineRule="auto"/>
        <w:ind w:firstLine="411" w:firstLineChars="195"/>
        <w:rPr>
          <w:rFonts w:cs="宋体"/>
          <w:b/>
          <w:color w:val="auto"/>
          <w:szCs w:val="21"/>
          <w:highlight w:val="none"/>
        </w:rPr>
      </w:pPr>
      <w:r>
        <w:rPr>
          <w:rFonts w:hint="eastAsia" w:cs="宋体"/>
          <w:b/>
          <w:color w:val="auto"/>
          <w:szCs w:val="21"/>
          <w:highlight w:val="none"/>
        </w:rPr>
        <w:t>条款号：11.2                       修改类型：修改</w:t>
      </w:r>
    </w:p>
    <w:p w14:paraId="755CFB83">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bCs/>
          <w:color w:val="auto"/>
          <w:szCs w:val="21"/>
          <w:highlight w:val="none"/>
        </w:rPr>
        <w:t>11.2投标文件技术标部分主要包括下列内容:</w:t>
      </w:r>
    </w:p>
    <w:p w14:paraId="16D4BD7A">
      <w:pPr>
        <w:spacing w:line="360" w:lineRule="auto"/>
        <w:ind w:firstLine="409" w:firstLineChars="195"/>
        <w:rPr>
          <w:rFonts w:cs="宋体"/>
          <w:bCs/>
          <w:color w:val="auto"/>
          <w:szCs w:val="21"/>
          <w:highlight w:val="none"/>
        </w:rPr>
      </w:pPr>
      <w:r>
        <w:rPr>
          <w:rFonts w:hint="eastAsia" w:cs="宋体"/>
          <w:bCs/>
          <w:color w:val="auto"/>
          <w:szCs w:val="21"/>
          <w:highlight w:val="none"/>
        </w:rPr>
        <w:t>11.2.1 技术投标文件</w:t>
      </w:r>
      <w:r>
        <w:rPr>
          <w:rFonts w:hint="eastAsia" w:cs="宋体"/>
          <w:color w:val="auto"/>
          <w:szCs w:val="21"/>
          <w:highlight w:val="none"/>
        </w:rPr>
        <w:t>(按招标文件的要求填写)</w:t>
      </w:r>
      <w:r>
        <w:rPr>
          <w:rFonts w:hint="eastAsia" w:cs="宋体"/>
          <w:bCs/>
          <w:color w:val="auto"/>
          <w:szCs w:val="21"/>
          <w:highlight w:val="none"/>
        </w:rPr>
        <w:t>；</w:t>
      </w:r>
    </w:p>
    <w:p w14:paraId="26E4AEB4">
      <w:pPr>
        <w:spacing w:line="360" w:lineRule="auto"/>
        <w:ind w:firstLine="409" w:firstLineChars="195"/>
        <w:rPr>
          <w:rFonts w:cs="宋体"/>
          <w:bCs/>
          <w:color w:val="auto"/>
          <w:szCs w:val="21"/>
          <w:highlight w:val="none"/>
        </w:rPr>
      </w:pPr>
      <w:r>
        <w:rPr>
          <w:rFonts w:hint="eastAsia" w:cs="宋体"/>
          <w:bCs/>
          <w:color w:val="auto"/>
          <w:szCs w:val="21"/>
          <w:highlight w:val="none"/>
        </w:rPr>
        <w:t>11.2.2 资格审查文件：</w:t>
      </w:r>
    </w:p>
    <w:p w14:paraId="5838546B">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 xml:space="preserve">（1）投标人声明； </w:t>
      </w:r>
    </w:p>
    <w:p w14:paraId="4E29605D">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（2）法定代表人证明书、法定代表人签字或盖章的本投标文件授权委托证明书；</w:t>
      </w:r>
    </w:p>
    <w:p w14:paraId="40BEAB63">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（3）企业营业执照扫描件或电子证照；</w:t>
      </w:r>
    </w:p>
    <w:p w14:paraId="204B7C77">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（4）企业资质证书扫描件或电子证照；</w:t>
      </w:r>
    </w:p>
    <w:p w14:paraId="10D09525">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（5）建筑施工企业安全生产许可证扫描件或电子证照；</w:t>
      </w:r>
    </w:p>
    <w:p w14:paraId="33CDEDF5">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（6）项目负责人（按网上投标登记时选择拟投入本项目的项目负责人）</w:t>
      </w:r>
    </w:p>
    <w:p w14:paraId="4CCA588A">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（7）专职安全员（按网上投标登记时选择拟投入本项目的专职安全员）</w:t>
      </w:r>
    </w:p>
    <w:p w14:paraId="23DCE901">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w:t>
      </w:r>
      <w:r>
        <w:rPr>
          <w:rFonts w:hint="eastAsia" w:cs="宋体"/>
          <w:color w:val="auto"/>
          <w:szCs w:val="21"/>
          <w:highlight w:val="none"/>
          <w:lang w:val="en-US" w:eastAsia="zh-CN"/>
        </w:rPr>
        <w:t>8</w:t>
      </w:r>
      <w:r>
        <w:rPr>
          <w:rFonts w:hint="eastAsia" w:cs="宋体"/>
          <w:color w:val="auto"/>
          <w:szCs w:val="21"/>
          <w:highlight w:val="none"/>
        </w:rPr>
        <w:t xml:space="preserve">）拟委派项目负责人的有效期内的建造师注册证书扫描件或电子证书；  </w:t>
      </w:r>
    </w:p>
    <w:p w14:paraId="00BBB5FC">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w:t>
      </w:r>
      <w:r>
        <w:rPr>
          <w:rFonts w:hint="eastAsia" w:cs="宋体"/>
          <w:color w:val="auto"/>
          <w:szCs w:val="21"/>
          <w:highlight w:val="none"/>
          <w:lang w:val="en-US" w:eastAsia="zh-CN"/>
        </w:rPr>
        <w:t>9</w:t>
      </w:r>
      <w:r>
        <w:rPr>
          <w:rFonts w:hint="eastAsia" w:cs="宋体"/>
          <w:color w:val="auto"/>
          <w:szCs w:val="21"/>
          <w:highlight w:val="none"/>
        </w:rPr>
        <w:t>）项目负责人在有效期内的安全生产考核合格证书（B类）或建筑施工企业项目负责人安全生产考核合格证书扫描件或电子证书；</w:t>
      </w:r>
    </w:p>
    <w:p w14:paraId="47DA6FE1">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w:t>
      </w:r>
      <w:r>
        <w:rPr>
          <w:rFonts w:hint="eastAsia" w:cs="宋体"/>
          <w:color w:val="auto"/>
          <w:szCs w:val="21"/>
          <w:highlight w:val="none"/>
          <w:lang w:val="en-US" w:eastAsia="zh-CN"/>
        </w:rPr>
        <w:t>0</w:t>
      </w:r>
      <w:r>
        <w:rPr>
          <w:rFonts w:hint="eastAsia" w:cs="宋体"/>
          <w:color w:val="auto"/>
          <w:szCs w:val="21"/>
          <w:highlight w:val="none"/>
        </w:rPr>
        <w:t>）专职安全员须具有在有效期内的安全生产考核合格证书（C类）或建筑施工企业专职安全生产管理人员安全生产考核合格证书扫描件或电子证书；</w:t>
      </w:r>
    </w:p>
    <w:p w14:paraId="37E44E65">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w:t>
      </w:r>
      <w:r>
        <w:rPr>
          <w:rFonts w:hint="eastAsia" w:cs="宋体"/>
          <w:color w:val="auto"/>
          <w:szCs w:val="21"/>
          <w:highlight w:val="none"/>
          <w:lang w:val="en-US" w:eastAsia="zh-CN"/>
        </w:rPr>
        <w:t>1</w:t>
      </w:r>
      <w:r>
        <w:rPr>
          <w:rFonts w:hint="eastAsia" w:cs="宋体"/>
          <w:color w:val="auto"/>
          <w:szCs w:val="21"/>
          <w:highlight w:val="none"/>
        </w:rPr>
        <w:t>）用于资格审查的业绩（设置业绩要求时选择此项，投标人须提供类似工程业绩的项目名称及项目编号，具体格式由招标人自定）；</w:t>
      </w:r>
    </w:p>
    <w:p w14:paraId="1531C48C">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w:t>
      </w:r>
      <w:r>
        <w:rPr>
          <w:rFonts w:hint="eastAsia" w:cs="宋体"/>
          <w:color w:val="auto"/>
          <w:szCs w:val="21"/>
          <w:highlight w:val="none"/>
          <w:lang w:val="en-US" w:eastAsia="zh-CN"/>
        </w:rPr>
        <w:t>2</w:t>
      </w:r>
      <w:r>
        <w:rPr>
          <w:rFonts w:hint="eastAsia" w:cs="宋体"/>
          <w:color w:val="auto"/>
          <w:szCs w:val="21"/>
          <w:highlight w:val="none"/>
        </w:rPr>
        <w:t xml:space="preserve">）列明主办单位的联合体工作协议（采用联合体投标时需递交，投标人拟任本工程项目负责人应为联合体主办方信用档案中的在册人员，联合体工作协议应明确约定各方拟承担的工作和责任）； </w:t>
      </w:r>
    </w:p>
    <w:p w14:paraId="21BB25A2">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w:t>
      </w:r>
      <w:r>
        <w:rPr>
          <w:rFonts w:hint="eastAsia" w:cs="宋体"/>
          <w:color w:val="auto"/>
          <w:szCs w:val="21"/>
          <w:highlight w:val="none"/>
          <w:lang w:val="en-US" w:eastAsia="zh-CN"/>
        </w:rPr>
        <w:t>3</w:t>
      </w:r>
      <w:r>
        <w:rPr>
          <w:rFonts w:hint="eastAsia" w:cs="宋体"/>
          <w:color w:val="auto"/>
          <w:szCs w:val="21"/>
          <w:highlight w:val="none"/>
        </w:rPr>
        <w:t>）列明主办单位的联合体工作协议（采用联合体投标时需递交，投标人拟任本工程项目负责人应为联合体主办方信用档案中的在册人员，联合体工作协议应明确约定各方拟承担的工作和责任）；</w:t>
      </w:r>
    </w:p>
    <w:p w14:paraId="3F018099">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注：1.相关电子证书按规定需打印后手写本人签名的，应按照规定手写本人签名后再扫描提交。</w:t>
      </w:r>
    </w:p>
    <w:p w14:paraId="7542C6CC">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6A80F56">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11.2.3 项目管理机构配备。</w:t>
      </w:r>
    </w:p>
    <w:p w14:paraId="1B282E79">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（1）投标人应列出该项目工程的施工组织机构构成和画出机构框架图及其负责人；</w:t>
      </w:r>
    </w:p>
    <w:p w14:paraId="484F9830">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（2）投标人应详细列出该施工组织机构中主要成员的名单、简历资料、职务职称和</w:t>
      </w:r>
    </w:p>
    <w:p w14:paraId="6B6D7C2B">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在本项目中拟担任的职务等资料，并附上有关证明材料扫描件；</w:t>
      </w:r>
    </w:p>
    <w:p w14:paraId="3A45C011">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（3）其他辅助说明资料。</w:t>
      </w:r>
    </w:p>
    <w:p w14:paraId="28247066">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11.2.4 投标人在广州市可使用适合本工程的机械设备（附：机械设备为自有或租赁的说明；及承诺机械设备如属于租赁的，其租赁是不属于重复租赁）。</w:t>
      </w:r>
    </w:p>
    <w:p w14:paraId="7DE5BE93">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11.2.</w:t>
      </w:r>
      <w:r>
        <w:rPr>
          <w:rFonts w:hint="default" w:cs="宋体"/>
          <w:color w:val="auto"/>
          <w:szCs w:val="21"/>
          <w:highlight w:val="none"/>
          <w:lang w:val="en-US"/>
        </w:rPr>
        <w:t xml:space="preserve">5 </w:t>
      </w:r>
      <w:r>
        <w:rPr>
          <w:rFonts w:hint="eastAsia" w:cs="宋体"/>
          <w:color w:val="auto"/>
          <w:szCs w:val="21"/>
          <w:highlight w:val="none"/>
          <w:lang w:val="en-US" w:eastAsia="zh-CN"/>
        </w:rPr>
        <w:t xml:space="preserve"> </w:t>
      </w:r>
      <w:r>
        <w:rPr>
          <w:rFonts w:hint="eastAsia" w:cs="宋体"/>
          <w:color w:val="auto"/>
          <w:szCs w:val="21"/>
          <w:highlight w:val="none"/>
        </w:rPr>
        <w:t>施工组织设计或施工方案。</w:t>
      </w:r>
    </w:p>
    <w:p w14:paraId="1E8ECE58">
      <w:pPr>
        <w:tabs>
          <w:tab w:val="left" w:pos="1125"/>
        </w:tabs>
        <w:spacing w:line="360" w:lineRule="auto"/>
        <w:ind w:firstLine="409" w:firstLineChars="195"/>
        <w:rPr>
          <w:rFonts w:hint="eastAsia" w:cs="宋体"/>
          <w:color w:val="auto"/>
          <w:szCs w:val="21"/>
          <w:highlight w:val="none"/>
        </w:rPr>
      </w:pPr>
      <w:r>
        <w:rPr>
          <w:rFonts w:hint="eastAsia"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5ABBA91B">
      <w:pPr>
        <w:tabs>
          <w:tab w:val="left" w:pos="1125"/>
        </w:tabs>
        <w:spacing w:line="360" w:lineRule="auto"/>
        <w:ind w:firstLine="409" w:firstLineChars="195"/>
        <w:rPr>
          <w:rFonts w:cs="宋体"/>
          <w:b w:val="0"/>
          <w:bCs w:val="0"/>
          <w:color w:val="auto"/>
          <w:sz w:val="21"/>
          <w:szCs w:val="21"/>
          <w:highlight w:val="none"/>
        </w:rPr>
      </w:pPr>
      <w:r>
        <w:rPr>
          <w:rFonts w:hint="eastAsia"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47C5B715">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11.2.</w:t>
      </w:r>
      <w:r>
        <w:rPr>
          <w:rFonts w:hint="default" w:cs="宋体"/>
          <w:color w:val="auto"/>
          <w:szCs w:val="21"/>
          <w:highlight w:val="none"/>
          <w:lang w:val="en-US"/>
        </w:rPr>
        <w:t>6</w:t>
      </w:r>
      <w:r>
        <w:rPr>
          <w:rFonts w:hint="eastAsia" w:cs="宋体"/>
          <w:color w:val="auto"/>
          <w:szCs w:val="21"/>
          <w:highlight w:val="none"/>
        </w:rPr>
        <w:t xml:space="preserve"> 按照招标文件要求填写的《参与编制技术标投标文件人员名单》。</w:t>
      </w:r>
    </w:p>
    <w:p w14:paraId="4CDC1D0F">
      <w:pPr>
        <w:spacing w:line="360" w:lineRule="auto"/>
        <w:ind w:firstLine="411" w:firstLineChars="195"/>
        <w:rPr>
          <w:rFonts w:cs="宋体"/>
          <w:b/>
          <w:color w:val="auto"/>
          <w:szCs w:val="21"/>
          <w:highlight w:val="none"/>
        </w:rPr>
      </w:pPr>
      <w:r>
        <w:rPr>
          <w:rFonts w:hint="eastAsia" w:cs="宋体"/>
          <w:b/>
          <w:color w:val="auto"/>
          <w:szCs w:val="21"/>
          <w:highlight w:val="none"/>
        </w:rPr>
        <w:t>现文：</w:t>
      </w:r>
    </w:p>
    <w:p w14:paraId="101B3EC3">
      <w:pPr>
        <w:spacing w:line="360" w:lineRule="auto"/>
        <w:ind w:firstLine="409" w:firstLineChars="195"/>
        <w:rPr>
          <w:rFonts w:cs="宋体"/>
          <w:bCs/>
          <w:color w:val="auto"/>
          <w:szCs w:val="21"/>
          <w:highlight w:val="none"/>
        </w:rPr>
      </w:pPr>
      <w:r>
        <w:rPr>
          <w:rFonts w:hint="eastAsia" w:cs="宋体"/>
          <w:bCs/>
          <w:color w:val="auto"/>
          <w:szCs w:val="21"/>
          <w:highlight w:val="none"/>
        </w:rPr>
        <w:t>11.2投标文件技术标部分</w:t>
      </w:r>
      <w:r>
        <w:rPr>
          <w:rFonts w:hint="eastAsia" w:cs="宋体"/>
          <w:bCs/>
          <w:color w:val="auto"/>
          <w:szCs w:val="21"/>
          <w:highlight w:val="none"/>
          <w:lang w:eastAsia="zh-CN"/>
        </w:rPr>
        <w:t>（</w:t>
      </w:r>
      <w:r>
        <w:rPr>
          <w:rFonts w:hint="eastAsia" w:cs="宋体"/>
          <w:bCs/>
          <w:color w:val="auto"/>
          <w:szCs w:val="21"/>
          <w:highlight w:val="none"/>
          <w:lang w:val="en-US" w:eastAsia="zh-CN"/>
        </w:rPr>
        <w:t>含资格审查文件）</w:t>
      </w:r>
      <w:r>
        <w:rPr>
          <w:rFonts w:hint="eastAsia" w:cs="宋体"/>
          <w:bCs/>
          <w:color w:val="auto"/>
          <w:szCs w:val="21"/>
          <w:highlight w:val="none"/>
        </w:rPr>
        <w:t>主要包括下列内容</w:t>
      </w:r>
      <w:r>
        <w:rPr>
          <w:rFonts w:hint="eastAsia" w:cs="宋体"/>
          <w:color w:val="auto"/>
          <w:szCs w:val="21"/>
          <w:highlight w:val="none"/>
          <w:u w:val="single"/>
        </w:rPr>
        <w:t>（除注明原件外，均为清晰扫描件</w:t>
      </w:r>
      <w:r>
        <w:rPr>
          <w:rFonts w:hint="eastAsia" w:cs="宋体"/>
          <w:color w:val="auto"/>
          <w:szCs w:val="21"/>
          <w:highlight w:val="none"/>
          <w:u w:val="single"/>
          <w:lang w:val="en-US" w:eastAsia="zh-CN"/>
        </w:rPr>
        <w:t>或电子证照或电子证书或网页截图</w:t>
      </w:r>
      <w:r>
        <w:rPr>
          <w:rFonts w:hint="eastAsia" w:cs="宋体"/>
          <w:color w:val="auto"/>
          <w:szCs w:val="21"/>
          <w:highlight w:val="none"/>
          <w:u w:val="single"/>
        </w:rPr>
        <w:t>即可）</w:t>
      </w:r>
      <w:r>
        <w:rPr>
          <w:rFonts w:hint="eastAsia" w:cs="宋体"/>
          <w:bCs/>
          <w:color w:val="auto"/>
          <w:szCs w:val="21"/>
          <w:highlight w:val="none"/>
        </w:rPr>
        <w:t>:</w:t>
      </w:r>
    </w:p>
    <w:p w14:paraId="38E5AD2D">
      <w:pPr>
        <w:spacing w:line="360" w:lineRule="auto"/>
        <w:ind w:firstLine="409" w:firstLineChars="195"/>
        <w:rPr>
          <w:rFonts w:cs="宋体"/>
          <w:bCs/>
          <w:color w:val="auto"/>
          <w:szCs w:val="21"/>
          <w:highlight w:val="none"/>
        </w:rPr>
      </w:pPr>
      <w:r>
        <w:rPr>
          <w:rFonts w:hint="eastAsia" w:cs="宋体"/>
          <w:bCs/>
          <w:color w:val="auto"/>
          <w:szCs w:val="21"/>
          <w:highlight w:val="none"/>
        </w:rPr>
        <w:t xml:space="preserve">11.2.1 </w:t>
      </w:r>
      <w:r>
        <w:rPr>
          <w:rFonts w:hint="eastAsia" w:ascii="宋体" w:hAnsi="宋体" w:cs="宋体"/>
          <w:bCs/>
          <w:color w:val="auto"/>
          <w:szCs w:val="21"/>
          <w:highlight w:val="none"/>
          <w:u w:val="single"/>
        </w:rPr>
        <w:t>广州建设工程施工招标投标书</w:t>
      </w:r>
      <w:r>
        <w:rPr>
          <w:rFonts w:hint="eastAsia" w:cs="宋体"/>
          <w:bCs/>
          <w:color w:val="auto"/>
          <w:szCs w:val="21"/>
          <w:highlight w:val="none"/>
          <w:u w:val="single"/>
          <w:lang w:eastAsia="zh-CN"/>
        </w:rPr>
        <w:t>（</w:t>
      </w:r>
      <w:r>
        <w:rPr>
          <w:rFonts w:hint="eastAsia" w:cs="宋体"/>
          <w:bCs/>
          <w:color w:val="auto"/>
          <w:szCs w:val="21"/>
          <w:highlight w:val="none"/>
          <w:u w:val="single"/>
          <w:lang w:val="en-US" w:eastAsia="zh-CN"/>
        </w:rPr>
        <w:t>技术标）</w:t>
      </w:r>
      <w:r>
        <w:rPr>
          <w:rFonts w:hint="eastAsia" w:ascii="宋体" w:hAnsi="宋体" w:cs="宋体"/>
          <w:bCs/>
          <w:color w:val="auto"/>
          <w:szCs w:val="21"/>
          <w:highlight w:val="none"/>
          <w:u w:val="single"/>
        </w:rPr>
        <w:t>(需按招标文件第四章要求的格式填写，具体格式以《广州建设工程施工招标投标书》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r>
        <w:rPr>
          <w:rFonts w:hint="eastAsia" w:cs="宋体"/>
          <w:bCs/>
          <w:color w:val="auto"/>
          <w:szCs w:val="21"/>
          <w:highlight w:val="none"/>
        </w:rPr>
        <w:t>；</w:t>
      </w:r>
    </w:p>
    <w:p w14:paraId="23071940">
      <w:pPr>
        <w:spacing w:line="360" w:lineRule="auto"/>
        <w:ind w:firstLine="409" w:firstLineChars="195"/>
        <w:rPr>
          <w:rFonts w:cs="宋体"/>
          <w:bCs/>
          <w:color w:val="auto"/>
          <w:szCs w:val="21"/>
          <w:highlight w:val="none"/>
        </w:rPr>
      </w:pPr>
      <w:r>
        <w:rPr>
          <w:rFonts w:hint="eastAsia" w:cs="宋体"/>
          <w:bCs/>
          <w:color w:val="auto"/>
          <w:szCs w:val="21"/>
          <w:highlight w:val="none"/>
        </w:rPr>
        <w:t>11.2.2 资格审查文件：</w:t>
      </w:r>
    </w:p>
    <w:p w14:paraId="6B66AB47">
      <w:pPr>
        <w:spacing w:line="360" w:lineRule="auto"/>
        <w:ind w:left="409" w:leftChars="190" w:hanging="10" w:hangingChars="5"/>
        <w:rPr>
          <w:rFonts w:hint="eastAsia" w:cs="宋体"/>
          <w:bCs/>
          <w:color w:val="auto"/>
          <w:szCs w:val="21"/>
          <w:highlight w:val="none"/>
          <w:u w:val="single"/>
        </w:rPr>
      </w:pPr>
      <w:r>
        <w:rPr>
          <w:rFonts w:hint="eastAsia" w:cs="宋体"/>
          <w:bCs/>
          <w:color w:val="auto"/>
          <w:szCs w:val="21"/>
          <w:highlight w:val="none"/>
          <w:u w:val="single"/>
        </w:rPr>
        <w:t xml:space="preserve">（1）投标人声明（见招标公告附件一）； </w:t>
      </w:r>
    </w:p>
    <w:p w14:paraId="3B38F68C">
      <w:pPr>
        <w:spacing w:line="360" w:lineRule="auto"/>
        <w:ind w:left="409" w:leftChars="190" w:hanging="10" w:hangingChars="5"/>
        <w:rPr>
          <w:rFonts w:hint="eastAsia" w:cs="宋体"/>
          <w:bCs/>
          <w:color w:val="auto"/>
          <w:szCs w:val="21"/>
          <w:highlight w:val="none"/>
          <w:u w:val="single"/>
        </w:rPr>
      </w:pPr>
      <w:r>
        <w:rPr>
          <w:rFonts w:hint="eastAsia" w:cs="宋体"/>
          <w:bCs/>
          <w:color w:val="auto"/>
          <w:szCs w:val="21"/>
          <w:highlight w:val="none"/>
          <w:u w:val="single"/>
        </w:rPr>
        <w:t>（2）法定代表人证明书、法定代表人签字或盖章的本投标文件授权委托证明书</w:t>
      </w:r>
      <w:r>
        <w:rPr>
          <w:rFonts w:hint="eastAsia" w:cs="宋体"/>
          <w:color w:val="auto"/>
          <w:szCs w:val="21"/>
          <w:highlight w:val="none"/>
          <w:u w:val="single"/>
        </w:rPr>
        <w:t>（</w:t>
      </w:r>
      <w:r>
        <w:rPr>
          <w:rFonts w:hint="default" w:eastAsia="宋体" w:cs="宋体"/>
          <w:color w:val="auto"/>
          <w:szCs w:val="21"/>
          <w:highlight w:val="none"/>
          <w:u w:val="single"/>
          <w:lang w:val="en-US" w:eastAsia="zh-CN"/>
        </w:rPr>
        <w:t>按招标文件的要求填写</w:t>
      </w:r>
      <w:r>
        <w:rPr>
          <w:rFonts w:hint="eastAsia" w:cs="宋体"/>
          <w:color w:val="auto"/>
          <w:szCs w:val="21"/>
          <w:highlight w:val="none"/>
          <w:u w:val="single"/>
          <w:lang w:eastAsia="zh-CN"/>
        </w:rPr>
        <w:t>）</w:t>
      </w:r>
      <w:r>
        <w:rPr>
          <w:rFonts w:hint="eastAsia" w:cs="宋体"/>
          <w:bCs/>
          <w:color w:val="auto"/>
          <w:szCs w:val="21"/>
          <w:highlight w:val="none"/>
          <w:u w:val="single"/>
        </w:rPr>
        <w:t>；</w:t>
      </w:r>
    </w:p>
    <w:p w14:paraId="474F276F">
      <w:pPr>
        <w:spacing w:line="360" w:lineRule="auto"/>
        <w:ind w:left="409" w:leftChars="190" w:hanging="10" w:hangingChars="5"/>
        <w:rPr>
          <w:rFonts w:hint="default" w:ascii="宋体" w:hAnsi="宋体" w:eastAsia="宋体" w:cs="宋体"/>
          <w:bCs/>
          <w:color w:val="auto"/>
          <w:szCs w:val="21"/>
          <w:highlight w:val="none"/>
          <w:u w:val="single"/>
          <w:lang w:val="en-US" w:eastAsia="zh-CN"/>
        </w:rPr>
      </w:pPr>
      <w:r>
        <w:rPr>
          <w:rFonts w:hint="eastAsia" w:cs="宋体"/>
          <w:bCs/>
          <w:color w:val="auto"/>
          <w:szCs w:val="21"/>
          <w:highlight w:val="none"/>
          <w:u w:val="single"/>
        </w:rPr>
        <w:t>（3）企业营业执照扫描件或电子证照；</w:t>
      </w:r>
      <w:r>
        <w:rPr>
          <w:rFonts w:hint="eastAsia" w:ascii="宋体" w:hAnsi="宋体" w:eastAsia="宋体" w:cs="宋体"/>
          <w:bCs/>
          <w:color w:val="auto"/>
          <w:szCs w:val="21"/>
          <w:highlight w:val="none"/>
          <w:u w:val="single"/>
        </w:rPr>
        <w:t>港澳地区企业</w:t>
      </w:r>
      <w:r>
        <w:rPr>
          <w:rFonts w:hint="eastAsia" w:ascii="宋体" w:hAnsi="宋体" w:eastAsia="宋体" w:cs="宋体"/>
          <w:bCs/>
          <w:color w:val="auto"/>
          <w:szCs w:val="21"/>
          <w:highlight w:val="none"/>
          <w:u w:val="single"/>
          <w:lang w:val="en-US" w:eastAsia="zh-CN"/>
        </w:rPr>
        <w:t>的</w:t>
      </w:r>
      <w:r>
        <w:rPr>
          <w:rFonts w:hint="eastAsia" w:ascii="宋体" w:hAnsi="宋体" w:eastAsia="宋体" w:cs="宋体"/>
          <w:bCs/>
          <w:color w:val="auto"/>
          <w:szCs w:val="21"/>
          <w:highlight w:val="none"/>
          <w:u w:val="single"/>
        </w:rPr>
        <w:t>商事主体资格</w:t>
      </w:r>
      <w:r>
        <w:rPr>
          <w:rFonts w:hint="eastAsia" w:ascii="宋体" w:hAnsi="宋体" w:eastAsia="宋体" w:cs="宋体"/>
          <w:bCs/>
          <w:color w:val="auto"/>
          <w:szCs w:val="21"/>
          <w:highlight w:val="none"/>
          <w:u w:val="single"/>
          <w:lang w:val="en-US" w:eastAsia="zh-CN"/>
        </w:rPr>
        <w:t>证明</w:t>
      </w:r>
      <w:r>
        <w:rPr>
          <w:rFonts w:hint="eastAsia" w:ascii="宋体" w:hAnsi="宋体" w:eastAsia="宋体" w:cs="宋体"/>
          <w:bCs/>
          <w:color w:val="auto"/>
          <w:szCs w:val="21"/>
          <w:highlight w:val="none"/>
          <w:u w:val="single"/>
        </w:rPr>
        <w:t>，取得珠海市(区)或横琴粤澳深度合作区行业主管部门颁发的香港/澳门建筑及相关工程咨询企业备案认可书或广东省住房和城乡建设厅颁发的备案认可文件</w:t>
      </w:r>
      <w:r>
        <w:rPr>
          <w:rFonts w:hint="eastAsia" w:ascii="宋体" w:hAnsi="宋体" w:eastAsia="宋体" w:cs="宋体"/>
          <w:bCs/>
          <w:color w:val="auto"/>
          <w:szCs w:val="21"/>
          <w:highlight w:val="none"/>
          <w:u w:val="single"/>
          <w:lang w:val="en-US" w:eastAsia="zh-CN"/>
        </w:rPr>
        <w:t>扫描件；</w:t>
      </w:r>
    </w:p>
    <w:p w14:paraId="44ECA82B">
      <w:pPr>
        <w:spacing w:line="360" w:lineRule="auto"/>
        <w:ind w:left="409" w:leftChars="190" w:hanging="10" w:hangingChars="5"/>
        <w:rPr>
          <w:rFonts w:hint="default" w:ascii="宋体" w:hAnsi="宋体" w:eastAsia="宋体" w:cs="宋体"/>
          <w:bCs/>
          <w:color w:val="auto"/>
          <w:szCs w:val="21"/>
          <w:highlight w:val="none"/>
          <w:u w:val="single"/>
          <w:lang w:val="en-US" w:eastAsia="zh-CN"/>
        </w:rPr>
      </w:pPr>
      <w:r>
        <w:rPr>
          <w:rFonts w:hint="eastAsia" w:cs="宋体"/>
          <w:bCs/>
          <w:color w:val="auto"/>
          <w:szCs w:val="21"/>
          <w:highlight w:val="none"/>
          <w:u w:val="single"/>
        </w:rPr>
        <w:t>（4）</w:t>
      </w:r>
      <w:r>
        <w:rPr>
          <w:rFonts w:hint="eastAsia" w:ascii="宋体" w:hAnsi="宋体" w:eastAsia="宋体" w:cs="宋体"/>
          <w:bCs/>
          <w:color w:val="auto"/>
          <w:szCs w:val="21"/>
          <w:highlight w:val="none"/>
          <w:u w:val="single"/>
        </w:rPr>
        <w:t>企业资质证书扫描件或电子证照；</w:t>
      </w:r>
      <w:r>
        <w:rPr>
          <w:rFonts w:hint="eastAsia" w:ascii="宋体" w:hAnsi="宋体" w:eastAsia="宋体" w:cs="宋体"/>
          <w:bCs/>
          <w:color w:val="auto"/>
          <w:szCs w:val="21"/>
          <w:highlight w:val="none"/>
          <w:u w:val="single"/>
          <w:lang w:val="en-US" w:eastAsia="zh-CN"/>
        </w:rPr>
        <w:t>港澳地区企业提供</w:t>
      </w:r>
      <w:r>
        <w:rPr>
          <w:rFonts w:hint="eastAsia" w:ascii="宋体" w:hAnsi="宋体" w:eastAsia="宋体" w:cs="宋体"/>
          <w:bCs/>
          <w:color w:val="auto"/>
          <w:szCs w:val="21"/>
          <w:highlight w:val="none"/>
          <w:u w:val="single"/>
        </w:rPr>
        <w:t>珠海市(区)或横琴粤澳深度合作区行业主管部门颁发的香港/澳门建筑及相关工程咨询企业备案认可书或广东省住房和城乡建设厅颁发的备案认可文件</w:t>
      </w:r>
      <w:r>
        <w:rPr>
          <w:rFonts w:hint="eastAsia" w:ascii="宋体" w:hAnsi="宋体" w:eastAsia="宋体" w:cs="宋体"/>
          <w:bCs/>
          <w:color w:val="auto"/>
          <w:szCs w:val="21"/>
          <w:highlight w:val="none"/>
          <w:u w:val="single"/>
          <w:lang w:val="en-US" w:eastAsia="zh-CN"/>
        </w:rPr>
        <w:t>扫描件；</w:t>
      </w:r>
    </w:p>
    <w:p w14:paraId="5D1AFDA3">
      <w:pPr>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bCs/>
          <w:color w:val="auto"/>
          <w:szCs w:val="21"/>
          <w:highlight w:val="none"/>
        </w:rPr>
        <w:t>（5）建筑施工企业安全生产许可证扫描件或电子证照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适用于内地投标人）</w:t>
      </w:r>
      <w:r>
        <w:rPr>
          <w:rFonts w:hint="eastAsia" w:ascii="宋体" w:hAnsi="宋体" w:cs="宋体"/>
          <w:bCs/>
          <w:color w:val="auto"/>
          <w:szCs w:val="21"/>
          <w:highlight w:val="none"/>
        </w:rPr>
        <w:t>；安全生产备案</w:t>
      </w:r>
      <w:r>
        <w:rPr>
          <w:rFonts w:hint="eastAsia" w:cs="宋体"/>
          <w:bCs/>
          <w:color w:val="auto"/>
          <w:szCs w:val="21"/>
          <w:highlight w:val="none"/>
          <w:lang w:val="en-US" w:eastAsia="zh-CN"/>
        </w:rPr>
        <w:t>证明文件</w:t>
      </w:r>
      <w:r>
        <w:rPr>
          <w:rFonts w:hint="eastAsia" w:ascii="宋体" w:hAnsi="宋体" w:eastAsia="宋体" w:cs="宋体"/>
          <w:color w:val="auto"/>
          <w:szCs w:val="21"/>
          <w:highlight w:val="none"/>
          <w:lang w:val="en-US" w:eastAsia="zh-CN"/>
        </w:rPr>
        <w:t>（适用于港澳投标人）</w:t>
      </w:r>
    </w:p>
    <w:p w14:paraId="05B90382">
      <w:pPr>
        <w:spacing w:line="360" w:lineRule="auto"/>
        <w:ind w:left="409" w:leftChars="190" w:hanging="10" w:hangingChars="5"/>
        <w:rPr>
          <w:rFonts w:hint="eastAsia" w:cs="宋体"/>
          <w:bCs/>
          <w:color w:val="auto"/>
          <w:szCs w:val="21"/>
          <w:highlight w:val="none"/>
          <w:u w:val="single"/>
        </w:rPr>
      </w:pPr>
      <w:r>
        <w:rPr>
          <w:rFonts w:hint="eastAsia" w:cs="宋体"/>
          <w:bCs/>
          <w:color w:val="auto"/>
          <w:szCs w:val="21"/>
          <w:highlight w:val="none"/>
          <w:u w:val="single"/>
        </w:rPr>
        <w:t>（</w:t>
      </w:r>
      <w:r>
        <w:rPr>
          <w:rFonts w:hint="eastAsia" w:cs="宋体"/>
          <w:bCs/>
          <w:color w:val="auto"/>
          <w:szCs w:val="21"/>
          <w:highlight w:val="none"/>
          <w:u w:val="single"/>
          <w:lang w:val="en-US" w:eastAsia="zh-CN"/>
        </w:rPr>
        <w:t>6</w:t>
      </w:r>
      <w:r>
        <w:rPr>
          <w:rFonts w:hint="eastAsia" w:cs="宋体"/>
          <w:bCs/>
          <w:color w:val="auto"/>
          <w:szCs w:val="21"/>
          <w:highlight w:val="none"/>
          <w:u w:val="single"/>
        </w:rPr>
        <w:t>）项目负责人（按网上投标登记时选择拟投入本项目的项目负责人</w:t>
      </w:r>
      <w:r>
        <w:rPr>
          <w:rFonts w:hint="eastAsia" w:cs="宋体"/>
          <w:bCs/>
          <w:color w:val="auto"/>
          <w:szCs w:val="21"/>
          <w:highlight w:val="none"/>
          <w:u w:val="single"/>
          <w:lang w:eastAsia="zh-CN"/>
        </w:rPr>
        <w:t>，</w:t>
      </w:r>
      <w:r>
        <w:rPr>
          <w:rFonts w:hint="eastAsia" w:ascii="宋体" w:hAnsi="宋体" w:eastAsia="宋体" w:cs="宋体"/>
          <w:bCs/>
          <w:color w:val="auto"/>
          <w:szCs w:val="21"/>
          <w:highlight w:val="none"/>
          <w:u w:val="single"/>
        </w:rPr>
        <w:t>提供建造师注册证书扫描件或电子证书</w:t>
      </w:r>
      <w:r>
        <w:rPr>
          <w:rFonts w:hint="eastAsia" w:cs="宋体"/>
          <w:bCs/>
          <w:color w:val="auto"/>
          <w:szCs w:val="21"/>
          <w:highlight w:val="none"/>
          <w:u w:val="single"/>
          <w:lang w:val="en-US" w:eastAsia="zh-CN"/>
        </w:rPr>
        <w:t>；</w:t>
      </w:r>
      <w:r>
        <w:rPr>
          <w:rFonts w:hint="eastAsia" w:ascii="宋体" w:hAnsi="宋体" w:eastAsia="宋体" w:cs="宋体"/>
          <w:bCs/>
          <w:color w:val="auto"/>
          <w:szCs w:val="21"/>
          <w:highlight w:val="none"/>
          <w:u w:val="single"/>
          <w:lang w:val="en-US" w:eastAsia="zh-CN"/>
        </w:rPr>
        <w:t>港澳地区企业提供专业人士执业资格备案认可书）</w:t>
      </w:r>
      <w:r>
        <w:rPr>
          <w:rFonts w:hint="eastAsia" w:cs="宋体"/>
          <w:bCs/>
          <w:color w:val="auto"/>
          <w:szCs w:val="21"/>
          <w:highlight w:val="none"/>
          <w:u w:val="single"/>
        </w:rPr>
        <w:t>；</w:t>
      </w:r>
    </w:p>
    <w:p w14:paraId="2324E6BA">
      <w:pPr>
        <w:spacing w:line="360" w:lineRule="auto"/>
        <w:ind w:firstLine="420" w:firstLineChars="200"/>
        <w:rPr>
          <w:rFonts w:ascii="宋体"/>
          <w:bCs/>
          <w:color w:val="auto"/>
          <w:szCs w:val="21"/>
          <w:highlight w:val="none"/>
        </w:rPr>
      </w:pPr>
      <w:r>
        <w:rPr>
          <w:rFonts w:hint="eastAsia" w:ascii="宋体" w:hAnsi="宋体" w:cs="宋体"/>
          <w:bCs/>
          <w:color w:val="auto"/>
          <w:szCs w:val="21"/>
          <w:highlight w:val="none"/>
        </w:rPr>
        <w:t>（</w:t>
      </w:r>
      <w:r>
        <w:rPr>
          <w:rFonts w:hint="eastAsia" w:ascii="宋体"/>
          <w:bCs/>
          <w:color w:val="auto"/>
          <w:szCs w:val="21"/>
          <w:highlight w:val="none"/>
          <w:lang w:val="en-US" w:eastAsia="zh-CN"/>
        </w:rPr>
        <w:t>7</w:t>
      </w:r>
      <w:r>
        <w:rPr>
          <w:rFonts w:hint="eastAsia" w:ascii="宋体"/>
          <w:bCs/>
          <w:color w:val="auto"/>
          <w:szCs w:val="21"/>
          <w:highlight w:val="none"/>
        </w:rPr>
        <w:t>）项目负责人安全生产考核合格证明或在有效期内的安全生产考核合格证书（B类）或建筑施工企业项目负责人安全生产考核合格证书扫描件或电子证书；</w:t>
      </w:r>
      <w:r>
        <w:rPr>
          <w:rFonts w:hint="eastAsia" w:ascii="宋体" w:hAnsi="宋体" w:eastAsia="宋体"/>
          <w:color w:val="auto"/>
          <w:sz w:val="21"/>
          <w:szCs w:val="21"/>
          <w:highlight w:val="none"/>
          <w:lang w:eastAsia="zh-CN"/>
        </w:rPr>
        <w:t>（</w:t>
      </w:r>
      <w:r>
        <w:rPr>
          <w:rFonts w:hint="eastAsia" w:ascii="宋体" w:hAnsi="宋体" w:eastAsia="宋体"/>
          <w:color w:val="auto"/>
          <w:sz w:val="21"/>
          <w:szCs w:val="21"/>
          <w:highlight w:val="none"/>
          <w:lang w:val="en-US" w:eastAsia="zh-CN"/>
        </w:rPr>
        <w:t>适用于内地投标人）</w:t>
      </w:r>
    </w:p>
    <w:p w14:paraId="196D971E">
      <w:pPr>
        <w:spacing w:line="440" w:lineRule="exact"/>
        <w:ind w:firstLine="420" w:firstLineChars="200"/>
        <w:rPr>
          <w:rFonts w:hint="eastAsia" w:cs="宋体"/>
          <w:bCs/>
          <w:color w:val="auto"/>
          <w:szCs w:val="21"/>
          <w:highlight w:val="none"/>
          <w:u w:val="single"/>
        </w:rPr>
      </w:pPr>
      <w:r>
        <w:rPr>
          <w:rFonts w:hint="eastAsia" w:cs="宋体"/>
          <w:bCs/>
          <w:color w:val="auto"/>
          <w:szCs w:val="21"/>
          <w:highlight w:val="none"/>
          <w:u w:val="single"/>
        </w:rPr>
        <w:t>（</w:t>
      </w:r>
      <w:r>
        <w:rPr>
          <w:rFonts w:hint="eastAsia" w:cs="宋体"/>
          <w:bCs/>
          <w:color w:val="auto"/>
          <w:szCs w:val="21"/>
          <w:highlight w:val="none"/>
          <w:u w:val="single"/>
          <w:lang w:val="en-US" w:eastAsia="zh-CN"/>
        </w:rPr>
        <w:t>8</w:t>
      </w:r>
      <w:r>
        <w:rPr>
          <w:rFonts w:hint="eastAsia" w:cs="宋体"/>
          <w:bCs/>
          <w:color w:val="auto"/>
          <w:szCs w:val="21"/>
          <w:highlight w:val="none"/>
          <w:u w:val="single"/>
        </w:rPr>
        <w:t>）</w:t>
      </w:r>
      <w:r>
        <w:rPr>
          <w:rFonts w:hint="eastAsia" w:ascii="宋体" w:hAnsi="宋体" w:cs="宋体"/>
          <w:bCs/>
          <w:color w:val="auto"/>
          <w:szCs w:val="21"/>
          <w:highlight w:val="none"/>
          <w:u w:val="single"/>
        </w:rPr>
        <w:t>专职安全员（按网上投标登记时选择拟投标的拟派专职安全员,提供有效期内的安全生产考核合格证书（C类）或建筑施工企业专职安全生产管理人员安全生产考核合格证书扫描件或电子证书）</w:t>
      </w:r>
      <w:r>
        <w:rPr>
          <w:rFonts w:hint="eastAsia" w:cs="宋体"/>
          <w:bCs/>
          <w:color w:val="auto"/>
          <w:szCs w:val="21"/>
          <w:highlight w:val="none"/>
          <w:u w:val="singl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适用于内地投标人）</w:t>
      </w:r>
    </w:p>
    <w:p w14:paraId="00E280FB">
      <w:pPr>
        <w:spacing w:line="440" w:lineRule="exact"/>
        <w:ind w:firstLine="420" w:firstLineChars="200"/>
        <w:rPr>
          <w:rFonts w:cs="宋体"/>
          <w:bCs/>
          <w:color w:val="auto"/>
          <w:szCs w:val="21"/>
          <w:highlight w:val="none"/>
          <w:u w:val="single"/>
        </w:rPr>
      </w:pPr>
      <w:r>
        <w:rPr>
          <w:rFonts w:hint="eastAsia" w:cs="宋体"/>
          <w:bCs/>
          <w:color w:val="auto"/>
          <w:szCs w:val="21"/>
          <w:highlight w:val="none"/>
          <w:u w:val="single"/>
        </w:rPr>
        <w:t>（</w:t>
      </w:r>
      <w:r>
        <w:rPr>
          <w:rFonts w:hint="eastAsia" w:cs="宋体"/>
          <w:bCs/>
          <w:color w:val="auto"/>
          <w:szCs w:val="21"/>
          <w:highlight w:val="none"/>
          <w:u w:val="single"/>
          <w:lang w:val="en-US" w:eastAsia="zh-CN"/>
        </w:rPr>
        <w:t>9</w:t>
      </w:r>
      <w:r>
        <w:rPr>
          <w:rFonts w:hint="eastAsia" w:cs="宋体"/>
          <w:bCs/>
          <w:color w:val="auto"/>
          <w:szCs w:val="21"/>
          <w:highlight w:val="none"/>
          <w:u w:val="single"/>
        </w:rPr>
        <w:t>）资格审查前，投标人须在广州公共资源交易平台企业库办理企业信息登记，拟担任本工程项目负责人、专职安全员须是本企业信息登记中的在册人员。企业诚信档案取自投标截止时间投标人在企业库内的信息，投标人无需提交相关资料，若招标人延长递交投标文件截止时间的，信用档案信息的评审时点也相应延长。</w:t>
      </w:r>
    </w:p>
    <w:p w14:paraId="1A4F4DC5">
      <w:pPr>
        <w:spacing w:line="360" w:lineRule="auto"/>
        <w:ind w:firstLine="409" w:firstLineChars="195"/>
        <w:rPr>
          <w:rFonts w:hint="eastAsia" w:cs="宋体"/>
          <w:bCs/>
          <w:color w:val="auto"/>
          <w:szCs w:val="21"/>
          <w:highlight w:val="none"/>
          <w:u w:val="single"/>
        </w:rPr>
      </w:pPr>
      <w:r>
        <w:rPr>
          <w:rFonts w:hint="eastAsia" w:cs="宋体"/>
          <w:bCs/>
          <w:color w:val="auto"/>
          <w:szCs w:val="21"/>
          <w:highlight w:val="none"/>
          <w:u w:val="single"/>
        </w:rPr>
        <w:t>（</w:t>
      </w:r>
      <w:r>
        <w:rPr>
          <w:rFonts w:hint="eastAsia" w:cs="宋体"/>
          <w:bCs/>
          <w:color w:val="auto"/>
          <w:szCs w:val="21"/>
          <w:highlight w:val="none"/>
          <w:u w:val="single"/>
          <w:lang w:val="en-US" w:eastAsia="zh-CN"/>
        </w:rPr>
        <w:t>10</w:t>
      </w:r>
      <w:r>
        <w:rPr>
          <w:rFonts w:hint="eastAsia" w:cs="宋体"/>
          <w:bCs/>
          <w:color w:val="auto"/>
          <w:szCs w:val="21"/>
          <w:highlight w:val="none"/>
          <w:u w:val="single"/>
        </w:rPr>
        <w:t>）</w:t>
      </w:r>
      <w:r>
        <w:rPr>
          <w:rFonts w:hint="eastAsia" w:ascii="宋体" w:hAnsi="宋体" w:cs="宋体"/>
          <w:color w:val="auto"/>
          <w:szCs w:val="21"/>
          <w:highlight w:val="none"/>
          <w:u w:val="single"/>
        </w:rPr>
        <w:t>投标人未出现以下情形：与其它投标人的单位负责人为同一人或者存在控股、管理关系的（按投标人提供的《投标人声明》第九条内容进行评审）。如不同投标申请人出现单位负责人为同一人或者存在控股、管理关系的情形，则相关投标均无效。</w:t>
      </w:r>
    </w:p>
    <w:p w14:paraId="2231EEFB">
      <w:pPr>
        <w:spacing w:line="360" w:lineRule="auto"/>
        <w:ind w:firstLine="409" w:firstLineChars="195"/>
        <w:rPr>
          <w:rFonts w:hint="eastAsia" w:eastAsia="宋体" w:cs="宋体"/>
          <w:bCs/>
          <w:color w:val="auto"/>
          <w:szCs w:val="21"/>
          <w:highlight w:val="none"/>
          <w:u w:val="single"/>
          <w:lang w:eastAsia="zh-CN"/>
        </w:rPr>
      </w:pPr>
      <w:r>
        <w:rPr>
          <w:rFonts w:hint="eastAsia" w:cs="宋体"/>
          <w:bCs/>
          <w:color w:val="auto"/>
          <w:szCs w:val="21"/>
          <w:highlight w:val="none"/>
          <w:u w:val="single"/>
        </w:rPr>
        <w:t>（</w:t>
      </w:r>
      <w:r>
        <w:rPr>
          <w:rFonts w:hint="eastAsia" w:cs="宋体"/>
          <w:bCs/>
          <w:color w:val="auto"/>
          <w:szCs w:val="21"/>
          <w:highlight w:val="none"/>
          <w:u w:val="single"/>
          <w:lang w:val="en-US" w:eastAsia="zh-CN"/>
        </w:rPr>
        <w:t>11</w:t>
      </w:r>
      <w:r>
        <w:rPr>
          <w:rFonts w:hint="eastAsia" w:cs="宋体"/>
          <w:bCs/>
          <w:color w:val="auto"/>
          <w:szCs w:val="21"/>
          <w:highlight w:val="none"/>
          <w:u w:val="single"/>
        </w:rPr>
        <w:t>）</w:t>
      </w:r>
      <w:r>
        <w:rPr>
          <w:rFonts w:hint="eastAsia" w:cs="宋体"/>
          <w:bCs/>
          <w:color w:val="auto"/>
          <w:szCs w:val="21"/>
          <w:highlight w:val="none"/>
          <w:u w:val="single"/>
          <w:lang w:val="en-US" w:eastAsia="zh-CN"/>
        </w:rPr>
        <w:t>投标人未被列入拖欠农民工工资失信联合惩戒对象名单（投标人无需提供资料，资格审查时，按投标截止时间广州交易集团有限公司（广州公共资源交易中心）交易系统比对的结果进行评审</w:t>
      </w:r>
      <w:r>
        <w:rPr>
          <w:rFonts w:hint="eastAsia" w:cs="宋体"/>
          <w:bCs/>
          <w:color w:val="auto"/>
          <w:szCs w:val="21"/>
          <w:highlight w:val="none"/>
          <w:u w:val="single"/>
          <w:lang w:eastAsia="zh-CN"/>
        </w:rPr>
        <w:t>）。</w:t>
      </w:r>
    </w:p>
    <w:p w14:paraId="464F251D">
      <w:pPr>
        <w:spacing w:line="360" w:lineRule="auto"/>
        <w:ind w:firstLine="409" w:firstLineChars="195"/>
        <w:rPr>
          <w:rFonts w:cs="宋体"/>
          <w:bCs/>
          <w:color w:val="auto"/>
          <w:szCs w:val="21"/>
          <w:highlight w:val="none"/>
          <w:u w:val="single"/>
        </w:rPr>
      </w:pPr>
      <w:r>
        <w:rPr>
          <w:rFonts w:hint="eastAsia" w:cs="宋体"/>
          <w:bCs/>
          <w:color w:val="auto"/>
          <w:szCs w:val="21"/>
          <w:highlight w:val="none"/>
          <w:u w:val="single"/>
        </w:rPr>
        <w:t>（</w:t>
      </w:r>
      <w:r>
        <w:rPr>
          <w:rFonts w:hint="eastAsia" w:cs="宋体"/>
          <w:bCs/>
          <w:color w:val="auto"/>
          <w:szCs w:val="21"/>
          <w:highlight w:val="none"/>
          <w:u w:val="single"/>
          <w:lang w:val="en-US" w:eastAsia="zh-CN"/>
        </w:rPr>
        <w:t>12</w:t>
      </w:r>
      <w:r>
        <w:rPr>
          <w:rFonts w:hint="eastAsia" w:cs="宋体"/>
          <w:bCs/>
          <w:color w:val="auto"/>
          <w:szCs w:val="21"/>
          <w:highlight w:val="none"/>
          <w:u w:val="single"/>
        </w:rPr>
        <w:t>）投标人认为应提供的其他资料。</w:t>
      </w:r>
    </w:p>
    <w:p w14:paraId="4C0A5059">
      <w:pPr>
        <w:spacing w:line="360" w:lineRule="auto"/>
        <w:ind w:left="409" w:leftChars="190" w:hanging="10" w:hangingChars="5"/>
        <w:rPr>
          <w:rFonts w:hint="eastAsia" w:cs="宋体"/>
          <w:bCs/>
          <w:color w:val="auto"/>
          <w:szCs w:val="21"/>
          <w:highlight w:val="none"/>
          <w:u w:val="single"/>
        </w:rPr>
      </w:pPr>
      <w:r>
        <w:rPr>
          <w:rFonts w:hint="eastAsia" w:cs="宋体"/>
          <w:bCs/>
          <w:color w:val="auto"/>
          <w:szCs w:val="21"/>
          <w:highlight w:val="none"/>
          <w:u w:val="single"/>
        </w:rPr>
        <w:t>注：1.相关电子证书按规定需打印后手写本人签名的，应按照规定手写本人签名后再扫描提交。</w:t>
      </w:r>
    </w:p>
    <w:p w14:paraId="728B3801">
      <w:pPr>
        <w:numPr>
          <w:ilvl w:val="-1"/>
          <w:numId w:val="0"/>
        </w:numPr>
        <w:spacing w:line="360" w:lineRule="auto"/>
        <w:ind w:left="609" w:leftChars="290" w:firstLine="197" w:firstLineChars="94"/>
        <w:rPr>
          <w:rFonts w:hint="eastAsia" w:cs="宋体"/>
          <w:color w:val="auto"/>
          <w:szCs w:val="21"/>
          <w:highlight w:val="none"/>
          <w:u w:val="single"/>
        </w:rPr>
      </w:pPr>
      <w:r>
        <w:rPr>
          <w:rFonts w:hint="eastAsia" w:cs="宋体"/>
          <w:bCs/>
          <w:color w:val="auto"/>
          <w:szCs w:val="21"/>
          <w:highlight w:val="none"/>
          <w:u w:val="single"/>
        </w:rPr>
        <w:t>2.投标人在投标登记时选择了拟投入本项目的项目负责人，即已满足“资格审查前，投标人须在广州公共资源交易平台企业库办理企业信息登记，拟担任本工程项目负责人须是本企业中的在册人员”的要求，投标人无需提供证明材料。</w:t>
      </w:r>
    </w:p>
    <w:p w14:paraId="70AED4D7">
      <w:pPr>
        <w:numPr>
          <w:ilvl w:val="0"/>
          <w:numId w:val="0"/>
        </w:numPr>
        <w:spacing w:line="360" w:lineRule="auto"/>
        <w:ind w:firstLine="619" w:firstLineChars="295"/>
        <w:rPr>
          <w:rFonts w:cs="宋体"/>
          <w:bCs/>
          <w:color w:val="auto"/>
          <w:szCs w:val="21"/>
          <w:highlight w:val="none"/>
          <w:u w:val="single"/>
        </w:rPr>
      </w:pPr>
      <w:r>
        <w:rPr>
          <w:rFonts w:hint="eastAsia" w:cs="宋体"/>
          <w:bCs/>
          <w:color w:val="auto"/>
          <w:kern w:val="2"/>
          <w:sz w:val="21"/>
          <w:szCs w:val="21"/>
          <w:highlight w:val="none"/>
          <w:lang w:val="en-US" w:eastAsia="zh-CN" w:bidi="ar-SA"/>
        </w:rPr>
        <w:t>3</w:t>
      </w:r>
      <w:r>
        <w:rPr>
          <w:rFonts w:ascii="宋体" w:hAnsi="宋体" w:eastAsia="宋体" w:cs="宋体"/>
          <w:bCs/>
          <w:color w:val="auto"/>
          <w:kern w:val="2"/>
          <w:sz w:val="21"/>
          <w:szCs w:val="21"/>
          <w:highlight w:val="none"/>
          <w:lang w:val="en-US" w:eastAsia="zh-CN" w:bidi="ar-SA"/>
        </w:rPr>
        <w:t>.</w:t>
      </w:r>
      <w:r>
        <w:rPr>
          <w:rFonts w:hint="eastAsia" w:cs="宋体"/>
          <w:color w:val="auto"/>
          <w:szCs w:val="21"/>
          <w:highlight w:val="none"/>
          <w:u w:val="single"/>
        </w:rPr>
        <w:t>上述第</w:t>
      </w:r>
      <w:r>
        <w:rPr>
          <w:rFonts w:hint="eastAsia" w:cs="宋体"/>
          <w:bCs/>
          <w:color w:val="auto"/>
          <w:szCs w:val="21"/>
          <w:highlight w:val="none"/>
          <w:u w:val="single"/>
        </w:rPr>
        <w:t>11.2.2（1）—（</w:t>
      </w:r>
      <w:r>
        <w:rPr>
          <w:rFonts w:hint="eastAsia" w:cs="宋体"/>
          <w:bCs/>
          <w:color w:val="auto"/>
          <w:szCs w:val="21"/>
          <w:highlight w:val="none"/>
          <w:u w:val="single"/>
          <w:lang w:val="en-US" w:eastAsia="zh-CN"/>
        </w:rPr>
        <w:t>11</w:t>
      </w:r>
      <w:r>
        <w:rPr>
          <w:rFonts w:hint="eastAsia" w:cs="宋体"/>
          <w:bCs/>
          <w:color w:val="auto"/>
          <w:szCs w:val="21"/>
          <w:highlight w:val="none"/>
          <w:u w:val="single"/>
        </w:rPr>
        <w:t>）条没有要求提交的资料，不作为资格审查不合格的依据。</w:t>
      </w:r>
    </w:p>
    <w:p w14:paraId="68DDA2C0">
      <w:pPr>
        <w:spacing w:line="360" w:lineRule="auto"/>
        <w:ind w:firstLine="409" w:firstLineChars="195"/>
        <w:rPr>
          <w:rFonts w:hint="default" w:eastAsia="宋体" w:cs="宋体"/>
          <w:color w:val="auto"/>
          <w:szCs w:val="21"/>
          <w:highlight w:val="none"/>
          <w:u w:val="single"/>
          <w:lang w:val="en-US" w:eastAsia="zh-CN"/>
        </w:rPr>
      </w:pPr>
      <w:r>
        <w:rPr>
          <w:rFonts w:hint="default" w:eastAsia="宋体" w:cs="宋体"/>
          <w:color w:val="auto"/>
          <w:szCs w:val="21"/>
          <w:highlight w:val="none"/>
          <w:u w:val="single"/>
          <w:lang w:val="en-US" w:eastAsia="zh-CN"/>
        </w:rPr>
        <w:t>11.2.</w:t>
      </w:r>
      <w:r>
        <w:rPr>
          <w:rFonts w:hint="eastAsia" w:cs="宋体"/>
          <w:color w:val="auto"/>
          <w:szCs w:val="21"/>
          <w:highlight w:val="none"/>
          <w:u w:val="single"/>
          <w:lang w:val="en-US" w:eastAsia="zh-CN"/>
        </w:rPr>
        <w:t>3</w:t>
      </w:r>
      <w:r>
        <w:rPr>
          <w:rFonts w:hint="default" w:eastAsia="宋体" w:cs="宋体"/>
          <w:color w:val="auto"/>
          <w:szCs w:val="21"/>
          <w:highlight w:val="none"/>
          <w:u w:val="single"/>
          <w:lang w:val="en-US" w:eastAsia="zh-CN"/>
        </w:rPr>
        <w:t>其他投标人认为应该提供的资料。</w:t>
      </w:r>
    </w:p>
    <w:p w14:paraId="6B9E9D25">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11.2.</w:t>
      </w:r>
      <w:r>
        <w:rPr>
          <w:rFonts w:hint="eastAsia" w:cs="宋体"/>
          <w:color w:val="auto"/>
          <w:szCs w:val="21"/>
          <w:highlight w:val="none"/>
          <w:u w:val="single"/>
          <w:lang w:val="en-US" w:eastAsia="zh-CN"/>
        </w:rPr>
        <w:t>4</w:t>
      </w:r>
      <w:r>
        <w:rPr>
          <w:rFonts w:hint="eastAsia" w:cs="宋体"/>
          <w:color w:val="auto"/>
          <w:szCs w:val="21"/>
          <w:highlight w:val="none"/>
          <w:u w:val="single"/>
        </w:rPr>
        <w:t>企业资信证明资料（附有关证明材料扫描件</w:t>
      </w:r>
      <w:r>
        <w:rPr>
          <w:rFonts w:hint="eastAsia" w:cs="宋体"/>
          <w:color w:val="auto"/>
          <w:szCs w:val="21"/>
          <w:highlight w:val="none"/>
          <w:u w:val="single"/>
          <w:lang w:eastAsia="zh-CN"/>
        </w:rPr>
        <w:t>，</w:t>
      </w:r>
      <w:r>
        <w:rPr>
          <w:rFonts w:hint="eastAsia" w:cs="宋体"/>
          <w:color w:val="auto"/>
          <w:szCs w:val="21"/>
          <w:highlight w:val="none"/>
          <w:u w:val="single"/>
          <w:lang w:val="en-US" w:eastAsia="zh-CN"/>
        </w:rPr>
        <w:t>用于定标评分的企业业绩、工程奖项</w:t>
      </w:r>
      <w:r>
        <w:rPr>
          <w:rFonts w:hint="eastAsia" w:cs="宋体"/>
          <w:color w:val="auto"/>
          <w:szCs w:val="21"/>
          <w:highlight w:val="none"/>
          <w:u w:val="single"/>
        </w:rPr>
        <w:t>》（</w:t>
      </w:r>
      <w:r>
        <w:rPr>
          <w:rFonts w:hint="eastAsia" w:cs="宋体"/>
          <w:color w:val="auto"/>
          <w:szCs w:val="21"/>
          <w:highlight w:val="none"/>
          <w:u w:val="single"/>
          <w:lang w:val="en-US" w:eastAsia="zh-CN"/>
        </w:rPr>
        <w:t>格式自拟</w:t>
      </w:r>
      <w:r>
        <w:rPr>
          <w:rFonts w:hint="eastAsia" w:cs="宋体"/>
          <w:color w:val="auto"/>
          <w:szCs w:val="21"/>
          <w:highlight w:val="none"/>
          <w:u w:val="single"/>
          <w:lang w:eastAsia="zh-CN"/>
        </w:rPr>
        <w:t>）</w:t>
      </w:r>
      <w:r>
        <w:rPr>
          <w:rFonts w:hint="eastAsia" w:cs="宋体"/>
          <w:color w:val="auto"/>
          <w:szCs w:val="21"/>
          <w:highlight w:val="none"/>
          <w:u w:val="single"/>
        </w:rPr>
        <w:t>。</w:t>
      </w:r>
    </w:p>
    <w:p w14:paraId="0D0A17F6">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11.2.</w:t>
      </w:r>
      <w:r>
        <w:rPr>
          <w:rFonts w:hint="eastAsia" w:cs="宋体"/>
          <w:color w:val="auto"/>
          <w:szCs w:val="21"/>
          <w:highlight w:val="none"/>
          <w:u w:val="single"/>
          <w:lang w:val="en-US" w:eastAsia="zh-CN"/>
        </w:rPr>
        <w:t>5项目管理机构能力</w:t>
      </w:r>
      <w:r>
        <w:rPr>
          <w:rFonts w:hint="eastAsia" w:cs="宋体"/>
          <w:color w:val="auto"/>
          <w:szCs w:val="21"/>
          <w:highlight w:val="none"/>
          <w:u w:val="single"/>
        </w:rPr>
        <w:t>。</w:t>
      </w:r>
    </w:p>
    <w:p w14:paraId="7F7E0615">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（1）投标人应列出该项目工程的施工组织机构构成和画出机构框架图及其负责人；</w:t>
      </w:r>
    </w:p>
    <w:p w14:paraId="20C63E90">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（2）投标人应详细列出该施工组织机构中主要成员的名单、职务职称和在本项目中拟担任的职务等资料，并附上有关证明材料扫描件（</w:t>
      </w:r>
      <w:r>
        <w:rPr>
          <w:rFonts w:hint="default" w:eastAsia="宋体" w:cs="宋体"/>
          <w:color w:val="auto"/>
          <w:szCs w:val="21"/>
          <w:highlight w:val="none"/>
          <w:u w:val="single"/>
          <w:lang w:val="en-US" w:eastAsia="zh-CN"/>
        </w:rPr>
        <w:t>按招标文件的要求填写</w:t>
      </w:r>
      <w:r>
        <w:rPr>
          <w:rFonts w:hint="eastAsia" w:cs="宋体"/>
          <w:color w:val="auto"/>
          <w:szCs w:val="21"/>
          <w:highlight w:val="none"/>
          <w:u w:val="single"/>
          <w:lang w:eastAsia="zh-CN"/>
        </w:rPr>
        <w:t>）</w:t>
      </w:r>
      <w:r>
        <w:rPr>
          <w:rFonts w:hint="eastAsia" w:cs="宋体"/>
          <w:color w:val="auto"/>
          <w:szCs w:val="21"/>
          <w:highlight w:val="none"/>
          <w:u w:val="single"/>
        </w:rPr>
        <w:t>；</w:t>
      </w:r>
    </w:p>
    <w:p w14:paraId="78AF3175">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（3）其他辅助说明资料（若有）。</w:t>
      </w:r>
    </w:p>
    <w:p w14:paraId="7E5F18C7">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11.2.</w:t>
      </w:r>
      <w:r>
        <w:rPr>
          <w:rFonts w:hint="eastAsia" w:cs="宋体"/>
          <w:color w:val="auto"/>
          <w:szCs w:val="21"/>
          <w:highlight w:val="none"/>
          <w:u w:val="single"/>
          <w:lang w:val="en-US" w:eastAsia="zh-CN"/>
        </w:rPr>
        <w:t>6</w:t>
      </w:r>
      <w:r>
        <w:rPr>
          <w:rFonts w:hint="eastAsia" w:cs="宋体"/>
          <w:color w:val="auto"/>
          <w:szCs w:val="21"/>
          <w:highlight w:val="none"/>
          <w:u w:val="single"/>
        </w:rPr>
        <w:t>按照招标文件要求填写的《参与编制技术标投标文件人员名单》。（</w:t>
      </w:r>
      <w:r>
        <w:rPr>
          <w:rFonts w:hint="default" w:eastAsia="宋体" w:cs="宋体"/>
          <w:color w:val="auto"/>
          <w:szCs w:val="21"/>
          <w:highlight w:val="none"/>
          <w:u w:val="single"/>
          <w:lang w:val="en-US" w:eastAsia="zh-CN"/>
        </w:rPr>
        <w:t>按招标文件的要求填写</w:t>
      </w:r>
      <w:r>
        <w:rPr>
          <w:rFonts w:hint="eastAsia" w:cs="宋体"/>
          <w:color w:val="auto"/>
          <w:szCs w:val="21"/>
          <w:highlight w:val="none"/>
          <w:u w:val="single"/>
        </w:rPr>
        <w:t>）。</w:t>
      </w:r>
    </w:p>
    <w:p w14:paraId="07A2303A">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11.2.</w:t>
      </w:r>
      <w:r>
        <w:rPr>
          <w:rFonts w:hint="eastAsia" w:cs="宋体"/>
          <w:color w:val="auto"/>
          <w:szCs w:val="21"/>
          <w:highlight w:val="none"/>
          <w:u w:val="single"/>
          <w:lang w:val="en-US" w:eastAsia="zh-CN"/>
        </w:rPr>
        <w:t>7</w:t>
      </w:r>
      <w:r>
        <w:rPr>
          <w:rFonts w:hint="eastAsia" w:cs="宋体"/>
          <w:color w:val="auto"/>
          <w:szCs w:val="21"/>
          <w:highlight w:val="none"/>
          <w:u w:val="single"/>
        </w:rPr>
        <w:t>《投标函》（</w:t>
      </w:r>
      <w:r>
        <w:rPr>
          <w:rFonts w:hint="default" w:eastAsia="宋体" w:cs="宋体"/>
          <w:color w:val="auto"/>
          <w:szCs w:val="21"/>
          <w:highlight w:val="none"/>
          <w:u w:val="single"/>
          <w:lang w:val="en-US" w:eastAsia="zh-CN"/>
        </w:rPr>
        <w:t>按招标文件的要求填写</w:t>
      </w:r>
      <w:r>
        <w:rPr>
          <w:rFonts w:hint="eastAsia" w:cs="宋体"/>
          <w:color w:val="auto"/>
          <w:szCs w:val="21"/>
          <w:highlight w:val="none"/>
          <w:u w:val="single"/>
        </w:rPr>
        <w:t>）。</w:t>
      </w:r>
    </w:p>
    <w:p w14:paraId="4DDD10D6">
      <w:pP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rPr>
        <w:t>11.2.</w:t>
      </w:r>
      <w:r>
        <w:rPr>
          <w:rFonts w:hint="eastAsia" w:cs="宋体"/>
          <w:color w:val="auto"/>
          <w:szCs w:val="21"/>
          <w:highlight w:val="none"/>
          <w:u w:val="single"/>
          <w:lang w:val="en-US" w:eastAsia="zh-CN"/>
        </w:rPr>
        <w:t>8</w:t>
      </w:r>
      <w:r>
        <w:rPr>
          <w:rFonts w:hint="eastAsia" w:cs="宋体"/>
          <w:color w:val="auto"/>
          <w:szCs w:val="21"/>
          <w:highlight w:val="none"/>
          <w:u w:val="single"/>
        </w:rPr>
        <w:t>危险性较大的分部分项工程清单及超过一定规模的危险性较大的分部分项工程清单（</w:t>
      </w:r>
      <w:r>
        <w:rPr>
          <w:rFonts w:hint="default" w:eastAsia="宋体" w:cs="宋体"/>
          <w:color w:val="auto"/>
          <w:szCs w:val="21"/>
          <w:highlight w:val="none"/>
          <w:u w:val="single"/>
          <w:lang w:val="en-US" w:eastAsia="zh-CN"/>
        </w:rPr>
        <w:t>按招标文件的要求填写</w:t>
      </w:r>
      <w:r>
        <w:rPr>
          <w:rFonts w:hint="eastAsia" w:cs="宋体"/>
          <w:color w:val="auto"/>
          <w:szCs w:val="21"/>
          <w:highlight w:val="none"/>
          <w:u w:val="single"/>
        </w:rPr>
        <w:t>）。</w:t>
      </w:r>
    </w:p>
    <w:p w14:paraId="78410016">
      <w:pPr>
        <w:adjustRightInd w:val="0"/>
        <w:spacing w:line="360" w:lineRule="auto"/>
        <w:ind w:firstLine="409" w:firstLineChars="195"/>
        <w:textAlignment w:val="baseline"/>
        <w:rPr>
          <w:rFonts w:hint="eastAsia" w:cs="宋体"/>
          <w:color w:val="auto"/>
          <w:szCs w:val="21"/>
          <w:highlight w:val="none"/>
          <w:u w:val="single"/>
        </w:rPr>
      </w:pPr>
      <w:r>
        <w:rPr>
          <w:rFonts w:hint="eastAsia" w:cs="宋体"/>
          <w:color w:val="auto"/>
          <w:szCs w:val="21"/>
          <w:highlight w:val="none"/>
          <w:u w:val="single"/>
        </w:rPr>
        <w:t>11.2.</w:t>
      </w:r>
      <w:r>
        <w:rPr>
          <w:rFonts w:hint="eastAsia" w:cs="宋体"/>
          <w:color w:val="auto"/>
          <w:szCs w:val="21"/>
          <w:highlight w:val="none"/>
          <w:u w:val="single"/>
          <w:lang w:val="en-US" w:eastAsia="zh-CN"/>
        </w:rPr>
        <w:t>9</w:t>
      </w:r>
      <w:r>
        <w:rPr>
          <w:rFonts w:hint="eastAsia" w:cs="宋体"/>
          <w:color w:val="auto"/>
          <w:szCs w:val="21"/>
          <w:highlight w:val="none"/>
          <w:u w:val="single"/>
        </w:rPr>
        <w:t xml:space="preserve"> 施工组织设计或施工方案</w:t>
      </w:r>
      <w:r>
        <w:rPr>
          <w:rFonts w:hint="eastAsia" w:cs="宋体"/>
          <w:color w:val="auto"/>
          <w:szCs w:val="21"/>
          <w:highlight w:val="none"/>
          <w:u w:val="single"/>
          <w:lang w:eastAsia="zh-CN"/>
        </w:rPr>
        <w:t>（</w:t>
      </w:r>
      <w:r>
        <w:rPr>
          <w:rFonts w:hint="eastAsia" w:cs="宋体"/>
          <w:color w:val="auto"/>
          <w:szCs w:val="21"/>
          <w:highlight w:val="none"/>
          <w:u w:val="single"/>
          <w:lang w:val="en-US" w:eastAsia="zh-CN"/>
        </w:rPr>
        <w:t>定标方案）</w:t>
      </w:r>
      <w:r>
        <w:rPr>
          <w:rFonts w:hint="eastAsia" w:cs="宋体"/>
          <w:color w:val="auto"/>
          <w:szCs w:val="21"/>
          <w:highlight w:val="none"/>
          <w:u w:val="single"/>
        </w:rPr>
        <w:t>。</w:t>
      </w:r>
    </w:p>
    <w:p w14:paraId="49AC18E2">
      <w:pPr>
        <w:adjustRightInd w:val="0"/>
        <w:spacing w:line="360" w:lineRule="auto"/>
        <w:ind w:firstLine="409" w:firstLineChars="195"/>
        <w:textAlignment w:val="baseline"/>
        <w:rPr>
          <w:rFonts w:hint="eastAsia" w:cs="宋体"/>
          <w:color w:val="auto"/>
          <w:szCs w:val="21"/>
          <w:highlight w:val="none"/>
          <w:u w:val="single"/>
        </w:rPr>
      </w:pPr>
      <w:r>
        <w:rPr>
          <w:rFonts w:hint="eastAsia" w:cs="宋体"/>
          <w:color w:val="auto"/>
          <w:szCs w:val="21"/>
          <w:highlight w:val="none"/>
          <w:u w:val="single"/>
        </w:rPr>
        <w:t>（1）</w:t>
      </w:r>
      <w:r>
        <w:rPr>
          <w:rFonts w:hint="eastAsia" w:cs="宋体"/>
          <w:b/>
          <w:bCs/>
          <w:color w:val="auto"/>
          <w:szCs w:val="21"/>
          <w:highlight w:val="none"/>
          <w:u w:val="single"/>
        </w:rPr>
        <w:t>投标人在编制施工组织设计或施工方案时应按照招标文件要求，并针对本项目的关键技术、工艺、重点、难点以及拟在本项目采用的新工艺、新技术、新材料编制，应突出重点，标准、规范中已有的内容无需赘述，一般篇幅不宜超过</w:t>
      </w:r>
      <w:r>
        <w:rPr>
          <w:rFonts w:hint="eastAsia" w:cs="宋体"/>
          <w:b/>
          <w:bCs/>
          <w:color w:val="auto"/>
          <w:szCs w:val="21"/>
          <w:highlight w:val="none"/>
          <w:u w:val="single"/>
          <w:lang w:val="en-US" w:eastAsia="zh-CN"/>
        </w:rPr>
        <w:t>30</w:t>
      </w:r>
      <w:r>
        <w:rPr>
          <w:rFonts w:hint="eastAsia" w:cs="宋体"/>
          <w:b/>
          <w:bCs/>
          <w:color w:val="auto"/>
          <w:szCs w:val="21"/>
          <w:highlight w:val="none"/>
          <w:u w:val="single"/>
        </w:rPr>
        <w:t>0页</w:t>
      </w:r>
      <w:r>
        <w:rPr>
          <w:rFonts w:hint="eastAsia" w:cs="宋体"/>
          <w:b/>
          <w:bCs/>
          <w:color w:val="auto"/>
          <w:szCs w:val="21"/>
          <w:highlight w:val="none"/>
          <w:u w:val="single"/>
          <w:lang w:val="en-US" w:eastAsia="zh-CN"/>
        </w:rPr>
        <w:t>,</w:t>
      </w:r>
      <w:r>
        <w:rPr>
          <w:rFonts w:hint="eastAsia" w:cs="宋体"/>
          <w:b/>
          <w:bCs/>
          <w:color w:val="auto"/>
          <w:szCs w:val="21"/>
          <w:highlight w:val="none"/>
          <w:u w:val="single"/>
        </w:rPr>
        <w:t>超过部分不予评审。</w:t>
      </w:r>
    </w:p>
    <w:p w14:paraId="5BBABF57">
      <w:pPr>
        <w:pBdr>
          <w:top w:val="single" w:color="auto" w:sz="4" w:space="0"/>
        </w:pBd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条款号：11.3                      修改类型：修改</w:t>
      </w:r>
    </w:p>
    <w:p w14:paraId="2D5AE536">
      <w:pPr>
        <w:spacing w:line="360" w:lineRule="auto"/>
        <w:ind w:firstLine="411" w:firstLineChars="195"/>
        <w:rPr>
          <w:rFonts w:cs="宋体"/>
          <w:bCs/>
          <w:color w:val="auto"/>
          <w:szCs w:val="21"/>
          <w:highlight w:val="none"/>
        </w:rPr>
      </w:pPr>
      <w:r>
        <w:rPr>
          <w:rFonts w:hint="eastAsia" w:cs="宋体"/>
          <w:b/>
          <w:bCs/>
          <w:color w:val="auto"/>
          <w:szCs w:val="21"/>
          <w:highlight w:val="none"/>
        </w:rPr>
        <w:t>原文：</w:t>
      </w:r>
    </w:p>
    <w:p w14:paraId="07524F35">
      <w:pPr>
        <w:spacing w:line="360" w:lineRule="auto"/>
        <w:ind w:firstLine="409" w:firstLineChars="195"/>
        <w:rPr>
          <w:rFonts w:cs="宋体"/>
          <w:bCs/>
          <w:color w:val="auto"/>
          <w:szCs w:val="21"/>
          <w:highlight w:val="none"/>
        </w:rPr>
      </w:pPr>
      <w:r>
        <w:rPr>
          <w:rFonts w:hint="eastAsia" w:cs="宋体"/>
          <w:bCs/>
          <w:color w:val="auto"/>
          <w:szCs w:val="21"/>
          <w:highlight w:val="none"/>
        </w:rPr>
        <w:t>11.3投标文件主要包括下列内容：</w:t>
      </w:r>
    </w:p>
    <w:p w14:paraId="74F9CFD2">
      <w:pPr>
        <w:spacing w:line="360" w:lineRule="auto"/>
        <w:ind w:firstLine="409" w:firstLineChars="195"/>
        <w:rPr>
          <w:rFonts w:cs="宋体"/>
          <w:color w:val="auto"/>
          <w:szCs w:val="21"/>
          <w:highlight w:val="none"/>
        </w:rPr>
      </w:pPr>
      <w:r>
        <w:rPr>
          <w:rFonts w:hint="eastAsia" w:cs="宋体"/>
          <w:color w:val="auto"/>
          <w:szCs w:val="21"/>
          <w:highlight w:val="none"/>
        </w:rPr>
        <w:t>11.3.1 经济投标文件(按招标文件的要求填写)。</w:t>
      </w:r>
    </w:p>
    <w:p w14:paraId="20B918DA">
      <w:pPr>
        <w:spacing w:line="360" w:lineRule="auto"/>
        <w:ind w:firstLine="409" w:firstLineChars="195"/>
        <w:rPr>
          <w:rFonts w:cs="宋体"/>
          <w:color w:val="auto"/>
          <w:szCs w:val="21"/>
          <w:highlight w:val="none"/>
        </w:rPr>
      </w:pPr>
      <w:r>
        <w:rPr>
          <w:rFonts w:hint="eastAsia"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7B1C44F5">
      <w:pPr>
        <w:spacing w:line="360" w:lineRule="auto"/>
        <w:ind w:firstLine="409" w:firstLineChars="195"/>
        <w:rPr>
          <w:rFonts w:cs="宋体"/>
          <w:color w:val="auto"/>
          <w:szCs w:val="21"/>
          <w:highlight w:val="none"/>
        </w:rPr>
      </w:pPr>
      <w:r>
        <w:rPr>
          <w:rFonts w:hint="eastAsia" w:cs="宋体"/>
          <w:color w:val="auto"/>
          <w:szCs w:val="21"/>
          <w:highlight w:val="none"/>
        </w:rPr>
        <w:t>（1）投标总价封面、扉页；</w:t>
      </w:r>
    </w:p>
    <w:p w14:paraId="76B37DFC">
      <w:pPr>
        <w:spacing w:line="360" w:lineRule="auto"/>
        <w:ind w:firstLine="409" w:firstLineChars="195"/>
        <w:rPr>
          <w:rFonts w:cs="宋体"/>
          <w:color w:val="auto"/>
          <w:szCs w:val="21"/>
          <w:highlight w:val="none"/>
        </w:rPr>
      </w:pPr>
      <w:r>
        <w:rPr>
          <w:rFonts w:hint="eastAsia" w:cs="宋体"/>
          <w:color w:val="auto"/>
          <w:szCs w:val="21"/>
          <w:highlight w:val="none"/>
        </w:rPr>
        <w:t>（2）总说明</w:t>
      </w:r>
    </w:p>
    <w:p w14:paraId="5DE4421F">
      <w:pPr>
        <w:spacing w:line="360" w:lineRule="auto"/>
        <w:ind w:firstLine="409" w:firstLineChars="195"/>
        <w:rPr>
          <w:rFonts w:cs="宋体"/>
          <w:color w:val="auto"/>
          <w:szCs w:val="21"/>
          <w:highlight w:val="none"/>
        </w:rPr>
      </w:pPr>
      <w:r>
        <w:rPr>
          <w:rFonts w:hint="eastAsia" w:cs="宋体"/>
          <w:color w:val="auto"/>
          <w:szCs w:val="21"/>
          <w:highlight w:val="none"/>
        </w:rPr>
        <w:t>（3）工程项目投标报价汇总表；</w:t>
      </w:r>
    </w:p>
    <w:p w14:paraId="087AC627">
      <w:pPr>
        <w:spacing w:line="360" w:lineRule="auto"/>
        <w:ind w:firstLine="409" w:firstLineChars="195"/>
        <w:rPr>
          <w:rFonts w:cs="宋体"/>
          <w:color w:val="auto"/>
          <w:szCs w:val="21"/>
          <w:highlight w:val="none"/>
        </w:rPr>
      </w:pPr>
      <w:r>
        <w:rPr>
          <w:rFonts w:hint="eastAsia" w:cs="宋体"/>
          <w:color w:val="auto"/>
          <w:szCs w:val="21"/>
          <w:highlight w:val="none"/>
        </w:rPr>
        <w:t>（4）单项工程投标报价汇总表；</w:t>
      </w:r>
    </w:p>
    <w:p w14:paraId="388A700B">
      <w:pPr>
        <w:spacing w:line="360" w:lineRule="auto"/>
        <w:ind w:firstLine="409" w:firstLineChars="195"/>
        <w:rPr>
          <w:rFonts w:cs="宋体"/>
          <w:color w:val="auto"/>
          <w:szCs w:val="21"/>
          <w:highlight w:val="none"/>
        </w:rPr>
      </w:pPr>
      <w:r>
        <w:rPr>
          <w:rFonts w:hint="eastAsia" w:cs="宋体"/>
          <w:color w:val="auto"/>
          <w:szCs w:val="21"/>
          <w:highlight w:val="none"/>
        </w:rPr>
        <w:t>（5）单位工程投标报价汇总表；</w:t>
      </w:r>
    </w:p>
    <w:p w14:paraId="506FBFAA">
      <w:pPr>
        <w:spacing w:line="360" w:lineRule="auto"/>
        <w:ind w:firstLine="409" w:firstLineChars="195"/>
        <w:rPr>
          <w:rFonts w:cs="宋体"/>
          <w:color w:val="auto"/>
          <w:szCs w:val="21"/>
          <w:highlight w:val="none"/>
        </w:rPr>
      </w:pPr>
      <w:r>
        <w:rPr>
          <w:rFonts w:hint="eastAsia" w:cs="宋体"/>
          <w:color w:val="auto"/>
          <w:szCs w:val="21"/>
          <w:highlight w:val="none"/>
        </w:rPr>
        <w:t>（6）分部分项工程清单与计价表；</w:t>
      </w:r>
    </w:p>
    <w:p w14:paraId="41C2C7D4">
      <w:pPr>
        <w:spacing w:line="360" w:lineRule="auto"/>
        <w:ind w:firstLine="409" w:firstLineChars="195"/>
        <w:rPr>
          <w:rFonts w:cs="宋体"/>
          <w:color w:val="auto"/>
          <w:szCs w:val="21"/>
          <w:highlight w:val="none"/>
        </w:rPr>
      </w:pPr>
      <w:r>
        <w:rPr>
          <w:rFonts w:hint="eastAsia" w:cs="宋体"/>
          <w:color w:val="auto"/>
          <w:szCs w:val="21"/>
          <w:highlight w:val="none"/>
        </w:rPr>
        <w:t>（7）单价措施项目清单与计价表；</w:t>
      </w:r>
    </w:p>
    <w:p w14:paraId="0B9C73C8">
      <w:pPr>
        <w:spacing w:line="360" w:lineRule="auto"/>
        <w:ind w:firstLine="409" w:firstLineChars="195"/>
        <w:rPr>
          <w:rFonts w:cs="宋体"/>
          <w:color w:val="auto"/>
          <w:szCs w:val="21"/>
          <w:highlight w:val="none"/>
        </w:rPr>
      </w:pPr>
      <w:r>
        <w:rPr>
          <w:rFonts w:hint="eastAsia" w:cs="宋体"/>
          <w:color w:val="auto"/>
          <w:szCs w:val="21"/>
          <w:highlight w:val="none"/>
        </w:rPr>
        <w:t>（8）总价措施项目清单与计价表；</w:t>
      </w:r>
    </w:p>
    <w:p w14:paraId="7DC84E5E">
      <w:pPr>
        <w:spacing w:line="360" w:lineRule="auto"/>
        <w:ind w:firstLine="409" w:firstLineChars="195"/>
        <w:rPr>
          <w:rFonts w:cs="宋体"/>
          <w:color w:val="auto"/>
          <w:szCs w:val="21"/>
          <w:highlight w:val="none"/>
        </w:rPr>
      </w:pPr>
      <w:r>
        <w:rPr>
          <w:rFonts w:hint="eastAsia" w:cs="宋体"/>
          <w:color w:val="auto"/>
          <w:szCs w:val="21"/>
          <w:highlight w:val="none"/>
        </w:rPr>
        <w:t>（9）综合单价分析表；</w:t>
      </w:r>
    </w:p>
    <w:p w14:paraId="750E1BA8">
      <w:pPr>
        <w:spacing w:line="360" w:lineRule="auto"/>
        <w:ind w:firstLine="409" w:firstLineChars="195"/>
        <w:rPr>
          <w:rFonts w:cs="宋体"/>
          <w:color w:val="auto"/>
          <w:szCs w:val="21"/>
          <w:highlight w:val="none"/>
        </w:rPr>
      </w:pPr>
      <w:r>
        <w:rPr>
          <w:rFonts w:hint="eastAsia" w:cs="宋体"/>
          <w:color w:val="auto"/>
          <w:szCs w:val="21"/>
          <w:highlight w:val="none"/>
        </w:rPr>
        <w:t>（10）其他项目清单与计价汇总表；</w:t>
      </w:r>
    </w:p>
    <w:p w14:paraId="625C7480">
      <w:pPr>
        <w:spacing w:line="360" w:lineRule="auto"/>
        <w:ind w:firstLine="409" w:firstLineChars="195"/>
        <w:rPr>
          <w:rFonts w:cs="宋体"/>
          <w:color w:val="auto"/>
          <w:szCs w:val="21"/>
          <w:highlight w:val="none"/>
        </w:rPr>
      </w:pPr>
      <w:r>
        <w:rPr>
          <w:rFonts w:hint="eastAsia" w:cs="宋体"/>
          <w:color w:val="auto"/>
          <w:szCs w:val="21"/>
          <w:highlight w:val="none"/>
        </w:rPr>
        <w:t>（11）暂列金额明细表；</w:t>
      </w:r>
    </w:p>
    <w:p w14:paraId="24354556">
      <w:pPr>
        <w:spacing w:line="360" w:lineRule="auto"/>
        <w:ind w:firstLine="409" w:firstLineChars="195"/>
        <w:rPr>
          <w:rFonts w:cs="宋体"/>
          <w:color w:val="auto"/>
          <w:szCs w:val="21"/>
          <w:highlight w:val="none"/>
        </w:rPr>
      </w:pPr>
      <w:r>
        <w:rPr>
          <w:rFonts w:hint="eastAsia" w:cs="宋体"/>
          <w:color w:val="auto"/>
          <w:szCs w:val="21"/>
          <w:highlight w:val="none"/>
        </w:rPr>
        <w:t>（12）材料（工程设备）暂估价明细表；</w:t>
      </w:r>
    </w:p>
    <w:p w14:paraId="67E4FA46">
      <w:pPr>
        <w:spacing w:line="360" w:lineRule="auto"/>
        <w:ind w:firstLine="409" w:firstLineChars="195"/>
        <w:rPr>
          <w:rFonts w:cs="宋体"/>
          <w:color w:val="auto"/>
          <w:szCs w:val="21"/>
          <w:highlight w:val="none"/>
        </w:rPr>
      </w:pPr>
      <w:r>
        <w:rPr>
          <w:rFonts w:hint="eastAsia" w:cs="宋体"/>
          <w:color w:val="auto"/>
          <w:szCs w:val="21"/>
          <w:highlight w:val="none"/>
        </w:rPr>
        <w:t>（13）专业工程暂估价明细表；</w:t>
      </w:r>
    </w:p>
    <w:p w14:paraId="0E5928B3">
      <w:pPr>
        <w:spacing w:line="360" w:lineRule="auto"/>
        <w:ind w:firstLine="409" w:firstLineChars="195"/>
        <w:rPr>
          <w:rFonts w:cs="宋体"/>
          <w:color w:val="auto"/>
          <w:szCs w:val="21"/>
          <w:highlight w:val="none"/>
        </w:rPr>
      </w:pPr>
      <w:r>
        <w:rPr>
          <w:rFonts w:hint="eastAsia" w:cs="宋体"/>
          <w:color w:val="auto"/>
          <w:szCs w:val="21"/>
          <w:highlight w:val="none"/>
        </w:rPr>
        <w:t>（14）计日工表；</w:t>
      </w:r>
    </w:p>
    <w:p w14:paraId="7DDECADD">
      <w:pPr>
        <w:spacing w:line="360" w:lineRule="auto"/>
        <w:ind w:firstLine="409" w:firstLineChars="195"/>
        <w:rPr>
          <w:rFonts w:cs="宋体"/>
          <w:color w:val="auto"/>
          <w:szCs w:val="21"/>
          <w:highlight w:val="none"/>
        </w:rPr>
      </w:pPr>
      <w:r>
        <w:rPr>
          <w:rFonts w:hint="eastAsia" w:cs="宋体"/>
          <w:color w:val="auto"/>
          <w:szCs w:val="21"/>
          <w:highlight w:val="none"/>
        </w:rPr>
        <w:t>（15）总承包服务计价表；</w:t>
      </w:r>
    </w:p>
    <w:p w14:paraId="5DC15A4C">
      <w:pPr>
        <w:spacing w:line="360" w:lineRule="auto"/>
        <w:ind w:firstLine="409" w:firstLineChars="195"/>
        <w:rPr>
          <w:rFonts w:cs="宋体"/>
          <w:color w:val="auto"/>
          <w:szCs w:val="21"/>
          <w:highlight w:val="none"/>
        </w:rPr>
      </w:pPr>
      <w:r>
        <w:rPr>
          <w:rFonts w:hint="eastAsia" w:cs="宋体"/>
          <w:color w:val="auto"/>
          <w:szCs w:val="21"/>
          <w:highlight w:val="none"/>
        </w:rPr>
        <w:t>（16）规费和税金项目计价表；</w:t>
      </w:r>
    </w:p>
    <w:p w14:paraId="3D62EB29">
      <w:pPr>
        <w:spacing w:line="360" w:lineRule="auto"/>
        <w:ind w:firstLine="409" w:firstLineChars="195"/>
        <w:rPr>
          <w:rFonts w:cs="宋体"/>
          <w:color w:val="auto"/>
          <w:szCs w:val="21"/>
          <w:highlight w:val="none"/>
        </w:rPr>
      </w:pPr>
      <w:r>
        <w:rPr>
          <w:rFonts w:hint="eastAsia" w:cs="宋体"/>
          <w:color w:val="auto"/>
          <w:szCs w:val="21"/>
          <w:highlight w:val="none"/>
        </w:rPr>
        <w:t>（17）人工、主要材料和设备一览表</w:t>
      </w:r>
    </w:p>
    <w:p w14:paraId="0FE1DCA0">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11.3.3按照</w:t>
      </w:r>
      <w:r>
        <w:rPr>
          <w:rFonts w:hint="eastAsia" w:cs="宋体"/>
          <w:bCs/>
          <w:color w:val="auto"/>
          <w:szCs w:val="21"/>
          <w:highlight w:val="none"/>
        </w:rPr>
        <w:t>招标文件要求</w:t>
      </w:r>
      <w:r>
        <w:rPr>
          <w:rFonts w:hint="eastAsia" w:cs="宋体"/>
          <w:color w:val="auto"/>
          <w:szCs w:val="21"/>
          <w:highlight w:val="none"/>
        </w:rPr>
        <w:t>填写的《参与编制经济标投标文件人员名单》。</w:t>
      </w:r>
    </w:p>
    <w:p w14:paraId="66990A7D">
      <w:pPr>
        <w:tabs>
          <w:tab w:val="left" w:pos="1125"/>
        </w:tabs>
        <w:spacing w:line="360" w:lineRule="auto"/>
        <w:ind w:firstLine="409" w:firstLineChars="195"/>
        <w:rPr>
          <w:rFonts w:cs="宋体"/>
          <w:color w:val="auto"/>
          <w:szCs w:val="21"/>
          <w:highlight w:val="none"/>
        </w:rPr>
      </w:pPr>
      <w:r>
        <w:rPr>
          <w:rFonts w:hint="eastAsia"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0C480E95">
      <w:pPr>
        <w:pBdr>
          <w:bottom w:val="single" w:color="auto" w:sz="6" w:space="1"/>
        </w:pBd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现文：</w:t>
      </w:r>
    </w:p>
    <w:p w14:paraId="0C226116">
      <w:pPr>
        <w:pBdr>
          <w:bottom w:val="single" w:color="auto" w:sz="6" w:space="1"/>
        </w:pBdr>
        <w:adjustRightInd w:val="0"/>
        <w:spacing w:line="360" w:lineRule="auto"/>
        <w:ind w:firstLine="409" w:firstLineChars="195"/>
        <w:textAlignment w:val="baseline"/>
        <w:rPr>
          <w:rFonts w:cs="宋体"/>
          <w:b/>
          <w:color w:val="auto"/>
          <w:szCs w:val="21"/>
          <w:highlight w:val="none"/>
        </w:rPr>
      </w:pPr>
      <w:r>
        <w:rPr>
          <w:rFonts w:hint="eastAsia" w:cs="宋体"/>
          <w:bCs/>
          <w:color w:val="auto"/>
          <w:szCs w:val="21"/>
          <w:highlight w:val="none"/>
        </w:rPr>
        <w:t>11.3 经济标投标文件主要包括下列内容：</w:t>
      </w:r>
    </w:p>
    <w:p w14:paraId="51F9AAAD">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11.3.1</w:t>
      </w:r>
      <w:r>
        <w:rPr>
          <w:rFonts w:hint="eastAsia" w:cs="宋体"/>
          <w:color w:val="auto"/>
          <w:szCs w:val="21"/>
          <w:highlight w:val="none"/>
          <w:u w:val="single"/>
        </w:rPr>
        <w:t>广州建设工程施工招标投标书(需按招标文件第四章要求的格式填写，具体格式以《广州建设工程施工招标投标书（经济标）》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14:paraId="26887A81">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企业定额、施工现场情况和投标时拟定的施工组织设计或者施工方案，结合企业成本、市场价格以及招标文件中载明的风险内容和范围等编制。其中包括如下：</w:t>
      </w:r>
    </w:p>
    <w:p w14:paraId="7A20BBAC">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（1）投标总价封面、扉页；</w:t>
      </w:r>
    </w:p>
    <w:p w14:paraId="7F694C6E">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（2）总说明；</w:t>
      </w:r>
    </w:p>
    <w:p w14:paraId="49E2EA7A">
      <w:pPr>
        <w:pBdr>
          <w:bottom w:val="single" w:color="auto" w:sz="6" w:space="1"/>
        </w:pBdr>
        <w:adjustRightInd w:val="0"/>
        <w:spacing w:line="360" w:lineRule="auto"/>
        <w:ind w:firstLine="409" w:firstLineChars="195"/>
        <w:textAlignment w:val="baseline"/>
        <w:rPr>
          <w:rFonts w:cs="宋体"/>
          <w:b/>
          <w:color w:val="auto"/>
          <w:szCs w:val="21"/>
          <w:highlight w:val="none"/>
        </w:rPr>
      </w:pPr>
      <w:r>
        <w:rPr>
          <w:rFonts w:hint="eastAsia" w:cs="宋体"/>
          <w:color w:val="auto"/>
          <w:szCs w:val="21"/>
          <w:highlight w:val="none"/>
          <w:u w:val="single"/>
        </w:rPr>
        <w:t>（3）工程量清单报价表及综合单价分析表</w:t>
      </w:r>
      <w:r>
        <w:rPr>
          <w:rFonts w:hint="eastAsia" w:ascii="宋体" w:hAnsi="宋体" w:cs="宋体"/>
          <w:bCs/>
          <w:color w:val="auto"/>
          <w:szCs w:val="21"/>
          <w:highlight w:val="none"/>
          <w:u w:val="single"/>
        </w:rPr>
        <w:t>（相关表格的内容及格式要求以招标人发出的最新版电子招标文件中的相应内容及格式为准）</w:t>
      </w:r>
      <w:r>
        <w:rPr>
          <w:rFonts w:hint="eastAsia" w:cs="宋体"/>
          <w:color w:val="auto"/>
          <w:szCs w:val="21"/>
          <w:highlight w:val="none"/>
          <w:u w:val="single"/>
        </w:rPr>
        <w:t>；</w:t>
      </w:r>
    </w:p>
    <w:p w14:paraId="0C809B01">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u w:val="single"/>
        </w:rPr>
        <w:t>（4）其</w:t>
      </w:r>
      <w:r>
        <w:rPr>
          <w:rFonts w:hint="eastAsia" w:cs="宋体"/>
          <w:color w:val="auto"/>
          <w:szCs w:val="21"/>
          <w:highlight w:val="none"/>
          <w:u w:val="single"/>
          <w:lang w:val="en-US" w:eastAsia="zh-CN"/>
        </w:rPr>
        <w:t>他</w:t>
      </w:r>
      <w:r>
        <w:rPr>
          <w:rFonts w:hint="eastAsia" w:cs="宋体"/>
          <w:color w:val="auto"/>
          <w:szCs w:val="21"/>
          <w:highlight w:val="none"/>
          <w:u w:val="single"/>
        </w:rPr>
        <w:t>辅助说明资料（包括但不限于招标文件要求填写的《对投标文件编制的承诺》（格式见第四章））</w:t>
      </w:r>
      <w:r>
        <w:rPr>
          <w:rFonts w:hint="eastAsia" w:cs="宋体"/>
          <w:color w:val="auto"/>
          <w:szCs w:val="21"/>
          <w:highlight w:val="none"/>
        </w:rPr>
        <w:t>。</w:t>
      </w:r>
    </w:p>
    <w:p w14:paraId="4A39EF4A">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11.3.3按照招标文件要求填写的《参与编制经济标投标文件人员名单》</w:t>
      </w:r>
      <w:r>
        <w:rPr>
          <w:rFonts w:hint="eastAsia" w:cs="宋体"/>
          <w:color w:val="auto"/>
          <w:szCs w:val="21"/>
          <w:highlight w:val="none"/>
          <w:u w:val="single"/>
        </w:rPr>
        <w:t>（格式见第四章）</w:t>
      </w:r>
      <w:r>
        <w:rPr>
          <w:rFonts w:hint="eastAsia" w:cs="宋体"/>
          <w:color w:val="auto"/>
          <w:szCs w:val="21"/>
          <w:highlight w:val="none"/>
        </w:rPr>
        <w:t>。</w:t>
      </w:r>
    </w:p>
    <w:p w14:paraId="01A89ACB">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1A8FD7AC">
      <w:pPr>
        <w:pBdr>
          <w:bottom w:val="single" w:color="auto" w:sz="6" w:space="1"/>
        </w:pBdr>
        <w:adjustRightInd w:val="0"/>
        <w:spacing w:line="360" w:lineRule="auto"/>
        <w:ind w:firstLine="409" w:firstLineChars="195"/>
        <w:textAlignment w:val="baseline"/>
        <w:rPr>
          <w:rFonts w:cs="宋体"/>
          <w:color w:val="auto"/>
          <w:szCs w:val="21"/>
          <w:highlight w:val="none"/>
          <w:u w:val="single"/>
        </w:rPr>
      </w:pPr>
      <w:r>
        <w:rPr>
          <w:rFonts w:hint="eastAsia" w:cs="宋体"/>
          <w:color w:val="auto"/>
          <w:szCs w:val="21"/>
          <w:highlight w:val="none"/>
          <w:u w:val="single"/>
        </w:rPr>
        <w:t>11.3.5投标人认为应提供的其他资料。</w:t>
      </w:r>
    </w:p>
    <w:p w14:paraId="09E87377">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条款号：11.4           </w:t>
      </w:r>
      <w:r>
        <w:rPr>
          <w:rFonts w:hint="eastAsia" w:cs="宋体"/>
          <w:b/>
          <w:color w:val="auto"/>
          <w:szCs w:val="21"/>
          <w:highlight w:val="none"/>
          <w:lang w:val="en-US" w:eastAsia="zh-CN"/>
        </w:rPr>
        <w:t xml:space="preserve">  </w:t>
      </w:r>
      <w:r>
        <w:rPr>
          <w:rFonts w:hint="eastAsia" w:ascii="宋体" w:hAnsi="宋体" w:cs="宋体"/>
          <w:b/>
          <w:color w:val="auto"/>
          <w:szCs w:val="21"/>
          <w:highlight w:val="none"/>
        </w:rPr>
        <w:t xml:space="preserve">  修改类型：增加</w:t>
      </w:r>
    </w:p>
    <w:p w14:paraId="316EE2AB">
      <w:pPr>
        <w:spacing w:line="360" w:lineRule="auto"/>
        <w:ind w:firstLine="472" w:firstLineChars="224"/>
        <w:rPr>
          <w:rFonts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rPr>
        <w:t>11.4</w:t>
      </w:r>
      <w:r>
        <w:rPr>
          <w:rFonts w:hint="eastAsia" w:ascii="宋体" w:hAnsi="宋体" w:cs="宋体"/>
          <w:bCs/>
          <w:color w:val="auto"/>
          <w:szCs w:val="21"/>
          <w:highlight w:val="none"/>
          <w:u w:val="single"/>
        </w:rPr>
        <w:t>定标文件主要包括下列内容：</w:t>
      </w:r>
    </w:p>
    <w:p w14:paraId="00B4DD97">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11.4.1定标文件封面。</w:t>
      </w:r>
    </w:p>
    <w:p w14:paraId="66B0F50B">
      <w:pPr>
        <w:spacing w:line="360" w:lineRule="auto"/>
        <w:ind w:firstLine="470" w:firstLineChars="224"/>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11.4.2定标资料（格式自拟；</w:t>
      </w:r>
      <w:r>
        <w:rPr>
          <w:rFonts w:hint="eastAsia" w:cs="宋体"/>
          <w:bCs/>
          <w:color w:val="auto"/>
          <w:szCs w:val="21"/>
          <w:highlight w:val="none"/>
          <w:u w:val="single"/>
          <w:lang w:val="en-US" w:eastAsia="zh-CN"/>
        </w:rPr>
        <w:t>投标人根据《定标因素表》提供相应资料</w:t>
      </w:r>
      <w:r>
        <w:rPr>
          <w:rFonts w:hint="eastAsia" w:ascii="宋体" w:hAnsi="宋体" w:cs="宋体"/>
          <w:bCs/>
          <w:color w:val="auto"/>
          <w:szCs w:val="21"/>
          <w:highlight w:val="none"/>
          <w:u w:val="single"/>
        </w:rPr>
        <w:t>。定标评审价格因素按投标总价评审，不需要重复提交投标报价资料）。</w:t>
      </w:r>
    </w:p>
    <w:p w14:paraId="3F4959E5">
      <w:pPr>
        <w:spacing w:line="360" w:lineRule="auto"/>
        <w:ind w:firstLine="470" w:firstLineChars="224"/>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lang w:eastAsia="zh-CN"/>
        </w:rPr>
        <w:t>注：投标人编制定标方案要根据项目实际情况编制，突出重点，注意文件的逻辑性和可读性，避免冗长和无关紧要的叙述。需有目录和页码，篇幅不宜超过</w:t>
      </w:r>
      <w:r>
        <w:rPr>
          <w:rFonts w:hint="eastAsia" w:ascii="宋体" w:hAnsi="宋体" w:eastAsia="宋体" w:cs="宋体"/>
          <w:bCs/>
          <w:color w:val="auto"/>
          <w:szCs w:val="21"/>
          <w:highlight w:val="none"/>
          <w:u w:val="single"/>
          <w:lang w:val="en-US" w:eastAsia="zh-CN"/>
        </w:rPr>
        <w:t>300页，超出部分不予评审。如要附证书、合同等材料的，相关材料单独做附件。</w:t>
      </w:r>
    </w:p>
    <w:p w14:paraId="600AE8D9">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11.4.3投标人认为应提供的其他定标资料（如有）。</w:t>
      </w:r>
    </w:p>
    <w:p w14:paraId="507BA37D">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注：定标文件的递交时间和形式由投标人按照投标须知前附表第18项所规定的时间及本须知第18条的相关要求执行。</w:t>
      </w:r>
    </w:p>
    <w:p w14:paraId="42DC1DC1">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条款号：11.5             修改类型：增加</w:t>
      </w:r>
    </w:p>
    <w:p w14:paraId="33E12395">
      <w:pPr>
        <w:pBdr>
          <w:bottom w:val="single" w:color="auto" w:sz="4" w:space="0"/>
        </w:pBdr>
        <w:spacing w:line="36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highlight w:val="none"/>
          <w:u w:val="single"/>
        </w:rPr>
        <w:t>11.5请各投标单位在投标系统</w:t>
      </w:r>
      <w:r>
        <w:rPr>
          <w:rFonts w:hint="eastAsia" w:ascii="宋体" w:hAnsi="宋体" w:eastAsia="宋体" w:cs="宋体"/>
          <w:b w:val="0"/>
          <w:bCs/>
          <w:color w:val="auto"/>
          <w:szCs w:val="21"/>
          <w:highlight w:val="none"/>
          <w:u w:val="single"/>
        </w:rPr>
        <w:t>（交易平台）</w:t>
      </w:r>
      <w:r>
        <w:rPr>
          <w:rFonts w:hint="eastAsia" w:ascii="宋体" w:hAnsi="宋体" w:cs="宋体"/>
          <w:color w:val="auto"/>
          <w:highlight w:val="none"/>
          <w:u w:val="single"/>
        </w:rPr>
        <w:t>上传</w:t>
      </w:r>
      <w:r>
        <w:rPr>
          <w:rFonts w:hint="eastAsia" w:ascii="宋体" w:hAnsi="宋体" w:cs="宋体"/>
          <w:color w:val="auto"/>
          <w:highlight w:val="none"/>
          <w:u w:val="single"/>
          <w:lang w:eastAsia="zh-CN"/>
        </w:rPr>
        <w:t>电子</w:t>
      </w:r>
      <w:r>
        <w:rPr>
          <w:rFonts w:hint="eastAsia" w:ascii="宋体" w:hAnsi="宋体" w:cs="宋体"/>
          <w:color w:val="auto"/>
          <w:highlight w:val="none"/>
          <w:u w:val="single"/>
        </w:rPr>
        <w:t>投标文件时，</w:t>
      </w:r>
      <w:r>
        <w:rPr>
          <w:rFonts w:hint="eastAsia" w:ascii="宋体" w:hAnsi="宋体" w:eastAsia="宋体" w:cs="宋体"/>
          <w:b w:val="0"/>
          <w:bCs/>
          <w:color w:val="auto"/>
          <w:szCs w:val="21"/>
          <w:highlight w:val="none"/>
          <w:u w:val="single"/>
        </w:rPr>
        <w:t>应按规</w:t>
      </w:r>
      <w:r>
        <w:rPr>
          <w:rFonts w:hint="eastAsia" w:ascii="宋体" w:hAnsi="宋体" w:cs="宋体"/>
          <w:color w:val="auto"/>
          <w:highlight w:val="none"/>
          <w:u w:val="single"/>
        </w:rPr>
        <w:t>把技术文件（含资格审查文件）、经济文件等内容，分别上传至投标系统</w:t>
      </w:r>
      <w:r>
        <w:rPr>
          <w:rFonts w:hint="eastAsia" w:ascii="宋体" w:hAnsi="宋体" w:eastAsia="宋体" w:cs="宋体"/>
          <w:b w:val="0"/>
          <w:bCs/>
          <w:color w:val="auto"/>
          <w:szCs w:val="21"/>
          <w:highlight w:val="none"/>
          <w:u w:val="single"/>
        </w:rPr>
        <w:t>（交易平台）</w:t>
      </w:r>
      <w:r>
        <w:rPr>
          <w:rFonts w:hint="eastAsia" w:ascii="宋体" w:hAnsi="宋体" w:cs="宋体"/>
          <w:color w:val="auto"/>
          <w:highlight w:val="none"/>
          <w:u w:val="single"/>
        </w:rPr>
        <w:t>内对应的文件夹中，不要上传到定标文件夹中。定标文件夹中只上传定标文件。</w:t>
      </w:r>
      <w:r>
        <w:rPr>
          <w:rFonts w:hint="eastAsia" w:ascii="宋体" w:hAnsi="宋体" w:cs="宋体"/>
          <w:strike w:val="0"/>
          <w:color w:val="auto"/>
          <w:highlight w:val="none"/>
          <w:u w:val="single"/>
        </w:rPr>
        <w:t>评</w:t>
      </w:r>
      <w:r>
        <w:rPr>
          <w:rFonts w:hint="eastAsia" w:ascii="宋体" w:hAnsi="宋体" w:cs="宋体"/>
          <w:color w:val="auto"/>
          <w:highlight w:val="none"/>
          <w:u w:val="single"/>
        </w:rPr>
        <w:t>标委员会不对定标文件进行评审，因投标人未按招标文件要求提供规定的资料，而未能通过资格审查（或技术标有效性审查或经济标有效性审查）或影响评分的后果由投标人自行承担。</w:t>
      </w:r>
    </w:p>
    <w:p w14:paraId="490104D3">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条款号：12.2                        修改类型：修改</w:t>
      </w:r>
    </w:p>
    <w:p w14:paraId="6726F7B8">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cs="宋体"/>
          <w:color w:val="auto"/>
          <w:szCs w:val="21"/>
          <w:highlight w:val="none"/>
          <w:u w:val="single"/>
        </w:rPr>
        <w:t xml:space="preserve">             </w:t>
      </w:r>
      <w:r>
        <w:rPr>
          <w:rFonts w:hint="eastAsia" w:cs="宋体"/>
          <w:color w:val="auto"/>
          <w:szCs w:val="21"/>
          <w:highlight w:val="none"/>
        </w:rPr>
        <w:t>。注释：投标文件电子文档需要投标人单位盖章的材料，投标人加盖电子印章即可，不得将投标人未对电子文档加盖实物印章作为否决投标的情形。</w:t>
      </w:r>
    </w:p>
    <w:p w14:paraId="138E3D9E">
      <w:pPr>
        <w:pBdr>
          <w:bottom w:val="single" w:color="auto" w:sz="6" w:space="1"/>
        </w:pBdr>
        <w:adjustRightInd w:val="0"/>
        <w:spacing w:line="360" w:lineRule="auto"/>
        <w:ind w:firstLine="411" w:firstLineChars="195"/>
        <w:textAlignment w:val="baseline"/>
        <w:rPr>
          <w:rFonts w:hint="eastAsia" w:cs="宋体"/>
          <w:color w:val="auto"/>
          <w:szCs w:val="21"/>
          <w:highlight w:val="none"/>
          <w:u w:val="none"/>
        </w:rPr>
      </w:pPr>
      <w:r>
        <w:rPr>
          <w:rFonts w:hint="eastAsia" w:cs="宋体"/>
          <w:b/>
          <w:color w:val="auto"/>
          <w:szCs w:val="21"/>
          <w:highlight w:val="none"/>
        </w:rPr>
        <w:t>现文：</w:t>
      </w:r>
      <w:r>
        <w:rPr>
          <w:rFonts w:hint="eastAsia" w:cs="宋体"/>
          <w:color w:val="auto"/>
          <w:szCs w:val="21"/>
          <w:highlight w:val="none"/>
        </w:rPr>
        <w:t>12.2</w:t>
      </w:r>
      <w:r>
        <w:rPr>
          <w:rFonts w:hint="eastAsia" w:cs="宋体"/>
          <w:color w:val="auto"/>
          <w:szCs w:val="21"/>
          <w:highlight w:val="none"/>
          <w:u w:val="none"/>
        </w:rPr>
        <w:t>投标文件全部采用电子文档，投标文件所附证书证件均为原件清晰扫描件，并采用单位数字证书，</w:t>
      </w:r>
      <w:r>
        <w:rPr>
          <w:rFonts w:hint="eastAsia" w:cs="宋体"/>
          <w:b/>
          <w:bCs/>
          <w:color w:val="auto"/>
          <w:szCs w:val="21"/>
          <w:highlight w:val="none"/>
          <w:u w:val="none"/>
          <w:lang w:val="en-US" w:eastAsia="zh-CN"/>
        </w:rPr>
        <w:t>对投标文件</w:t>
      </w:r>
      <w:r>
        <w:rPr>
          <w:rFonts w:hint="eastAsia" w:cs="宋体"/>
          <w:color w:val="auto"/>
          <w:szCs w:val="21"/>
          <w:highlight w:val="none"/>
          <w:u w:val="none"/>
        </w:rPr>
        <w:t>加盖电子印章。投标文件中需个人签字或盖章的，应加盖个人电子印章或在线下完成后扫描上传。按照</w:t>
      </w:r>
      <w:r>
        <w:rPr>
          <w:rFonts w:hint="eastAsia" w:cs="宋体"/>
          <w:color w:val="auto"/>
          <w:szCs w:val="21"/>
          <w:highlight w:val="none"/>
          <w:u w:val="single"/>
        </w:rPr>
        <w:t>广州交易集团有限公司（广州公共资源交易中心）</w:t>
      </w:r>
      <w:r>
        <w:rPr>
          <w:rFonts w:hint="eastAsia" w:cs="宋体"/>
          <w:color w:val="auto"/>
          <w:szCs w:val="21"/>
          <w:highlight w:val="none"/>
          <w:u w:val="none"/>
        </w:rPr>
        <w:t>交易平台关于全流程电子化项目的相关指南进行操作。详见：</w:t>
      </w:r>
      <w:r>
        <w:rPr>
          <w:rFonts w:hint="eastAsia" w:cs="宋体"/>
          <w:color w:val="auto"/>
          <w:szCs w:val="21"/>
          <w:highlight w:val="none"/>
          <w:u w:val="single"/>
        </w:rPr>
        <w:t>广州交易集团有限公司（广州公共资源交易中心）</w:t>
      </w:r>
      <w:r>
        <w:rPr>
          <w:rFonts w:hint="eastAsia" w:cs="宋体"/>
          <w:color w:val="auto"/>
          <w:szCs w:val="21"/>
          <w:highlight w:val="none"/>
          <w:u w:val="none"/>
        </w:rPr>
        <w:t>网站最新指引。</w:t>
      </w:r>
    </w:p>
    <w:p w14:paraId="6BBEECED">
      <w:pPr>
        <w:pBdr>
          <w:bottom w:val="single" w:color="auto" w:sz="6" w:space="1"/>
        </w:pBdr>
        <w:adjustRightInd w:val="0"/>
        <w:spacing w:line="360" w:lineRule="auto"/>
        <w:ind w:firstLine="409" w:firstLineChars="195"/>
        <w:textAlignment w:val="baseline"/>
        <w:rPr>
          <w:rFonts w:cs="宋体"/>
          <w:color w:val="auto"/>
          <w:szCs w:val="21"/>
          <w:highlight w:val="none"/>
        </w:rPr>
      </w:pPr>
      <w:r>
        <w:rPr>
          <w:rFonts w:hint="eastAsia" w:cs="宋体"/>
          <w:color w:val="auto"/>
          <w:szCs w:val="21"/>
          <w:highlight w:val="none"/>
          <w:u w:val="none"/>
        </w:rPr>
        <w:t>注释：投标文件电子文档需要投标人单位盖章的材料，投标人加盖电子印章即可，不得将投标人未对电子文档加盖实物印章作为否决投标的情形。</w:t>
      </w:r>
    </w:p>
    <w:p w14:paraId="21B5BA80">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条款号：12.3                        修改类型：修改</w:t>
      </w:r>
    </w:p>
    <w:p w14:paraId="45C56A85">
      <w:pP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12.3投标文件应按照交易平台关于全流程电子化项目的相关指南进行编制，详见：。</w:t>
      </w:r>
    </w:p>
    <w:p w14:paraId="660DCE09">
      <w:pPr>
        <w:spacing w:line="360" w:lineRule="auto"/>
        <w:ind w:firstLine="409" w:firstLineChars="195"/>
        <w:textAlignment w:val="baseline"/>
        <w:rPr>
          <w:rFonts w:cs="宋体"/>
          <w:b/>
          <w:color w:val="auto"/>
          <w:szCs w:val="21"/>
          <w:highlight w:val="none"/>
        </w:rPr>
      </w:pPr>
      <w:r>
        <w:rPr>
          <w:rFonts w:hint="eastAsia" w:cs="宋体"/>
          <w:bCs/>
          <w:color w:val="auto"/>
          <w:szCs w:val="21"/>
          <w:highlight w:val="none"/>
        </w:rPr>
        <w:t>如不按上述要求编制引起系统无法检索、读取相关信息的，其后果由投标人承担。</w:t>
      </w:r>
    </w:p>
    <w:p w14:paraId="6DF3EE76">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12.3</w:t>
      </w:r>
      <w:r>
        <w:rPr>
          <w:rFonts w:hint="eastAsia" w:cs="宋体"/>
          <w:bCs/>
          <w:color w:val="auto"/>
          <w:szCs w:val="21"/>
          <w:highlight w:val="none"/>
        </w:rPr>
        <w:t>投标文件应按</w:t>
      </w:r>
      <w:r>
        <w:rPr>
          <w:rFonts w:hint="eastAsia" w:cs="宋体"/>
          <w:color w:val="auto"/>
          <w:szCs w:val="21"/>
          <w:highlight w:val="none"/>
        </w:rPr>
        <w:t>照</w:t>
      </w:r>
      <w:r>
        <w:rPr>
          <w:rFonts w:hint="eastAsia" w:cs="宋体"/>
          <w:color w:val="auto"/>
          <w:szCs w:val="21"/>
          <w:highlight w:val="none"/>
          <w:u w:val="single"/>
        </w:rPr>
        <w:t>广州交易集团有限公司（广州公共资源交易中心）交易平台</w:t>
      </w:r>
      <w:r>
        <w:rPr>
          <w:rFonts w:hint="eastAsia" w:cs="宋体"/>
          <w:color w:val="auto"/>
          <w:szCs w:val="21"/>
          <w:highlight w:val="none"/>
        </w:rPr>
        <w:t>关于全流程电子化项目的相关指南进行编制，详见：</w:t>
      </w:r>
      <w:r>
        <w:rPr>
          <w:rFonts w:hint="eastAsia" w:ascii="宋体" w:hAnsi="宋体" w:cs="宋体"/>
          <w:color w:val="auto"/>
          <w:szCs w:val="21"/>
          <w:highlight w:val="none"/>
          <w:u w:val="single"/>
        </w:rPr>
        <w:t>广州交易集团有限公司（广州公共资源交易中心）网站最新指引</w:t>
      </w:r>
      <w:r>
        <w:rPr>
          <w:rFonts w:hint="eastAsia" w:cs="宋体"/>
          <w:color w:val="auto"/>
          <w:szCs w:val="21"/>
          <w:highlight w:val="none"/>
        </w:rPr>
        <w:t>。</w:t>
      </w:r>
    </w:p>
    <w:p w14:paraId="51CABB64">
      <w:pPr>
        <w:pBdr>
          <w:bottom w:val="single" w:color="auto" w:sz="6" w:space="1"/>
        </w:pBdr>
        <w:spacing w:line="360" w:lineRule="auto"/>
        <w:ind w:firstLine="409" w:firstLineChars="195"/>
        <w:textAlignment w:val="baseline"/>
        <w:rPr>
          <w:rFonts w:cs="宋体"/>
          <w:b/>
          <w:color w:val="auto"/>
          <w:szCs w:val="21"/>
          <w:highlight w:val="none"/>
        </w:rPr>
      </w:pPr>
      <w:r>
        <w:rPr>
          <w:rFonts w:hint="eastAsia" w:cs="宋体"/>
          <w:bCs/>
          <w:color w:val="auto"/>
          <w:szCs w:val="21"/>
          <w:highlight w:val="none"/>
        </w:rPr>
        <w:t>如不按上述要求编制引起系统无法检索、读取相关信息的，其后果由投标人承担。</w:t>
      </w:r>
    </w:p>
    <w:p w14:paraId="111DEBFF">
      <w:pPr>
        <w:spacing w:line="360" w:lineRule="auto"/>
        <w:ind w:firstLine="411" w:firstLineChars="195"/>
        <w:rPr>
          <w:rFonts w:cs="宋体"/>
          <w:b/>
          <w:color w:val="auto"/>
          <w:szCs w:val="21"/>
          <w:highlight w:val="none"/>
        </w:rPr>
      </w:pPr>
      <w:r>
        <w:rPr>
          <w:rFonts w:hint="eastAsia" w:cs="宋体"/>
          <w:b/>
          <w:color w:val="auto"/>
          <w:szCs w:val="21"/>
          <w:highlight w:val="none"/>
        </w:rPr>
        <w:t>条款号：13.1                        修改类型：修改</w:t>
      </w:r>
    </w:p>
    <w:p w14:paraId="49AF0DE8">
      <w:pPr>
        <w:pBdr>
          <w:bottom w:val="single" w:color="auto" w:sz="6" w:space="1"/>
        </w:pBdr>
        <w:spacing w:line="360" w:lineRule="auto"/>
        <w:ind w:firstLine="411" w:firstLineChars="195"/>
        <w:rPr>
          <w:rFonts w:cs="宋体"/>
          <w:color w:val="auto"/>
          <w:szCs w:val="21"/>
          <w:highlight w:val="none"/>
          <w:u w:val="single"/>
        </w:rPr>
      </w:pPr>
      <w:r>
        <w:rPr>
          <w:rFonts w:hint="eastAsia" w:cs="宋体"/>
          <w:b/>
          <w:color w:val="auto"/>
          <w:szCs w:val="21"/>
          <w:highlight w:val="none"/>
        </w:rPr>
        <w:t>原文：</w:t>
      </w:r>
      <w:r>
        <w:rPr>
          <w:rFonts w:hint="eastAsia" w:cs="宋体"/>
          <w:color w:val="auto"/>
          <w:szCs w:val="21"/>
          <w:highlight w:val="none"/>
        </w:rPr>
        <w:t>13.1本工程的投标报价采用投标须知前附表第12项所规定的方式。投标报价（含单价及总价）精确到“分”。</w:t>
      </w:r>
    </w:p>
    <w:p w14:paraId="29CFC442">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13.1本工程的投标报价采用投标须知前附表第12项所规定的方式。</w:t>
      </w:r>
      <w:r>
        <w:rPr>
          <w:rFonts w:hint="eastAsia" w:cs="宋体"/>
          <w:color w:val="auto"/>
          <w:szCs w:val="21"/>
          <w:highlight w:val="none"/>
          <w:u w:val="single"/>
        </w:rPr>
        <w:t>投标文件中的大写金额和小写金额不一致的，以大写金额为准。</w:t>
      </w:r>
      <w:r>
        <w:rPr>
          <w:rFonts w:hint="eastAsia" w:cs="宋体"/>
          <w:color w:val="auto"/>
          <w:szCs w:val="21"/>
          <w:highlight w:val="none"/>
        </w:rPr>
        <w:t>投标报价（含单价及总价）精确到“分”。</w:t>
      </w:r>
    </w:p>
    <w:p w14:paraId="40775935">
      <w:pPr>
        <w:spacing w:line="360" w:lineRule="auto"/>
        <w:ind w:firstLine="411" w:firstLineChars="195"/>
        <w:rPr>
          <w:rFonts w:cs="宋体"/>
          <w:b/>
          <w:color w:val="auto"/>
          <w:szCs w:val="21"/>
          <w:highlight w:val="none"/>
        </w:rPr>
      </w:pPr>
      <w:r>
        <w:rPr>
          <w:rFonts w:hint="eastAsia" w:cs="宋体"/>
          <w:b/>
          <w:color w:val="auto"/>
          <w:szCs w:val="21"/>
          <w:highlight w:val="none"/>
        </w:rPr>
        <w:t>条款号：13.3                        修改类型：修改</w:t>
      </w:r>
    </w:p>
    <w:p w14:paraId="00569364">
      <w:pPr>
        <w:spacing w:line="360" w:lineRule="auto"/>
        <w:ind w:firstLine="411" w:firstLineChars="195"/>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CCCBF4E">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w:t>
      </w:r>
      <w:r>
        <w:rPr>
          <w:rFonts w:hint="eastAsia" w:cs="宋体"/>
          <w:color w:val="auto"/>
          <w:szCs w:val="21"/>
          <w:highlight w:val="none"/>
          <w:u w:val="single"/>
        </w:rPr>
        <w:t>（含招标的相关资料）</w:t>
      </w:r>
      <w:r>
        <w:rPr>
          <w:rFonts w:hint="eastAsia" w:cs="宋体"/>
          <w:color w:val="auto"/>
          <w:szCs w:val="21"/>
          <w:highlight w:val="none"/>
        </w:rPr>
        <w:t>列明工作的全部费用，包括但不限于完成工作的成本、利润、税金、技术措施费、大型机械进出场费、风险费以及政策性文件规定费用等，不得以任何理由予以重复计算。招标人提供的工程量清单或招标文件其他部分中有关暂列金额、暂估价、安全生产措施费等非竞争性项目明列了单价或合价的金额的，投标人应按照明列的单价或合价的金额报价，未按照规定金额报价的，由评标委员会按照招标文件规定的金额进行修正。</w:t>
      </w:r>
    </w:p>
    <w:p w14:paraId="0D1BDE08">
      <w:pPr>
        <w:spacing w:line="360" w:lineRule="auto"/>
        <w:ind w:firstLine="411" w:firstLineChars="195"/>
        <w:rPr>
          <w:rFonts w:cs="宋体"/>
          <w:b/>
          <w:color w:val="auto"/>
          <w:szCs w:val="21"/>
          <w:highlight w:val="none"/>
        </w:rPr>
      </w:pPr>
      <w:r>
        <w:rPr>
          <w:rFonts w:hint="eastAsia" w:cs="宋体"/>
          <w:b/>
          <w:color w:val="auto"/>
          <w:szCs w:val="21"/>
          <w:highlight w:val="none"/>
        </w:rPr>
        <w:t>条款号：13.4                         修改类型：修改</w:t>
      </w:r>
    </w:p>
    <w:p w14:paraId="591B9CC4">
      <w:pPr>
        <w:pStyle w:val="25"/>
        <w:spacing w:after="0" w:line="360" w:lineRule="auto"/>
        <w:ind w:firstLine="392" w:firstLineChars="195"/>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6CDB242">
      <w:pPr>
        <w:pBdr>
          <w:bottom w:val="single" w:color="auto" w:sz="6" w:space="1"/>
        </w:pBdr>
        <w:spacing w:line="360" w:lineRule="auto"/>
        <w:ind w:firstLine="411" w:firstLineChars="195"/>
        <w:rPr>
          <w:rFonts w:cs="宋体"/>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13.4投标人一旦中标，投标人对招标人提供的招标工程量清单中列出的工程项目所报出的综合单价</w:t>
      </w:r>
      <w:r>
        <w:rPr>
          <w:rFonts w:hint="eastAsia" w:cs="宋体"/>
          <w:color w:val="auto"/>
          <w:szCs w:val="21"/>
          <w:highlight w:val="none"/>
          <w:u w:val="single"/>
        </w:rPr>
        <w:t>和措施项目费在工程结算时，按招标文件第三章合同条款相关约定调整。</w:t>
      </w:r>
    </w:p>
    <w:p w14:paraId="38861E4B">
      <w:pPr>
        <w:spacing w:line="360" w:lineRule="auto"/>
        <w:ind w:firstLine="411" w:firstLineChars="195"/>
        <w:rPr>
          <w:rFonts w:cs="宋体"/>
          <w:b/>
          <w:color w:val="auto"/>
          <w:szCs w:val="21"/>
          <w:highlight w:val="none"/>
        </w:rPr>
      </w:pPr>
      <w:r>
        <w:rPr>
          <w:rFonts w:hint="eastAsia" w:cs="宋体"/>
          <w:b/>
          <w:color w:val="auto"/>
          <w:szCs w:val="21"/>
          <w:highlight w:val="none"/>
        </w:rPr>
        <w:t>条款号：13.5                        修改类型：修改</w:t>
      </w:r>
    </w:p>
    <w:p w14:paraId="786AC37A">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30ADBCE6">
      <w:pPr>
        <w:pBdr>
          <w:bottom w:val="single" w:color="auto" w:sz="6" w:space="1"/>
        </w:pBdr>
        <w:spacing w:line="360" w:lineRule="auto"/>
        <w:ind w:firstLine="409" w:firstLineChars="195"/>
        <w:rPr>
          <w:rFonts w:cs="宋体"/>
          <w:color w:val="auto"/>
          <w:szCs w:val="21"/>
          <w:highlight w:val="none"/>
        </w:rPr>
      </w:pPr>
      <w:r>
        <w:rPr>
          <w:rFonts w:hint="eastAsia" w:cs="宋体"/>
          <w:color w:val="auto"/>
          <w:szCs w:val="21"/>
          <w:highlight w:val="none"/>
        </w:rPr>
        <w:t>13.5.1中标的投标文件工程量清单中已有相同项目的适用综合单价，则沿用；</w:t>
      </w:r>
    </w:p>
    <w:p w14:paraId="39935297">
      <w:pPr>
        <w:pBdr>
          <w:bottom w:val="single" w:color="auto" w:sz="6" w:space="1"/>
        </w:pBdr>
        <w:spacing w:line="360" w:lineRule="auto"/>
        <w:ind w:firstLine="409" w:firstLineChars="195"/>
        <w:rPr>
          <w:rFonts w:cs="宋体"/>
          <w:color w:val="auto"/>
          <w:szCs w:val="21"/>
          <w:highlight w:val="none"/>
        </w:rPr>
      </w:pPr>
      <w:r>
        <w:rPr>
          <w:rFonts w:hint="eastAsia" w:cs="宋体"/>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59B121F">
      <w:pPr>
        <w:pBdr>
          <w:bottom w:val="single" w:color="auto" w:sz="6" w:space="1"/>
        </w:pBdr>
        <w:spacing w:line="360" w:lineRule="auto"/>
        <w:ind w:firstLine="409" w:firstLineChars="195"/>
        <w:rPr>
          <w:rFonts w:cs="宋体"/>
          <w:color w:val="auto"/>
          <w:szCs w:val="21"/>
          <w:highlight w:val="none"/>
        </w:rPr>
      </w:pPr>
      <w:r>
        <w:rPr>
          <w:rFonts w:hint="eastAsia" w:cs="宋体"/>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中标的投标文件工程量清单中没有相同项目或类似项目的，如可套取相关定额，则以相关定额为基数下浮计算单价,下浮率为中标价相对于最高投标限价的下浮率（下浮率=(最高投标限价-中标价)/最高投标限价）。</w:t>
      </w:r>
    </w:p>
    <w:p w14:paraId="2A88D467">
      <w:pPr>
        <w:pBdr>
          <w:bottom w:val="single" w:color="auto" w:sz="6" w:space="1"/>
        </w:pBdr>
        <w:spacing w:line="360" w:lineRule="auto"/>
        <w:ind w:firstLine="409" w:firstLineChars="195"/>
        <w:rPr>
          <w:rFonts w:cs="宋体"/>
          <w:color w:val="auto"/>
          <w:szCs w:val="21"/>
          <w:highlight w:val="none"/>
          <w:u w:val="single"/>
        </w:rPr>
      </w:pPr>
      <w:r>
        <w:rPr>
          <w:rFonts w:hint="eastAsia" w:cs="宋体"/>
          <w:color w:val="auto"/>
          <w:szCs w:val="21"/>
          <w:highlight w:val="none"/>
        </w:rPr>
        <w:t>13.5.4 如相关定额没有相应子目的，其计价方式由招标人在本招标文件第三章中另行规定。未规定的，中标后双方协商约定。</w:t>
      </w:r>
    </w:p>
    <w:p w14:paraId="6EB09642">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13.5</w:t>
      </w:r>
      <w:r>
        <w:rPr>
          <w:rFonts w:hint="eastAsia" w:cs="宋体"/>
          <w:color w:val="auto"/>
          <w:szCs w:val="21"/>
          <w:highlight w:val="none"/>
          <w:u w:val="single"/>
        </w:rPr>
        <w:t>工程项目实施期间和结算时，</w:t>
      </w:r>
      <w:r>
        <w:rPr>
          <w:rFonts w:hint="eastAsia" w:cs="宋体"/>
          <w:color w:val="auto"/>
          <w:szCs w:val="21"/>
          <w:highlight w:val="none"/>
          <w:u w:val="single"/>
          <w:lang w:val="en-US" w:eastAsia="zh-CN"/>
        </w:rPr>
        <w:t>新增项目的认定及其价格的确定</w:t>
      </w:r>
      <w:r>
        <w:rPr>
          <w:rFonts w:hint="eastAsia" w:cs="宋体"/>
          <w:color w:val="auto"/>
          <w:szCs w:val="21"/>
          <w:highlight w:val="none"/>
          <w:u w:val="single"/>
        </w:rPr>
        <w:t>按合同相关约定</w:t>
      </w:r>
      <w:r>
        <w:rPr>
          <w:rFonts w:hint="eastAsia" w:cs="宋体"/>
          <w:color w:val="auto"/>
          <w:szCs w:val="21"/>
          <w:highlight w:val="none"/>
          <w:u w:val="single"/>
          <w:lang w:val="en-US" w:eastAsia="zh-CN"/>
        </w:rPr>
        <w:t>执行</w:t>
      </w:r>
      <w:r>
        <w:rPr>
          <w:rFonts w:hint="eastAsia" w:cs="宋体"/>
          <w:color w:val="auto"/>
          <w:szCs w:val="21"/>
          <w:highlight w:val="none"/>
          <w:u w:val="single"/>
        </w:rPr>
        <w:t>。</w:t>
      </w:r>
    </w:p>
    <w:p w14:paraId="55C0ACED">
      <w:pPr>
        <w:spacing w:line="360" w:lineRule="auto"/>
        <w:ind w:firstLine="411" w:firstLineChars="195"/>
        <w:rPr>
          <w:rFonts w:cs="宋体"/>
          <w:b/>
          <w:color w:val="auto"/>
          <w:szCs w:val="21"/>
          <w:highlight w:val="none"/>
        </w:rPr>
      </w:pPr>
      <w:r>
        <w:rPr>
          <w:rFonts w:hint="eastAsia" w:cs="宋体"/>
          <w:b/>
          <w:color w:val="auto"/>
          <w:szCs w:val="21"/>
          <w:highlight w:val="none"/>
        </w:rPr>
        <w:t>条款号：13.6.2                      修改类型：修改</w:t>
      </w:r>
    </w:p>
    <w:p w14:paraId="212B4CBF">
      <w:pPr>
        <w:spacing w:line="360" w:lineRule="auto"/>
        <w:ind w:firstLine="411" w:firstLineChars="195"/>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481169D7">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13.6.2在工程实施中，暂估价所包含的工作范围和图纸、标准深化固定后，按照工程专业、设备、材料类别等分类汇总的金额，达到法定招标范围标准的</w:t>
      </w:r>
      <w:r>
        <w:rPr>
          <w:rFonts w:hint="eastAsia" w:cs="宋体"/>
          <w:color w:val="auto"/>
          <w:szCs w:val="21"/>
          <w:highlight w:val="none"/>
          <w:u w:val="single"/>
        </w:rPr>
        <w:t>应由招标人招标确定承包人和承包价格</w:t>
      </w:r>
      <w:r>
        <w:rPr>
          <w:rFonts w:hint="eastAsia" w:cs="宋体"/>
          <w:color w:val="auto"/>
          <w:szCs w:val="21"/>
          <w:highlight w:val="none"/>
        </w:rPr>
        <w:t>。</w:t>
      </w:r>
    </w:p>
    <w:p w14:paraId="69C9BE24">
      <w:pPr>
        <w:spacing w:line="360" w:lineRule="auto"/>
        <w:ind w:firstLine="411" w:firstLineChars="195"/>
        <w:rPr>
          <w:rFonts w:cs="宋体"/>
          <w:b/>
          <w:color w:val="auto"/>
          <w:szCs w:val="21"/>
          <w:highlight w:val="none"/>
        </w:rPr>
      </w:pPr>
      <w:r>
        <w:rPr>
          <w:rFonts w:hint="eastAsia" w:cs="宋体"/>
          <w:b/>
          <w:color w:val="auto"/>
          <w:szCs w:val="21"/>
          <w:highlight w:val="none"/>
        </w:rPr>
        <w:t>条款号：13.6.4                      修改类型：修改</w:t>
      </w:r>
    </w:p>
    <w:p w14:paraId="6350F611">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3AFE6FA8">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13.6.4在工程实施中，暂估价所包含的工作范围和图纸、标准深化固定后，按照工程专业、设备、材料类别等分类汇总的金额，未达到法定招标范围标准也不适用政府采购规定，</w:t>
      </w:r>
      <w:r>
        <w:rPr>
          <w:rFonts w:hint="eastAsia" w:cs="宋体"/>
          <w:color w:val="auto"/>
          <w:szCs w:val="21"/>
          <w:highlight w:val="none"/>
          <w:u w:val="single"/>
        </w:rPr>
        <w:t>经发包人同意</w:t>
      </w:r>
      <w:r>
        <w:rPr>
          <w:rFonts w:hint="eastAsia" w:cs="宋体"/>
          <w:color w:val="auto"/>
          <w:szCs w:val="21"/>
          <w:highlight w:val="none"/>
          <w:u w:val="none"/>
        </w:rPr>
        <w:t>，承包人有法定的承包资格的，由承包人承包，承包人无法定的承包资格但有法定的分包权的，由承包人分包，招标人同承包人结算的价格按本投标须知13.5款规定确定。</w:t>
      </w:r>
    </w:p>
    <w:p w14:paraId="0FC536DA">
      <w:pPr>
        <w:spacing w:line="360" w:lineRule="auto"/>
        <w:ind w:firstLine="411" w:firstLineChars="195"/>
        <w:rPr>
          <w:rFonts w:cs="宋体"/>
          <w:b/>
          <w:color w:val="auto"/>
          <w:szCs w:val="21"/>
          <w:highlight w:val="none"/>
        </w:rPr>
      </w:pPr>
      <w:r>
        <w:rPr>
          <w:rFonts w:hint="eastAsia" w:cs="宋体"/>
          <w:b/>
          <w:color w:val="auto"/>
          <w:szCs w:val="21"/>
          <w:highlight w:val="none"/>
        </w:rPr>
        <w:t>条款号：13.8                      修改类型：修改</w:t>
      </w:r>
    </w:p>
    <w:p w14:paraId="23E4323B">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7EB76561">
      <w:pPr>
        <w:pStyle w:val="25"/>
        <w:pBdr>
          <w:bottom w:val="single" w:color="auto" w:sz="6" w:space="1"/>
        </w:pBdr>
        <w:spacing w:after="0" w:line="360" w:lineRule="auto"/>
        <w:ind w:firstLine="392" w:firstLineChars="195"/>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 w:val="21"/>
          <w:szCs w:val="21"/>
          <w:highlight w:val="none"/>
          <w:u w:val="single"/>
        </w:rPr>
        <w:t>13.8本工程采用的主要材料推荐选用《琴澳创新产业园一期主体工程泛光照明工程材料设备品牌参考表》品牌或选用相当于该档次（或以上）的产品。实施期间，所有材料品牌选择均须报发包人、监理工程师确认，所有材料及成品质量必须满足设计与规范要求，且经检验合格后方可使用。</w:t>
      </w:r>
    </w:p>
    <w:p w14:paraId="7C5651D1">
      <w:pPr>
        <w:spacing w:line="360" w:lineRule="auto"/>
        <w:ind w:firstLine="422" w:firstLineChars="200"/>
        <w:rPr>
          <w:rFonts w:cs="宋体"/>
          <w:b/>
          <w:color w:val="auto"/>
          <w:szCs w:val="21"/>
          <w:highlight w:val="none"/>
        </w:rPr>
      </w:pPr>
      <w:r>
        <w:rPr>
          <w:rFonts w:hint="eastAsia" w:cs="宋体"/>
          <w:b/>
          <w:color w:val="auto"/>
          <w:szCs w:val="21"/>
          <w:highlight w:val="none"/>
        </w:rPr>
        <w:t>条款号：16.1-16.5                        修改类型：修改</w:t>
      </w:r>
    </w:p>
    <w:p w14:paraId="27E4C2D7">
      <w:pPr>
        <w:spacing w:line="360" w:lineRule="auto"/>
        <w:ind w:firstLine="422" w:firstLineChars="200"/>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5C872022">
      <w:pPr>
        <w:spacing w:line="360" w:lineRule="auto"/>
        <w:ind w:firstLine="420" w:firstLineChars="200"/>
        <w:rPr>
          <w:rFonts w:cs="宋体"/>
          <w:color w:val="auto"/>
          <w:szCs w:val="21"/>
          <w:highlight w:val="none"/>
        </w:rPr>
      </w:pPr>
      <w:r>
        <w:rPr>
          <w:rFonts w:hint="eastAsia" w:cs="宋体"/>
          <w:color w:val="auto"/>
          <w:szCs w:val="21"/>
          <w:highlight w:val="none"/>
        </w:rPr>
        <w:t>16.1.1 采用现金或者支票形式提交的，投标保证金须从投标人的银行基本账户转出。</w:t>
      </w:r>
    </w:p>
    <w:p w14:paraId="4A350EC2">
      <w:pPr>
        <w:spacing w:line="360" w:lineRule="auto"/>
        <w:ind w:firstLine="420" w:firstLineChars="200"/>
        <w:rPr>
          <w:rFonts w:cs="宋体"/>
          <w:color w:val="auto"/>
          <w:szCs w:val="21"/>
          <w:highlight w:val="none"/>
        </w:rPr>
      </w:pPr>
      <w:r>
        <w:rPr>
          <w:rFonts w:hint="eastAsia"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6D730FD">
      <w:pPr>
        <w:spacing w:line="360" w:lineRule="auto"/>
        <w:ind w:firstLine="420" w:firstLineChars="200"/>
        <w:rPr>
          <w:rFonts w:cs="宋体"/>
          <w:color w:val="auto"/>
          <w:szCs w:val="21"/>
          <w:highlight w:val="none"/>
        </w:rPr>
      </w:pPr>
      <w:r>
        <w:rPr>
          <w:rFonts w:hint="eastAsia" w:cs="宋体"/>
          <w:color w:val="auto"/>
          <w:szCs w:val="21"/>
          <w:highlight w:val="none"/>
        </w:rPr>
        <w:t>16.1.3 采用电子形式的保函、担保或保证保险提交投标保证金的，应在招标文件中明确电子递交途径。</w:t>
      </w:r>
    </w:p>
    <w:p w14:paraId="6FB7F332">
      <w:pPr>
        <w:spacing w:line="360" w:lineRule="auto"/>
        <w:ind w:firstLine="420" w:firstLineChars="200"/>
        <w:rPr>
          <w:rFonts w:cs="宋体"/>
          <w:color w:val="auto"/>
          <w:szCs w:val="21"/>
          <w:highlight w:val="none"/>
        </w:rPr>
      </w:pPr>
      <w:r>
        <w:rPr>
          <w:rFonts w:hint="eastAsia"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611088FA">
      <w:pPr>
        <w:spacing w:line="360" w:lineRule="auto"/>
        <w:ind w:firstLine="420" w:firstLineChars="200"/>
        <w:rPr>
          <w:rFonts w:cs="宋体"/>
          <w:color w:val="auto"/>
          <w:szCs w:val="21"/>
          <w:highlight w:val="none"/>
        </w:rPr>
      </w:pPr>
      <w:r>
        <w:rPr>
          <w:rFonts w:hint="eastAsia" w:cs="宋体"/>
          <w:color w:val="auto"/>
          <w:szCs w:val="21"/>
          <w:highlight w:val="none"/>
        </w:rPr>
        <w:t>16.3投标保证金应依据法律法规的相关规定退还。</w:t>
      </w:r>
    </w:p>
    <w:p w14:paraId="394C0305">
      <w:pPr>
        <w:spacing w:line="360" w:lineRule="auto"/>
        <w:ind w:firstLine="420" w:firstLineChars="200"/>
        <w:rPr>
          <w:rFonts w:cs="宋体"/>
          <w:color w:val="auto"/>
          <w:szCs w:val="21"/>
          <w:highlight w:val="none"/>
        </w:rPr>
      </w:pPr>
      <w:r>
        <w:rPr>
          <w:rFonts w:hint="eastAsia" w:cs="宋体"/>
          <w:color w:val="auto"/>
          <w:szCs w:val="21"/>
          <w:highlight w:val="none"/>
        </w:rPr>
        <w:t>16.4如有下列情况之一的，招标人可以不予退还投标保证金（是否退还投标保证金由招标人在招标文件中规定）：</w:t>
      </w:r>
    </w:p>
    <w:p w14:paraId="4E3B006F">
      <w:pPr>
        <w:spacing w:line="360" w:lineRule="auto"/>
        <w:ind w:firstLine="420" w:firstLineChars="200"/>
        <w:rPr>
          <w:rFonts w:cs="宋体"/>
          <w:color w:val="auto"/>
          <w:szCs w:val="21"/>
          <w:highlight w:val="none"/>
        </w:rPr>
      </w:pPr>
      <w:r>
        <w:rPr>
          <w:rFonts w:hint="eastAsia" w:cs="宋体"/>
          <w:color w:val="auto"/>
          <w:szCs w:val="21"/>
          <w:highlight w:val="none"/>
        </w:rPr>
        <w:t>16.4.1因投标人原因造成投标文件未解密的；</w:t>
      </w:r>
    </w:p>
    <w:p w14:paraId="2C223838">
      <w:pPr>
        <w:spacing w:line="360" w:lineRule="auto"/>
        <w:ind w:firstLine="420" w:firstLineChars="200"/>
        <w:rPr>
          <w:rFonts w:cs="宋体"/>
          <w:color w:val="auto"/>
          <w:szCs w:val="21"/>
          <w:highlight w:val="none"/>
        </w:rPr>
      </w:pPr>
      <w:r>
        <w:rPr>
          <w:rFonts w:hint="eastAsia" w:cs="宋体"/>
          <w:color w:val="auto"/>
          <w:szCs w:val="21"/>
          <w:highlight w:val="none"/>
        </w:rPr>
        <w:t>16.4.2投标人在投标有效期内撤销投标文件；</w:t>
      </w:r>
    </w:p>
    <w:p w14:paraId="0596C911">
      <w:pPr>
        <w:spacing w:line="360" w:lineRule="auto"/>
        <w:ind w:firstLine="420" w:firstLineChars="200"/>
        <w:rPr>
          <w:rFonts w:cs="宋体"/>
          <w:color w:val="auto"/>
          <w:szCs w:val="21"/>
          <w:highlight w:val="none"/>
        </w:rPr>
      </w:pPr>
      <w:r>
        <w:rPr>
          <w:rFonts w:hint="eastAsia" w:cs="宋体"/>
          <w:color w:val="auto"/>
          <w:szCs w:val="21"/>
          <w:highlight w:val="none"/>
        </w:rPr>
        <w:t>16.4.3中标人未能在规定期限内按要求提交履约担保；</w:t>
      </w:r>
    </w:p>
    <w:p w14:paraId="0F2ED3F4">
      <w:pPr>
        <w:spacing w:line="360" w:lineRule="auto"/>
        <w:ind w:firstLine="420" w:firstLineChars="200"/>
        <w:rPr>
          <w:rFonts w:cs="宋体"/>
          <w:color w:val="auto"/>
          <w:szCs w:val="21"/>
          <w:highlight w:val="none"/>
        </w:rPr>
      </w:pPr>
      <w:r>
        <w:rPr>
          <w:rFonts w:hint="eastAsia" w:cs="宋体"/>
          <w:color w:val="auto"/>
          <w:szCs w:val="21"/>
          <w:highlight w:val="none"/>
        </w:rPr>
        <w:t>16.4.4中标人未能在规定期限内签署合同协议。</w:t>
      </w:r>
    </w:p>
    <w:p w14:paraId="3E18AB39">
      <w:pPr>
        <w:spacing w:line="360" w:lineRule="auto"/>
        <w:ind w:firstLine="420" w:firstLineChars="200"/>
        <w:rPr>
          <w:rFonts w:cs="宋体"/>
          <w:color w:val="auto"/>
          <w:szCs w:val="21"/>
          <w:highlight w:val="none"/>
        </w:rPr>
      </w:pPr>
      <w:r>
        <w:rPr>
          <w:rFonts w:hint="eastAsia" w:cs="宋体"/>
          <w:color w:val="auto"/>
          <w:szCs w:val="21"/>
          <w:highlight w:val="none"/>
        </w:rPr>
        <w:t>16.5投标人如存在下列情况之一的，将被拒绝在一定时期内参与招标人后续工程投标（拒绝时限需在招标文件中明确）：</w:t>
      </w:r>
    </w:p>
    <w:p w14:paraId="3DB57FD0">
      <w:pPr>
        <w:spacing w:line="360" w:lineRule="auto"/>
        <w:ind w:firstLine="420" w:firstLineChars="200"/>
        <w:rPr>
          <w:rFonts w:cs="宋体"/>
          <w:color w:val="auto"/>
          <w:szCs w:val="21"/>
          <w:highlight w:val="none"/>
        </w:rPr>
      </w:pPr>
      <w:r>
        <w:rPr>
          <w:rFonts w:hint="eastAsia" w:cs="宋体"/>
          <w:color w:val="auto"/>
          <w:szCs w:val="21"/>
          <w:highlight w:val="none"/>
        </w:rPr>
        <w:t>16.5.1投标人存在16.4条款所列情形且投标人提交的保函、担保或保证保险无法兑付的；</w:t>
      </w:r>
    </w:p>
    <w:p w14:paraId="3A9CC0DD">
      <w:pPr>
        <w:spacing w:line="360" w:lineRule="auto"/>
        <w:ind w:firstLine="420" w:firstLineChars="200"/>
        <w:rPr>
          <w:rFonts w:cs="宋体"/>
          <w:color w:val="auto"/>
          <w:szCs w:val="21"/>
          <w:highlight w:val="none"/>
        </w:rPr>
      </w:pPr>
      <w:r>
        <w:rPr>
          <w:rFonts w:hint="eastAsia" w:cs="宋体"/>
          <w:color w:val="auto"/>
          <w:szCs w:val="21"/>
          <w:highlight w:val="none"/>
        </w:rPr>
        <w:t>16.5.2采用非电子形式提交投标保证金的投标人存在16.4条款所列情形，且未按招标人要求补交银行保函、专业工程担保公司担保或保证保险原件的；</w:t>
      </w:r>
    </w:p>
    <w:p w14:paraId="4F5F3211">
      <w:pPr>
        <w:spacing w:line="360" w:lineRule="auto"/>
        <w:ind w:firstLine="420" w:firstLineChars="200"/>
        <w:rPr>
          <w:rFonts w:cs="宋体"/>
          <w:color w:val="auto"/>
          <w:szCs w:val="21"/>
          <w:highlight w:val="none"/>
        </w:rPr>
      </w:pPr>
      <w:r>
        <w:rPr>
          <w:rFonts w:hint="eastAsia" w:cs="宋体"/>
          <w:color w:val="auto"/>
          <w:szCs w:val="21"/>
          <w:highlight w:val="none"/>
        </w:rPr>
        <w:t>16.5.3按招标文件要求免于提供投标保证金的投标人存在16.4条款所列情形，且未按招标人要求补交投标保证金的；</w:t>
      </w:r>
    </w:p>
    <w:p w14:paraId="63F3B935">
      <w:pPr>
        <w:spacing w:line="360" w:lineRule="auto"/>
        <w:ind w:firstLine="420" w:firstLineChars="200"/>
        <w:rPr>
          <w:rFonts w:cs="宋体"/>
          <w:color w:val="auto"/>
          <w:szCs w:val="21"/>
          <w:highlight w:val="none"/>
        </w:rPr>
      </w:pPr>
      <w:r>
        <w:rPr>
          <w:rFonts w:hint="eastAsia" w:cs="宋体"/>
          <w:color w:val="auto"/>
          <w:szCs w:val="21"/>
          <w:highlight w:val="none"/>
        </w:rPr>
        <w:t>16.5.3按招标文件要求免于提供投标保证金的投标人存在16.4条款所列情形的。</w:t>
      </w:r>
    </w:p>
    <w:p w14:paraId="7A127ED3">
      <w:pPr>
        <w:spacing w:line="360" w:lineRule="auto"/>
        <w:ind w:firstLine="420" w:firstLineChars="200"/>
        <w:rPr>
          <w:rFonts w:cs="宋体"/>
          <w:color w:val="auto"/>
          <w:szCs w:val="21"/>
          <w:highlight w:val="none"/>
        </w:rPr>
      </w:pPr>
      <w:r>
        <w:rPr>
          <w:rFonts w:hint="eastAsia" w:cs="宋体"/>
          <w:color w:val="auto"/>
          <w:szCs w:val="21"/>
          <w:highlight w:val="none"/>
        </w:rPr>
        <w:t>注：16.5.3款由招标人二选一，需在招标文件中明确。</w:t>
      </w:r>
    </w:p>
    <w:p w14:paraId="7913E4C3">
      <w:pPr>
        <w:pStyle w:val="46"/>
        <w:spacing w:line="500" w:lineRule="exact"/>
        <w:ind w:firstLine="482"/>
        <w:rPr>
          <w:rFonts w:ascii="宋体" w:hAnsi="宋体"/>
          <w:b/>
          <w:bCs/>
          <w:color w:val="auto"/>
          <w:sz w:val="21"/>
          <w:szCs w:val="21"/>
          <w:highlight w:val="none"/>
        </w:rPr>
      </w:pPr>
      <w:r>
        <w:rPr>
          <w:rFonts w:hint="eastAsia" w:cs="宋体"/>
          <w:b/>
          <w:color w:val="auto"/>
          <w:sz w:val="21"/>
          <w:szCs w:val="21"/>
          <w:highlight w:val="none"/>
        </w:rPr>
        <w:t>现文：</w:t>
      </w:r>
      <w:r>
        <w:rPr>
          <w:rFonts w:hint="eastAsia" w:ascii="宋体" w:hAnsi="宋体"/>
          <w:color w:val="auto"/>
          <w:sz w:val="21"/>
          <w:szCs w:val="21"/>
          <w:highlight w:val="none"/>
        </w:rPr>
        <w:t>16.1投标人应按投标须知前附表第14项所述金额和时间递交投标保证金。</w:t>
      </w:r>
      <w:r>
        <w:rPr>
          <w:rFonts w:hint="eastAsia" w:ascii="宋体" w:hAnsi="宋体"/>
          <w:b w:val="0"/>
          <w:bCs w:val="0"/>
          <w:color w:val="auto"/>
          <w:sz w:val="21"/>
          <w:szCs w:val="21"/>
          <w:highlight w:val="none"/>
          <w:u w:val="single"/>
        </w:rPr>
        <w:t>允许投标人自主选择现金、银行保函、保证保险、专业工程担保公司担保等方式缴纳投标保证金。</w:t>
      </w:r>
    </w:p>
    <w:p w14:paraId="521803B7">
      <w:pPr>
        <w:pStyle w:val="46"/>
        <w:spacing w:line="500" w:lineRule="exact"/>
        <w:ind w:firstLine="480"/>
        <w:rPr>
          <w:rFonts w:ascii="宋体" w:hAnsi="宋体"/>
          <w:bCs/>
          <w:color w:val="auto"/>
          <w:sz w:val="21"/>
          <w:szCs w:val="21"/>
          <w:highlight w:val="none"/>
          <w:u w:val="single"/>
        </w:rPr>
      </w:pPr>
      <w:r>
        <w:rPr>
          <w:rFonts w:hint="eastAsia" w:ascii="宋体" w:hAnsi="宋体"/>
          <w:bCs/>
          <w:color w:val="auto"/>
          <w:sz w:val="21"/>
          <w:szCs w:val="21"/>
          <w:highlight w:val="none"/>
        </w:rPr>
        <w:t>16.1.1 采用现金</w:t>
      </w:r>
      <w:r>
        <w:rPr>
          <w:rFonts w:hint="eastAsia" w:ascii="宋体" w:hAnsi="宋体"/>
          <w:b w:val="0"/>
          <w:bCs w:val="0"/>
          <w:color w:val="auto"/>
          <w:sz w:val="21"/>
          <w:szCs w:val="21"/>
          <w:highlight w:val="none"/>
        </w:rPr>
        <w:t>或者支票</w:t>
      </w:r>
      <w:r>
        <w:rPr>
          <w:rFonts w:hint="eastAsia" w:ascii="宋体" w:hAnsi="宋体"/>
          <w:bCs/>
          <w:color w:val="auto"/>
          <w:sz w:val="21"/>
          <w:szCs w:val="21"/>
          <w:highlight w:val="none"/>
        </w:rPr>
        <w:t>形式提交的，投标保证金须从投标人的银行基本账户转出。</w:t>
      </w:r>
      <w:r>
        <w:rPr>
          <w:rFonts w:hint="eastAsia" w:ascii="宋体" w:hAnsi="宋体"/>
          <w:bCs/>
          <w:color w:val="auto"/>
          <w:sz w:val="21"/>
          <w:szCs w:val="21"/>
          <w:highlight w:val="none"/>
          <w:u w:val="single"/>
        </w:rPr>
        <w:t>由广州公共资源交易中心代收。缴纳情况以开标时广州公共资源交易中心网站查询为准。具体操作流程详见广州公共资源交易中心最新的投标保证金缴纳操作指引或自行咨询交易中心。</w:t>
      </w:r>
    </w:p>
    <w:p w14:paraId="01C85AB3">
      <w:pPr>
        <w:pStyle w:val="46"/>
        <w:spacing w:line="500" w:lineRule="exact"/>
        <w:ind w:firstLine="480"/>
        <w:rPr>
          <w:rFonts w:hint="eastAsia" w:ascii="宋体" w:hAnsi="宋体"/>
          <w:b/>
          <w:color w:val="auto"/>
          <w:sz w:val="21"/>
          <w:szCs w:val="21"/>
          <w:highlight w:val="none"/>
        </w:rPr>
      </w:pPr>
      <w:r>
        <w:rPr>
          <w:rFonts w:hint="eastAsia" w:ascii="宋体" w:hAnsi="宋体"/>
          <w:bCs/>
          <w:color w:val="auto"/>
          <w:sz w:val="21"/>
          <w:szCs w:val="21"/>
          <w:highlight w:val="none"/>
        </w:rPr>
        <w:t>16.1.2 依法必须招标的房屋建筑工程如采用非电子形式的</w:t>
      </w:r>
      <w:r>
        <w:rPr>
          <w:rFonts w:hint="eastAsia" w:ascii="宋体" w:hAnsi="宋体"/>
          <w:b w:val="0"/>
          <w:bCs w:val="0"/>
          <w:color w:val="auto"/>
          <w:sz w:val="21"/>
          <w:szCs w:val="21"/>
          <w:highlight w:val="none"/>
          <w:u w:val="single"/>
        </w:rPr>
        <w:t>银行保函、专业工程担保公司担保或保证保险</w:t>
      </w:r>
      <w:r>
        <w:rPr>
          <w:rFonts w:hint="eastAsia" w:ascii="宋体" w:hAnsi="宋体"/>
          <w:bCs/>
          <w:color w:val="auto"/>
          <w:sz w:val="21"/>
          <w:szCs w:val="21"/>
          <w:highlight w:val="none"/>
        </w:rPr>
        <w:t>提交投标保证金的，在开标前不强制要求投标人提交纸质原件，由中标候选人在中标候选人公示前提交并在网上公示，投标人应在投标文件中提交</w:t>
      </w:r>
      <w:r>
        <w:rPr>
          <w:rFonts w:hint="eastAsia" w:ascii="宋体" w:hAnsi="宋体"/>
          <w:b w:val="0"/>
          <w:bCs w:val="0"/>
          <w:color w:val="auto"/>
          <w:sz w:val="21"/>
          <w:szCs w:val="21"/>
          <w:highlight w:val="none"/>
          <w:u w:val="single"/>
        </w:rPr>
        <w:t>保函、担保或保证保险</w:t>
      </w:r>
      <w:r>
        <w:rPr>
          <w:rFonts w:hint="eastAsia" w:ascii="宋体" w:hAnsi="宋体"/>
          <w:bCs/>
          <w:color w:val="auto"/>
          <w:sz w:val="21"/>
          <w:szCs w:val="21"/>
          <w:highlight w:val="none"/>
        </w:rPr>
        <w:t>扫描件并加盖投标人电子印章。</w:t>
      </w:r>
      <w:r>
        <w:rPr>
          <w:rFonts w:hint="eastAsia" w:ascii="宋体" w:hAnsi="宋体"/>
          <w:b w:val="0"/>
          <w:bCs/>
          <w:color w:val="auto"/>
          <w:sz w:val="21"/>
          <w:szCs w:val="21"/>
          <w:highlight w:val="none"/>
        </w:rPr>
        <w:t>如投标人存在16.4条款所列情形的，应将纸质原件提交给招标人。</w:t>
      </w:r>
    </w:p>
    <w:p w14:paraId="7BE9093E">
      <w:pPr>
        <w:pStyle w:val="46"/>
        <w:spacing w:line="500" w:lineRule="exact"/>
        <w:ind w:firstLine="480"/>
        <w:rPr>
          <w:rFonts w:hint="eastAsia" w:ascii="宋体" w:hAnsi="宋体"/>
          <w:b w:val="0"/>
          <w:bCs/>
          <w:color w:val="auto"/>
          <w:sz w:val="21"/>
          <w:szCs w:val="21"/>
          <w:highlight w:val="none"/>
        </w:rPr>
      </w:pPr>
      <w:r>
        <w:rPr>
          <w:rFonts w:hint="eastAsia" w:ascii="宋体" w:hAnsi="宋体"/>
          <w:b w:val="0"/>
          <w:bCs/>
          <w:color w:val="auto"/>
          <w:sz w:val="21"/>
          <w:szCs w:val="21"/>
          <w:highlight w:val="none"/>
        </w:rPr>
        <w:t>16.1.3 采用电子形式的保函、担保或保证保险提交投标保证金的，</w:t>
      </w:r>
      <w:r>
        <w:rPr>
          <w:rFonts w:hint="eastAsia" w:ascii="宋体" w:hAnsi="宋体"/>
          <w:b w:val="0"/>
          <w:bCs/>
          <w:color w:val="auto"/>
          <w:sz w:val="21"/>
          <w:szCs w:val="21"/>
          <w:highlight w:val="none"/>
          <w:u w:val="single"/>
        </w:rPr>
        <w:t>按广州公共资源交易中心发布的《广州公共资源交易中心关于开通电子保函服务功能的通知》操作。详见：</w:t>
      </w:r>
      <w:r>
        <w:rPr>
          <w:rFonts w:hint="eastAsia" w:ascii="宋体" w:hAnsi="宋体"/>
          <w:bCs/>
          <w:color w:val="auto"/>
          <w:szCs w:val="21"/>
          <w:highlight w:val="none"/>
          <w:u w:val="single"/>
        </w:rPr>
        <w:t>http://www.gzggzy.cn/jtgg/822128.jhtml</w:t>
      </w:r>
      <w:r>
        <w:rPr>
          <w:rFonts w:hint="eastAsia" w:ascii="宋体" w:hAnsi="宋体"/>
          <w:b w:val="0"/>
          <w:bCs/>
          <w:color w:val="auto"/>
          <w:sz w:val="21"/>
          <w:szCs w:val="21"/>
          <w:highlight w:val="none"/>
          <w:u w:val="single"/>
        </w:rPr>
        <w:t>。到账情况以开标时广州公共资源交易中心数据库查询信息为准</w:t>
      </w:r>
      <w:r>
        <w:rPr>
          <w:rFonts w:hint="eastAsia" w:ascii="宋体" w:hAnsi="宋体"/>
          <w:b w:val="0"/>
          <w:bCs/>
          <w:color w:val="auto"/>
          <w:sz w:val="21"/>
          <w:szCs w:val="21"/>
          <w:highlight w:val="none"/>
        </w:rPr>
        <w:t>。</w:t>
      </w:r>
    </w:p>
    <w:p w14:paraId="54F92C8A">
      <w:pPr>
        <w:pStyle w:val="46"/>
        <w:spacing w:line="500" w:lineRule="exact"/>
        <w:ind w:firstLine="480"/>
        <w:rPr>
          <w:rFonts w:hint="eastAsia" w:ascii="宋体" w:hAnsi="宋体"/>
          <w:b/>
          <w:bCs/>
          <w:color w:val="auto"/>
          <w:sz w:val="21"/>
          <w:szCs w:val="21"/>
          <w:highlight w:val="none"/>
        </w:rPr>
      </w:pPr>
      <w:r>
        <w:rPr>
          <w:rFonts w:hint="eastAsia" w:ascii="宋体" w:hAnsi="宋体"/>
          <w:color w:val="auto"/>
          <w:sz w:val="21"/>
          <w:szCs w:val="21"/>
          <w:highlight w:val="none"/>
        </w:rPr>
        <w:t>16.2开标时投标人没有按要求提供投标保证金的，其投标文件将被否决</w:t>
      </w:r>
      <w:r>
        <w:rPr>
          <w:rFonts w:hint="eastAsia" w:ascii="宋体" w:hAnsi="宋体"/>
          <w:b w:val="0"/>
          <w:bCs w:val="0"/>
          <w:strike w:val="0"/>
          <w:dstrike w:val="0"/>
          <w:color w:val="auto"/>
          <w:sz w:val="21"/>
          <w:szCs w:val="21"/>
          <w:highlight w:val="none"/>
        </w:rPr>
        <w:t>；未按招标文件要求提交符合免予提供投标保证金相关证明材料，且未提交投标保证金的投标人，视为未按要求提供投标保证金</w:t>
      </w:r>
      <w:r>
        <w:rPr>
          <w:rFonts w:hint="eastAsia" w:ascii="宋体" w:hAnsi="宋体"/>
          <w:b/>
          <w:bCs/>
          <w:strike w:val="0"/>
          <w:color w:val="auto"/>
          <w:sz w:val="21"/>
          <w:szCs w:val="21"/>
          <w:highlight w:val="none"/>
        </w:rPr>
        <w:t>。</w:t>
      </w:r>
    </w:p>
    <w:p w14:paraId="1BB2E58F">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16.3投标保证金应依据法律法规的相关规定退还。</w:t>
      </w:r>
    </w:p>
    <w:p w14:paraId="6828827B">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16.4如有下列情况之一的，招标人不予退还投标保证金：</w:t>
      </w:r>
    </w:p>
    <w:p w14:paraId="447011C1">
      <w:pPr>
        <w:pBdr>
          <w:bottom w:val="single" w:color="auto" w:sz="6" w:space="22"/>
        </w:pBdr>
        <w:spacing w:line="360" w:lineRule="auto"/>
        <w:ind w:firstLine="420" w:firstLineChars="200"/>
        <w:rPr>
          <w:rFonts w:hint="eastAsia" w:eastAsia="宋体" w:cs="宋体"/>
          <w:color w:val="auto"/>
          <w:szCs w:val="21"/>
          <w:highlight w:val="none"/>
          <w:lang w:eastAsia="zh-CN"/>
        </w:rPr>
      </w:pPr>
      <w:r>
        <w:rPr>
          <w:rFonts w:hint="eastAsia" w:cs="宋体"/>
          <w:color w:val="auto"/>
          <w:szCs w:val="21"/>
          <w:highlight w:val="none"/>
        </w:rPr>
        <w:t>16.4.1</w:t>
      </w:r>
      <w:r>
        <w:rPr>
          <w:rFonts w:hint="eastAsia" w:cs="宋体"/>
          <w:color w:val="auto"/>
          <w:szCs w:val="21"/>
          <w:highlight w:val="none"/>
          <w:u w:val="none"/>
        </w:rPr>
        <w:t>因投标人原因造成投标文件未解密的</w:t>
      </w:r>
      <w:r>
        <w:rPr>
          <w:rFonts w:hint="eastAsia" w:cs="宋体"/>
          <w:color w:val="auto"/>
          <w:szCs w:val="21"/>
          <w:highlight w:val="none"/>
          <w:u w:val="none"/>
          <w:lang w:eastAsia="zh-CN"/>
        </w:rPr>
        <w:t>；</w:t>
      </w:r>
    </w:p>
    <w:p w14:paraId="06104660">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16.4.</w:t>
      </w:r>
      <w:r>
        <w:rPr>
          <w:rFonts w:hint="eastAsia" w:cs="宋体"/>
          <w:color w:val="auto"/>
          <w:szCs w:val="21"/>
          <w:highlight w:val="none"/>
          <w:lang w:val="en-US" w:eastAsia="zh-CN"/>
        </w:rPr>
        <w:t>2</w:t>
      </w:r>
      <w:r>
        <w:rPr>
          <w:rFonts w:hint="eastAsia" w:cs="宋体"/>
          <w:color w:val="auto"/>
          <w:szCs w:val="21"/>
          <w:highlight w:val="none"/>
          <w:u w:val="single"/>
        </w:rPr>
        <w:t>投标人在投标有效期内撤销投标文件或放弃中标资格的</w:t>
      </w:r>
      <w:r>
        <w:rPr>
          <w:rFonts w:hint="eastAsia" w:cs="宋体"/>
          <w:color w:val="auto"/>
          <w:szCs w:val="21"/>
          <w:highlight w:val="none"/>
        </w:rPr>
        <w:t>；</w:t>
      </w:r>
    </w:p>
    <w:p w14:paraId="06C6B15D">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16.4.</w:t>
      </w:r>
      <w:r>
        <w:rPr>
          <w:rFonts w:hint="eastAsia" w:cs="宋体"/>
          <w:color w:val="auto"/>
          <w:szCs w:val="21"/>
          <w:highlight w:val="none"/>
          <w:lang w:val="en-US" w:eastAsia="zh-CN"/>
        </w:rPr>
        <w:t>3</w:t>
      </w:r>
      <w:r>
        <w:rPr>
          <w:rFonts w:hint="eastAsia" w:cs="宋体"/>
          <w:color w:val="auto"/>
          <w:szCs w:val="21"/>
          <w:highlight w:val="none"/>
          <w:u w:val="none"/>
        </w:rPr>
        <w:t>中标人未能在规定期限内按要求提交履约担保；</w:t>
      </w:r>
    </w:p>
    <w:p w14:paraId="0AADA945">
      <w:pPr>
        <w:pBdr>
          <w:bottom w:val="single" w:color="auto" w:sz="6" w:space="22"/>
        </w:pBdr>
        <w:spacing w:line="360" w:lineRule="auto"/>
        <w:ind w:firstLine="420" w:firstLineChars="200"/>
        <w:rPr>
          <w:rFonts w:hint="default" w:eastAsia="宋体" w:cs="宋体"/>
          <w:color w:val="auto"/>
          <w:szCs w:val="21"/>
          <w:highlight w:val="none"/>
          <w:u w:val="none"/>
          <w:lang w:val="en-US" w:eastAsia="zh-CN"/>
        </w:rPr>
      </w:pPr>
      <w:r>
        <w:rPr>
          <w:rFonts w:hint="eastAsia" w:cs="宋体"/>
          <w:color w:val="auto"/>
          <w:szCs w:val="21"/>
          <w:highlight w:val="none"/>
          <w:lang w:val="en-US" w:eastAsia="zh-CN"/>
        </w:rPr>
        <w:t>16.4.4</w:t>
      </w:r>
      <w:r>
        <w:rPr>
          <w:rFonts w:hint="eastAsia" w:cs="宋体"/>
          <w:color w:val="auto"/>
          <w:szCs w:val="21"/>
          <w:highlight w:val="none"/>
          <w:u w:val="none"/>
          <w:lang w:val="en-US" w:eastAsia="zh-CN"/>
        </w:rPr>
        <w:t>中标人未能在规定期限内签署合同协议</w:t>
      </w:r>
    </w:p>
    <w:p w14:paraId="2E3B29D5">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16.4.</w:t>
      </w:r>
      <w:r>
        <w:rPr>
          <w:rFonts w:hint="eastAsia" w:cs="宋体"/>
          <w:color w:val="auto"/>
          <w:szCs w:val="21"/>
          <w:highlight w:val="none"/>
          <w:lang w:val="en-US" w:eastAsia="zh-CN"/>
        </w:rPr>
        <w:t>5</w:t>
      </w:r>
      <w:r>
        <w:rPr>
          <w:rFonts w:hint="eastAsia" w:cs="宋体"/>
          <w:color w:val="auto"/>
          <w:szCs w:val="21"/>
          <w:highlight w:val="none"/>
          <w:u w:val="single"/>
        </w:rPr>
        <w:t>投标人弄虚作假骗取中标的</w:t>
      </w:r>
      <w:r>
        <w:rPr>
          <w:rFonts w:hint="eastAsia" w:cs="宋体"/>
          <w:color w:val="auto"/>
          <w:szCs w:val="21"/>
          <w:highlight w:val="none"/>
        </w:rPr>
        <w:t>。</w:t>
      </w:r>
    </w:p>
    <w:p w14:paraId="469DD117">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16.5投标人如存在下列情况之一的，将被拒绝在1年内参与招标人后续工程投标：</w:t>
      </w:r>
    </w:p>
    <w:p w14:paraId="7A1AA8C9">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16.5.1投标人存在16.4条款所列情形且投标人提交的保函、担保或保证保险无法兑付的；</w:t>
      </w:r>
    </w:p>
    <w:p w14:paraId="5D5A6D21">
      <w:pPr>
        <w:pBdr>
          <w:bottom w:val="single" w:color="auto" w:sz="6" w:space="22"/>
        </w:pBdr>
        <w:spacing w:line="360" w:lineRule="auto"/>
        <w:ind w:firstLine="420" w:firstLineChars="200"/>
        <w:rPr>
          <w:rFonts w:cs="宋体"/>
          <w:color w:val="auto"/>
          <w:szCs w:val="21"/>
          <w:highlight w:val="none"/>
        </w:rPr>
      </w:pPr>
      <w:r>
        <w:rPr>
          <w:rFonts w:hint="eastAsia" w:cs="宋体"/>
          <w:color w:val="auto"/>
          <w:szCs w:val="21"/>
          <w:highlight w:val="none"/>
        </w:rPr>
        <w:t>16.5.2采用非电子形式提交投标保证金的投标人存在16.4条款所列情形，且未按招标人要求补交银行保函、专业工程担保公司担保或保证保险原件的；</w:t>
      </w:r>
    </w:p>
    <w:p w14:paraId="793DB629">
      <w:pPr>
        <w:spacing w:line="360" w:lineRule="auto"/>
        <w:ind w:firstLine="411" w:firstLineChars="195"/>
        <w:rPr>
          <w:rFonts w:cs="宋体"/>
          <w:b/>
          <w:color w:val="auto"/>
          <w:szCs w:val="21"/>
          <w:highlight w:val="none"/>
        </w:rPr>
      </w:pPr>
      <w:r>
        <w:rPr>
          <w:rFonts w:hint="eastAsia" w:cs="宋体"/>
          <w:b/>
          <w:color w:val="auto"/>
          <w:szCs w:val="21"/>
          <w:highlight w:val="none"/>
        </w:rPr>
        <w:t>条款号：17.1                        修改类型：修改</w:t>
      </w:r>
    </w:p>
    <w:p w14:paraId="23AA20BD">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cs="宋体"/>
          <w:color w:val="auto"/>
          <w:szCs w:val="21"/>
          <w:highlight w:val="none"/>
          <w:u w:val="single"/>
        </w:rPr>
        <w:t xml:space="preserve">             </w:t>
      </w:r>
      <w:r>
        <w:rPr>
          <w:rFonts w:hint="eastAsia" w:cs="宋体"/>
          <w:color w:val="auto"/>
          <w:szCs w:val="21"/>
          <w:highlight w:val="none"/>
        </w:rPr>
        <w:t>。</w:t>
      </w:r>
    </w:p>
    <w:p w14:paraId="6190802D">
      <w:pPr>
        <w:pBdr>
          <w:bottom w:val="single" w:color="auto" w:sz="6" w:space="1"/>
        </w:pBdr>
        <w:spacing w:line="360" w:lineRule="auto"/>
        <w:ind w:firstLine="411" w:firstLineChars="195"/>
        <w:rPr>
          <w:rFonts w:cs="宋体"/>
          <w:b/>
          <w:color w:val="auto"/>
          <w:szCs w:val="21"/>
          <w:highlight w:val="none"/>
        </w:rPr>
      </w:pPr>
      <w:r>
        <w:rPr>
          <w:rFonts w:hint="eastAsia" w:cs="宋体"/>
          <w:b/>
          <w:color w:val="auto"/>
          <w:szCs w:val="21"/>
          <w:highlight w:val="none"/>
        </w:rPr>
        <w:t>现文：</w:t>
      </w:r>
      <w:r>
        <w:rPr>
          <w:rFonts w:hint="eastAsia" w:cs="宋体"/>
          <w:color w:val="auto"/>
          <w:szCs w:val="21"/>
          <w:highlight w:val="none"/>
        </w:rPr>
        <w:t>17.1投标人应采用单位数字证书，</w:t>
      </w:r>
      <w:r>
        <w:rPr>
          <w:rFonts w:hint="eastAsia" w:cs="宋体"/>
          <w:b/>
          <w:bCs/>
          <w:color w:val="auto"/>
          <w:szCs w:val="21"/>
          <w:highlight w:val="none"/>
          <w:lang w:val="en-US" w:eastAsia="zh-CN"/>
        </w:rPr>
        <w:t>对投标文件</w:t>
      </w:r>
      <w:r>
        <w:rPr>
          <w:rFonts w:hint="eastAsia" w:cs="宋体"/>
          <w:color w:val="auto"/>
          <w:szCs w:val="21"/>
          <w:highlight w:val="none"/>
        </w:rPr>
        <w:t>加盖电子印章。投标文件中需个人签字或盖章的</w:t>
      </w:r>
      <w:r>
        <w:rPr>
          <w:rFonts w:hint="eastAsia" w:cs="宋体"/>
          <w:color w:val="auto"/>
          <w:szCs w:val="21"/>
          <w:highlight w:val="none"/>
          <w:lang w:eastAsia="zh-CN"/>
        </w:rPr>
        <w:t>，</w:t>
      </w:r>
      <w:r>
        <w:rPr>
          <w:rFonts w:hint="eastAsia" w:cs="宋体"/>
          <w:color w:val="auto"/>
          <w:szCs w:val="21"/>
          <w:highlight w:val="none"/>
        </w:rPr>
        <w:t>应加盖个人电子印章或在线下完成后扫描上传。按照</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cs="宋体"/>
          <w:color w:val="auto"/>
          <w:szCs w:val="21"/>
          <w:highlight w:val="none"/>
        </w:rPr>
        <w:t>。</w:t>
      </w:r>
    </w:p>
    <w:p w14:paraId="41597409">
      <w:pPr>
        <w:spacing w:line="360" w:lineRule="auto"/>
        <w:ind w:firstLine="411" w:firstLineChars="195"/>
        <w:rPr>
          <w:rFonts w:cs="宋体"/>
          <w:b/>
          <w:color w:val="auto"/>
          <w:szCs w:val="21"/>
          <w:highlight w:val="none"/>
        </w:rPr>
      </w:pPr>
      <w:r>
        <w:rPr>
          <w:rFonts w:hint="eastAsia" w:cs="宋体"/>
          <w:b/>
          <w:color w:val="auto"/>
          <w:szCs w:val="21"/>
          <w:highlight w:val="none"/>
        </w:rPr>
        <w:t>条款号：18.1                        修改类型：修改</w:t>
      </w:r>
    </w:p>
    <w:p w14:paraId="039D6CF3">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color w:val="auto"/>
          <w:szCs w:val="21"/>
          <w:highlight w:val="none"/>
        </w:rPr>
        <w:t>18.1</w:t>
      </w:r>
      <w:r>
        <w:rPr>
          <w:rFonts w:hint="eastAsia" w:cs="宋体"/>
          <w:bCs/>
          <w:color w:val="auto"/>
          <w:szCs w:val="21"/>
          <w:highlight w:val="none"/>
        </w:rPr>
        <w:t>递交的电子投标文件（不含备用光盘）必须进行加密。按照交易平台关于</w:t>
      </w:r>
      <w:r>
        <w:rPr>
          <w:rFonts w:hint="eastAsia" w:cs="宋体"/>
          <w:color w:val="auto"/>
          <w:szCs w:val="21"/>
          <w:highlight w:val="none"/>
        </w:rPr>
        <w:t>全流程电子化项目的相关指南进行操作。详见： 。</w:t>
      </w:r>
    </w:p>
    <w:p w14:paraId="2DBDA36D">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18.1</w:t>
      </w:r>
      <w:r>
        <w:rPr>
          <w:rFonts w:hint="eastAsia" w:cs="宋体"/>
          <w:bCs/>
          <w:color w:val="auto"/>
          <w:szCs w:val="21"/>
          <w:highlight w:val="none"/>
        </w:rPr>
        <w:t>递交的电子投标文件（不含备用</w:t>
      </w:r>
      <w:r>
        <w:rPr>
          <w:rFonts w:hint="eastAsia" w:cs="宋体"/>
          <w:bCs/>
          <w:color w:val="auto"/>
          <w:szCs w:val="21"/>
          <w:highlight w:val="none"/>
          <w:u w:val="single"/>
          <w:lang w:val="en-US" w:eastAsia="zh-CN"/>
        </w:rPr>
        <w:t>U盘/</w:t>
      </w:r>
      <w:r>
        <w:rPr>
          <w:rFonts w:hint="eastAsia" w:cs="宋体"/>
          <w:bCs/>
          <w:color w:val="auto"/>
          <w:szCs w:val="21"/>
          <w:highlight w:val="none"/>
        </w:rPr>
        <w:t>光盘）必须进行加密。按照</w:t>
      </w:r>
      <w:r>
        <w:rPr>
          <w:rFonts w:hint="eastAsia" w:cs="宋体"/>
          <w:color w:val="auto"/>
          <w:szCs w:val="21"/>
          <w:highlight w:val="none"/>
          <w:u w:val="single"/>
        </w:rPr>
        <w:t>广州交易集团有限公司（广州公共资源交易中心）</w:t>
      </w:r>
      <w:r>
        <w:rPr>
          <w:rFonts w:hint="eastAsia" w:cs="宋体"/>
          <w:bCs/>
          <w:color w:val="auto"/>
          <w:szCs w:val="21"/>
          <w:highlight w:val="none"/>
        </w:rPr>
        <w:t>交易平台关于</w:t>
      </w:r>
      <w:r>
        <w:rPr>
          <w:rFonts w:hint="eastAsia" w:cs="宋体"/>
          <w:color w:val="auto"/>
          <w:szCs w:val="21"/>
          <w:highlight w:val="none"/>
        </w:rPr>
        <w:t>全流程电子化项目的相关指南进行操作。详见：</w:t>
      </w:r>
      <w:r>
        <w:rPr>
          <w:rFonts w:hint="eastAsia" w:ascii="宋体" w:hAnsi="宋体" w:cs="宋体"/>
          <w:color w:val="auto"/>
          <w:szCs w:val="21"/>
          <w:highlight w:val="none"/>
          <w:u w:val="single"/>
        </w:rPr>
        <w:t>广州交易集团有限公司（广州公共资源交易中心）网站最新指引</w:t>
      </w:r>
      <w:r>
        <w:rPr>
          <w:rFonts w:hint="eastAsia" w:cs="宋体"/>
          <w:color w:val="auto"/>
          <w:szCs w:val="21"/>
          <w:highlight w:val="none"/>
        </w:rPr>
        <w:t>。</w:t>
      </w:r>
    </w:p>
    <w:p w14:paraId="07125CCC">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条款号：18.2                       修改类型：修改</w:t>
      </w:r>
    </w:p>
    <w:p w14:paraId="413983FE">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18.2</w:t>
      </w:r>
      <w:r>
        <w:rPr>
          <w:rFonts w:hint="eastAsia" w:cs="宋体"/>
          <w:bCs/>
          <w:color w:val="auto"/>
          <w:szCs w:val="21"/>
          <w:highlight w:val="none"/>
        </w:rPr>
        <w:t>未按要求加密的投标文件，</w:t>
      </w:r>
      <w:r>
        <w:rPr>
          <w:rFonts w:hint="eastAsia" w:cs="宋体"/>
          <w:color w:val="auto"/>
          <w:szCs w:val="21"/>
          <w:highlight w:val="none"/>
        </w:rPr>
        <w:t>交易平台</w:t>
      </w:r>
      <w:r>
        <w:rPr>
          <w:rFonts w:hint="eastAsia" w:cs="宋体"/>
          <w:bCs/>
          <w:color w:val="auto"/>
          <w:szCs w:val="21"/>
          <w:highlight w:val="none"/>
        </w:rPr>
        <w:t>将予以拒收。</w:t>
      </w:r>
    </w:p>
    <w:p w14:paraId="0465DB1B">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18.2</w:t>
      </w:r>
      <w:r>
        <w:rPr>
          <w:rFonts w:hint="eastAsia" w:cs="宋体"/>
          <w:bCs/>
          <w:color w:val="auto"/>
          <w:szCs w:val="21"/>
          <w:highlight w:val="none"/>
        </w:rPr>
        <w:t>未按要求加密的投标文件，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w:t>
      </w:r>
      <w:r>
        <w:rPr>
          <w:rFonts w:hint="eastAsia" w:cs="宋体"/>
          <w:bCs/>
          <w:color w:val="auto"/>
          <w:szCs w:val="21"/>
          <w:highlight w:val="none"/>
        </w:rPr>
        <w:t>将予以拒收。</w:t>
      </w:r>
    </w:p>
    <w:p w14:paraId="50FD9602">
      <w:pPr>
        <w:spacing w:line="360" w:lineRule="auto"/>
        <w:ind w:firstLine="411" w:firstLineChars="195"/>
        <w:rPr>
          <w:rFonts w:cs="宋体"/>
          <w:b/>
          <w:color w:val="auto"/>
          <w:szCs w:val="21"/>
          <w:highlight w:val="none"/>
        </w:rPr>
      </w:pPr>
      <w:r>
        <w:rPr>
          <w:rFonts w:hint="eastAsia" w:cs="宋体"/>
          <w:b/>
          <w:color w:val="auto"/>
          <w:szCs w:val="21"/>
          <w:highlight w:val="none"/>
        </w:rPr>
        <w:t>条款号：19                          修改类型：修改</w:t>
      </w:r>
    </w:p>
    <w:p w14:paraId="441D2838">
      <w:pPr>
        <w:pBdr>
          <w:bottom w:val="single" w:color="auto" w:sz="6" w:space="1"/>
        </w:pBdr>
        <w:spacing w:line="360" w:lineRule="auto"/>
        <w:ind w:firstLine="411" w:firstLineChars="195"/>
        <w:rPr>
          <w:rFonts w:cs="宋体"/>
          <w:b w:val="0"/>
          <w:bCs/>
          <w:color w:val="auto"/>
          <w:szCs w:val="21"/>
          <w:highlight w:val="none"/>
        </w:rPr>
      </w:pPr>
      <w:r>
        <w:rPr>
          <w:rFonts w:hint="eastAsia" w:cs="宋体"/>
          <w:b/>
          <w:color w:val="auto"/>
          <w:szCs w:val="21"/>
          <w:highlight w:val="none"/>
        </w:rPr>
        <w:t>原文：</w:t>
      </w:r>
      <w:r>
        <w:rPr>
          <w:rFonts w:hint="eastAsia" w:cs="宋体"/>
          <w:b w:val="0"/>
          <w:bCs/>
          <w:color w:val="auto"/>
          <w:szCs w:val="21"/>
          <w:highlight w:val="none"/>
        </w:rPr>
        <w:t>19.投标文件的递交和接收</w:t>
      </w:r>
    </w:p>
    <w:p w14:paraId="447C8588">
      <w:pPr>
        <w:pBdr>
          <w:bottom w:val="single" w:color="auto" w:sz="6" w:space="1"/>
        </w:pBdr>
        <w:spacing w:line="360" w:lineRule="auto"/>
        <w:ind w:firstLine="411" w:firstLineChars="195"/>
        <w:rPr>
          <w:rFonts w:cs="宋体"/>
          <w:b w:val="0"/>
          <w:bCs/>
          <w:color w:val="auto"/>
          <w:szCs w:val="21"/>
          <w:highlight w:val="none"/>
        </w:rPr>
      </w:pPr>
      <w:r>
        <w:rPr>
          <w:rFonts w:hint="eastAsia" w:cs="宋体"/>
          <w:b/>
          <w:color w:val="auto"/>
          <w:szCs w:val="21"/>
          <w:highlight w:val="none"/>
        </w:rPr>
        <w:t>现文：</w:t>
      </w:r>
      <w:r>
        <w:rPr>
          <w:rFonts w:hint="eastAsia" w:cs="宋体"/>
          <w:b w:val="0"/>
          <w:bCs/>
          <w:color w:val="auto"/>
          <w:szCs w:val="21"/>
          <w:highlight w:val="none"/>
        </w:rPr>
        <w:t>19.</w:t>
      </w:r>
      <w:r>
        <w:rPr>
          <w:rFonts w:hint="eastAsia" w:cs="宋体"/>
          <w:b w:val="0"/>
          <w:bCs/>
          <w:color w:val="auto"/>
          <w:szCs w:val="21"/>
          <w:highlight w:val="none"/>
          <w:u w:val="single"/>
        </w:rPr>
        <w:t>投标登记和</w:t>
      </w:r>
      <w:r>
        <w:rPr>
          <w:rFonts w:hint="eastAsia" w:cs="宋体"/>
          <w:b w:val="0"/>
          <w:bCs/>
          <w:color w:val="auto"/>
          <w:szCs w:val="21"/>
          <w:highlight w:val="none"/>
        </w:rPr>
        <w:t>投标文件的递交和接收</w:t>
      </w:r>
    </w:p>
    <w:p w14:paraId="323E7F23">
      <w:pPr>
        <w:spacing w:line="360" w:lineRule="auto"/>
        <w:ind w:firstLine="411" w:firstLineChars="195"/>
        <w:rPr>
          <w:rFonts w:cs="宋体"/>
          <w:b/>
          <w:color w:val="auto"/>
          <w:szCs w:val="21"/>
          <w:highlight w:val="none"/>
        </w:rPr>
      </w:pPr>
      <w:r>
        <w:rPr>
          <w:rFonts w:hint="eastAsia" w:cs="宋体"/>
          <w:b/>
          <w:color w:val="auto"/>
          <w:szCs w:val="21"/>
          <w:highlight w:val="none"/>
        </w:rPr>
        <w:t>条款号：19.1                        修改类型：修改</w:t>
      </w:r>
    </w:p>
    <w:p w14:paraId="41038806">
      <w:pPr>
        <w:spacing w:line="360" w:lineRule="auto"/>
        <w:ind w:firstLine="411" w:firstLineChars="195"/>
        <w:rPr>
          <w:rFonts w:cs="宋体"/>
          <w:bCs/>
          <w:color w:val="auto"/>
          <w:szCs w:val="21"/>
          <w:highlight w:val="none"/>
        </w:rPr>
      </w:pPr>
      <w:r>
        <w:rPr>
          <w:rFonts w:hint="eastAsia" w:cs="宋体"/>
          <w:b/>
          <w:color w:val="auto"/>
          <w:szCs w:val="21"/>
          <w:highlight w:val="none"/>
        </w:rPr>
        <w:t>原文：</w:t>
      </w:r>
      <w:r>
        <w:rPr>
          <w:rFonts w:hint="eastAsia" w:cs="宋体"/>
          <w:color w:val="auto"/>
          <w:szCs w:val="21"/>
          <w:highlight w:val="none"/>
        </w:rPr>
        <w:t>19.1</w:t>
      </w:r>
      <w:r>
        <w:rPr>
          <w:rFonts w:hint="eastAsia" w:cs="宋体"/>
          <w:bCs/>
          <w:color w:val="auto"/>
          <w:szCs w:val="21"/>
          <w:highlight w:val="none"/>
        </w:rPr>
        <w:t>投标人通过</w:t>
      </w:r>
      <w:r>
        <w:rPr>
          <w:rFonts w:hint="eastAsia" w:cs="宋体"/>
          <w:color w:val="auto"/>
          <w:szCs w:val="21"/>
          <w:highlight w:val="none"/>
        </w:rPr>
        <w:t>交易平台递交电子投标文件。</w:t>
      </w:r>
    </w:p>
    <w:p w14:paraId="0AD5EDF7">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19.1</w:t>
      </w:r>
      <w:r>
        <w:rPr>
          <w:rFonts w:hint="eastAsia" w:cs="宋体"/>
          <w:bCs/>
          <w:color w:val="auto"/>
          <w:szCs w:val="21"/>
          <w:highlight w:val="none"/>
        </w:rPr>
        <w:t>投标人通过</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交易平台递交电子投标文件。</w:t>
      </w:r>
    </w:p>
    <w:p w14:paraId="7F095C89">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条款号：19.2                       修改类型：修改</w:t>
      </w:r>
    </w:p>
    <w:p w14:paraId="58BF5839">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19.2</w:t>
      </w:r>
      <w:r>
        <w:rPr>
          <w:rFonts w:hint="eastAsia" w:cs="宋体"/>
          <w:bCs/>
          <w:color w:val="auto"/>
          <w:szCs w:val="21"/>
          <w:highlight w:val="none"/>
        </w:rPr>
        <w:t>投标人完成电子</w:t>
      </w:r>
      <w:r>
        <w:rPr>
          <w:rFonts w:hint="eastAsia" w:cs="宋体"/>
          <w:color w:val="auto"/>
          <w:szCs w:val="21"/>
          <w:highlight w:val="none"/>
        </w:rPr>
        <w:t>投标文件</w:t>
      </w:r>
      <w:r>
        <w:rPr>
          <w:rFonts w:hint="eastAsia" w:cs="宋体"/>
          <w:bCs/>
          <w:color w:val="auto"/>
          <w:szCs w:val="21"/>
          <w:highlight w:val="none"/>
        </w:rPr>
        <w:t>上传后，</w:t>
      </w:r>
      <w:r>
        <w:rPr>
          <w:rFonts w:hint="eastAsia" w:cs="宋体"/>
          <w:color w:val="auto"/>
          <w:szCs w:val="21"/>
          <w:highlight w:val="none"/>
        </w:rPr>
        <w:t>交易平台即时向投标人发出递交回执通知。递交时间以递交回执通知载明的传输完成时间为准。</w:t>
      </w:r>
    </w:p>
    <w:p w14:paraId="74848C8D">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19.2</w:t>
      </w:r>
      <w:r>
        <w:rPr>
          <w:rFonts w:hint="eastAsia" w:cs="宋体"/>
          <w:bCs/>
          <w:color w:val="auto"/>
          <w:szCs w:val="21"/>
          <w:highlight w:val="none"/>
        </w:rPr>
        <w:t>投标人完成电子</w:t>
      </w:r>
      <w:r>
        <w:rPr>
          <w:rFonts w:hint="eastAsia" w:cs="宋体"/>
          <w:color w:val="auto"/>
          <w:szCs w:val="21"/>
          <w:highlight w:val="none"/>
        </w:rPr>
        <w:t>投标文件</w:t>
      </w:r>
      <w:r>
        <w:rPr>
          <w:rFonts w:hint="eastAsia" w:cs="宋体"/>
          <w:bCs/>
          <w:color w:val="auto"/>
          <w:szCs w:val="21"/>
          <w:highlight w:val="none"/>
        </w:rPr>
        <w:t>上传后，</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交易平台即时向投标人发出递交回执通知。递交时间以递交回执通知载明的传输完成时间为准。</w:t>
      </w:r>
    </w:p>
    <w:p w14:paraId="5FA48D9A">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条款号：19.3                       修改类型：修改</w:t>
      </w:r>
    </w:p>
    <w:p w14:paraId="6C71C3DA">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19.3</w:t>
      </w:r>
      <w:r>
        <w:rPr>
          <w:rFonts w:hint="eastAsia" w:cs="宋体"/>
          <w:bCs/>
          <w:color w:val="auto"/>
          <w:szCs w:val="21"/>
          <w:highlight w:val="none"/>
        </w:rPr>
        <w:t>逾期送达的电子投标文件，</w:t>
      </w:r>
      <w:r>
        <w:rPr>
          <w:rFonts w:hint="eastAsia" w:cs="宋体"/>
          <w:color w:val="auto"/>
          <w:szCs w:val="21"/>
          <w:highlight w:val="none"/>
        </w:rPr>
        <w:t>交易平台将予以拒收。</w:t>
      </w:r>
    </w:p>
    <w:p w14:paraId="2E72A21A">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19.3</w:t>
      </w:r>
      <w:r>
        <w:rPr>
          <w:rFonts w:hint="eastAsia" w:cs="宋体"/>
          <w:bCs/>
          <w:color w:val="auto"/>
          <w:szCs w:val="21"/>
          <w:highlight w:val="none"/>
        </w:rPr>
        <w:t>逾期送达的电子投标文件，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交易平台将予以拒收。</w:t>
      </w:r>
    </w:p>
    <w:p w14:paraId="73E74B9F">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条款号：19.5                       修改类型：修改</w:t>
      </w:r>
    </w:p>
    <w:p w14:paraId="59CF1931">
      <w:pPr>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19.5如技术标和经济标先后分别开启，交易平台将按招标文件规定的时间分别开启技术标和经济标。</w:t>
      </w:r>
    </w:p>
    <w:p w14:paraId="192E900B">
      <w:pPr>
        <w:pBdr>
          <w:bottom w:val="single" w:color="auto" w:sz="6" w:space="1"/>
        </w:pBdr>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19.5</w:t>
      </w:r>
      <w:r>
        <w:rPr>
          <w:rFonts w:hint="eastAsia" w:cs="宋体"/>
          <w:color w:val="auto"/>
          <w:szCs w:val="21"/>
          <w:highlight w:val="none"/>
          <w:u w:val="single"/>
        </w:rPr>
        <w:t>广州交易集团有限公司（广州公共资源交易中心）交易平台将按招标文件规定的时间同时开启技术标（含资格审查文件）和经济标。</w:t>
      </w:r>
    </w:p>
    <w:p w14:paraId="0BC9D556">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条款号：19.6                       修改类型：删除</w:t>
      </w:r>
    </w:p>
    <w:p w14:paraId="03847480">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14:paraId="142AE401">
      <w:pPr>
        <w:spacing w:line="360" w:lineRule="auto"/>
        <w:ind w:firstLine="411" w:firstLineChars="195"/>
        <w:rPr>
          <w:rFonts w:cs="宋体"/>
          <w:b/>
          <w:color w:val="auto"/>
          <w:szCs w:val="21"/>
          <w:highlight w:val="none"/>
        </w:rPr>
      </w:pPr>
      <w:r>
        <w:rPr>
          <w:rFonts w:hint="eastAsia" w:cs="宋体"/>
          <w:b/>
          <w:color w:val="auto"/>
          <w:szCs w:val="21"/>
          <w:highlight w:val="none"/>
        </w:rPr>
        <w:t>条款号：20.3                       修改类型：修改</w:t>
      </w:r>
    </w:p>
    <w:p w14:paraId="18990714">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20.3到投标截止时间止，招标人收到的投标文件少于3家的，招标人将重新组织招标（当N个标段同时招标且不允许兼中时，若有效投标人不足N+2家，则重新组织招标）。</w:t>
      </w:r>
    </w:p>
    <w:p w14:paraId="1082967C">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20.3</w:t>
      </w:r>
      <w:r>
        <w:rPr>
          <w:rFonts w:hint="eastAsia" w:cs="宋体"/>
          <w:color w:val="auto"/>
          <w:szCs w:val="21"/>
          <w:highlight w:val="none"/>
          <w:u w:val="single"/>
        </w:rPr>
        <w:t>到投标截止时间止，招标人收到的投标文件少于3家的，招标人将重新组织招标。</w:t>
      </w:r>
    </w:p>
    <w:p w14:paraId="4578DE3E">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条款号：21.1                       修改类型：修改</w:t>
      </w:r>
    </w:p>
    <w:p w14:paraId="7E4C125C">
      <w:pPr>
        <w:adjustRightInd w:val="0"/>
        <w:spacing w:line="360" w:lineRule="auto"/>
        <w:ind w:firstLine="411" w:firstLineChars="195"/>
        <w:textAlignment w:val="baseline"/>
        <w:rPr>
          <w:rFonts w:cs="宋体"/>
          <w:b/>
          <w:color w:val="auto"/>
          <w:szCs w:val="21"/>
          <w:highlight w:val="none"/>
        </w:rPr>
      </w:pPr>
      <w:r>
        <w:rPr>
          <w:rFonts w:hint="eastAsia" w:cs="宋体"/>
          <w:b/>
          <w:color w:val="auto"/>
          <w:szCs w:val="21"/>
          <w:highlight w:val="none"/>
        </w:rPr>
        <w:t>原文：</w:t>
      </w:r>
      <w:r>
        <w:rPr>
          <w:rFonts w:hint="eastAsia" w:cs="宋体"/>
          <w:color w:val="auto"/>
          <w:szCs w:val="21"/>
          <w:highlight w:val="none"/>
        </w:rPr>
        <w:t>21.1本须知前附表第17项规定的投标截止时间</w:t>
      </w:r>
      <w:r>
        <w:rPr>
          <w:rFonts w:hint="eastAsia" w:cs="宋体"/>
          <w:bCs/>
          <w:color w:val="auto"/>
          <w:szCs w:val="21"/>
          <w:highlight w:val="none"/>
        </w:rPr>
        <w:t>后送达的电子投标文件，</w:t>
      </w:r>
      <w:r>
        <w:rPr>
          <w:rFonts w:hint="eastAsia" w:cs="宋体"/>
          <w:color w:val="auto"/>
          <w:szCs w:val="21"/>
          <w:highlight w:val="none"/>
        </w:rPr>
        <w:t>交易平台将予以拒收。</w:t>
      </w:r>
    </w:p>
    <w:p w14:paraId="33FF6F83">
      <w:pPr>
        <w:pBdr>
          <w:bottom w:val="single" w:color="auto" w:sz="6" w:space="1"/>
        </w:pBdr>
        <w:adjustRightInd w:val="0"/>
        <w:spacing w:line="360" w:lineRule="auto"/>
        <w:ind w:firstLine="411" w:firstLineChars="195"/>
        <w:textAlignment w:val="baseline"/>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21.1本须知前附表第17项规定的投标截止时间</w:t>
      </w:r>
      <w:r>
        <w:rPr>
          <w:rFonts w:hint="eastAsia" w:cs="宋体"/>
          <w:bCs/>
          <w:color w:val="auto"/>
          <w:szCs w:val="21"/>
          <w:highlight w:val="none"/>
        </w:rPr>
        <w:t>后送达的电子投标文件，</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交易平台将予以拒收。</w:t>
      </w:r>
    </w:p>
    <w:p w14:paraId="3EEB7C1E">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条款号：24              修改类型：修改</w:t>
      </w:r>
    </w:p>
    <w:p w14:paraId="7FD97CA9">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原文：24．评标过程的保密</w:t>
      </w:r>
    </w:p>
    <w:p w14:paraId="0DFD6AD5">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24.1开标后，直至中标公示为止，凡属于对投标文件的审查、澄清、评价和比较有关的资料以及中标候选人的推荐情况，与评标有关的其他任何情况均严格保密。</w:t>
      </w:r>
    </w:p>
    <w:p w14:paraId="46F69B3C">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24.2在投标文件的评审和比较、中标候选人推荐以及授予合同的过程中，投标人向招标人和评标委员会施加不公正影响的任何行为，都将会导致其投标被拒绝。</w:t>
      </w:r>
    </w:p>
    <w:p w14:paraId="0DB3D41E">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现文：24．评标过程的保密</w:t>
      </w:r>
    </w:p>
    <w:p w14:paraId="196C044D">
      <w:pP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24.1开标后，直至</w:t>
      </w:r>
      <w:r>
        <w:rPr>
          <w:rFonts w:hint="eastAsia" w:ascii="宋体" w:hAnsi="宋体" w:cs="宋体"/>
          <w:bCs/>
          <w:color w:val="auto"/>
          <w:szCs w:val="21"/>
          <w:highlight w:val="none"/>
          <w:u w:val="single"/>
        </w:rPr>
        <w:t>合格中标候选人</w:t>
      </w:r>
      <w:r>
        <w:rPr>
          <w:rFonts w:hint="eastAsia" w:ascii="宋体" w:hAnsi="宋体" w:cs="宋体"/>
          <w:bCs/>
          <w:color w:val="auto"/>
          <w:szCs w:val="21"/>
          <w:highlight w:val="none"/>
        </w:rPr>
        <w:t>公示为止，凡属于对投标文件的审查、澄清、评价和比较有关的资料以及</w:t>
      </w:r>
      <w:r>
        <w:rPr>
          <w:rFonts w:hint="eastAsia" w:ascii="宋体" w:hAnsi="宋体" w:cs="宋体"/>
          <w:bCs/>
          <w:color w:val="auto"/>
          <w:szCs w:val="21"/>
          <w:highlight w:val="none"/>
          <w:u w:val="single"/>
        </w:rPr>
        <w:t>合格</w:t>
      </w:r>
      <w:r>
        <w:rPr>
          <w:rFonts w:hint="eastAsia" w:ascii="宋体" w:hAnsi="宋体" w:cs="宋体"/>
          <w:bCs/>
          <w:color w:val="auto"/>
          <w:szCs w:val="21"/>
          <w:highlight w:val="none"/>
        </w:rPr>
        <w:t>中标候选人的推荐情况，与评标有关的其他任何情况均严格保密。</w:t>
      </w:r>
    </w:p>
    <w:p w14:paraId="7EE86378">
      <w:pPr>
        <w:pBdr>
          <w:bottom w:val="single" w:color="auto" w:sz="4" w:space="0"/>
        </w:pBd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rPr>
        <w:t>24.2在投标文件的评审和比较、</w:t>
      </w:r>
      <w:r>
        <w:rPr>
          <w:rFonts w:hint="eastAsia" w:ascii="宋体" w:hAnsi="宋体" w:cs="宋体"/>
          <w:bCs/>
          <w:color w:val="auto"/>
          <w:szCs w:val="21"/>
          <w:highlight w:val="none"/>
          <w:u w:val="single"/>
        </w:rPr>
        <w:t>合格</w:t>
      </w:r>
      <w:r>
        <w:rPr>
          <w:rFonts w:hint="eastAsia" w:ascii="宋体" w:hAnsi="宋体" w:cs="宋体"/>
          <w:bCs/>
          <w:color w:val="auto"/>
          <w:szCs w:val="21"/>
          <w:highlight w:val="none"/>
        </w:rPr>
        <w:t>中标候选人推荐</w:t>
      </w:r>
      <w:r>
        <w:rPr>
          <w:rFonts w:hint="eastAsia" w:ascii="宋体" w:hAnsi="宋体" w:cs="宋体"/>
          <w:bCs/>
          <w:color w:val="auto"/>
          <w:szCs w:val="21"/>
          <w:highlight w:val="none"/>
          <w:u w:val="single"/>
        </w:rPr>
        <w:t>[不排序，按统一社会信用代码后4位（除校验码外）大小排位，如统一社会信用代码后4位出现字母情况的，字母以“0”进行代替大小排位；如出现后4位（除校验码外）大小一致的，则随机排位（联合体投标的，按联合体主办方的统一社会信用代码排位）]、定标</w:t>
      </w:r>
      <w:r>
        <w:rPr>
          <w:rFonts w:hint="eastAsia" w:ascii="宋体" w:hAnsi="宋体" w:cs="宋体"/>
          <w:bCs/>
          <w:color w:val="auto"/>
          <w:szCs w:val="21"/>
          <w:highlight w:val="none"/>
        </w:rPr>
        <w:t>以及授予合同的过程中，投标人向招标人和评标委员会</w:t>
      </w:r>
      <w:r>
        <w:rPr>
          <w:rFonts w:hint="eastAsia" w:ascii="宋体" w:hAnsi="宋体" w:cs="宋体"/>
          <w:bCs/>
          <w:color w:val="auto"/>
          <w:szCs w:val="21"/>
          <w:highlight w:val="none"/>
          <w:u w:val="single"/>
        </w:rPr>
        <w:t>和定标委员会</w:t>
      </w:r>
      <w:r>
        <w:rPr>
          <w:rFonts w:hint="eastAsia" w:ascii="宋体" w:hAnsi="宋体" w:cs="宋体"/>
          <w:bCs/>
          <w:color w:val="auto"/>
          <w:szCs w:val="21"/>
          <w:highlight w:val="none"/>
        </w:rPr>
        <w:t>施加不公正影响的任何行为，都将会导致其投标被拒绝。</w:t>
      </w:r>
    </w:p>
    <w:p w14:paraId="5471CD6B">
      <w:pPr>
        <w:spacing w:line="360" w:lineRule="auto"/>
        <w:ind w:firstLine="411" w:firstLineChars="195"/>
        <w:rPr>
          <w:rFonts w:cs="宋体"/>
          <w:b/>
          <w:color w:val="auto"/>
          <w:szCs w:val="21"/>
          <w:highlight w:val="none"/>
        </w:rPr>
      </w:pPr>
      <w:r>
        <w:rPr>
          <w:rFonts w:hint="eastAsia" w:cs="宋体"/>
          <w:b/>
          <w:color w:val="auto"/>
          <w:szCs w:val="21"/>
          <w:highlight w:val="none"/>
        </w:rPr>
        <w:t>条款号：27.1                        修改类型：修改</w:t>
      </w:r>
    </w:p>
    <w:p w14:paraId="43B2CBFB">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27.1招标人将在交易平台、广东省招标投标监管网和中国招标投标公共服务平台公示中标候选人，公示期为三天。</w:t>
      </w:r>
    </w:p>
    <w:p w14:paraId="33F5017C">
      <w:pPr>
        <w:pBdr>
          <w:top w:val="none" w:color="auto" w:sz="0" w:space="0"/>
          <w:left w:val="none" w:color="auto" w:sz="0" w:space="0"/>
          <w:bottom w:val="none" w:color="auto" w:sz="0" w:space="1"/>
          <w:right w:val="none" w:color="auto" w:sz="0" w:space="0"/>
          <w:between w:val="none" w:color="auto" w:sz="0" w:space="0"/>
        </w:pBdr>
        <w:spacing w:line="360" w:lineRule="auto"/>
        <w:ind w:firstLine="411" w:firstLineChars="195"/>
        <w:rPr>
          <w:rFonts w:hint="eastAsia" w:cs="宋体"/>
          <w:color w:val="auto"/>
          <w:szCs w:val="21"/>
          <w:highlight w:val="none"/>
          <w:u w:val="single"/>
        </w:rPr>
      </w:pPr>
      <w:r>
        <w:rPr>
          <w:rFonts w:hint="eastAsia" w:cs="宋体"/>
          <w:b/>
          <w:color w:val="auto"/>
          <w:szCs w:val="21"/>
          <w:highlight w:val="none"/>
        </w:rPr>
        <w:t>现文：</w:t>
      </w:r>
      <w:r>
        <w:rPr>
          <w:rFonts w:hint="eastAsia" w:cs="宋体"/>
          <w:color w:val="auto"/>
          <w:szCs w:val="21"/>
          <w:highlight w:val="none"/>
        </w:rPr>
        <w:t>27.1招标人将在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交易平台、广东省招标投标监管网和中国招标投标公共服务平台公示</w:t>
      </w:r>
      <w:r>
        <w:rPr>
          <w:rFonts w:hint="eastAsia" w:cs="宋体"/>
          <w:color w:val="auto"/>
          <w:szCs w:val="21"/>
          <w:highlight w:val="none"/>
          <w:lang w:val="en-US" w:eastAsia="zh-CN"/>
        </w:rPr>
        <w:t>合格的</w:t>
      </w:r>
      <w:r>
        <w:rPr>
          <w:rFonts w:hint="eastAsia" w:cs="宋体"/>
          <w:color w:val="auto"/>
          <w:szCs w:val="21"/>
          <w:highlight w:val="none"/>
        </w:rPr>
        <w:t>中标候选人，公示期为三天。</w:t>
      </w:r>
      <w:r>
        <w:rPr>
          <w:rFonts w:hint="eastAsia" w:cs="宋体"/>
          <w:color w:val="auto"/>
          <w:szCs w:val="21"/>
          <w:highlight w:val="none"/>
          <w:u w:val="single"/>
        </w:rPr>
        <w:t>投标人或其他利害关系人对评标结果有异议的，应当在</w:t>
      </w:r>
      <w:r>
        <w:rPr>
          <w:rFonts w:hint="eastAsia" w:cs="宋体"/>
          <w:color w:val="auto"/>
          <w:szCs w:val="21"/>
          <w:highlight w:val="none"/>
          <w:u w:val="single"/>
          <w:lang w:val="en-US" w:eastAsia="zh-CN"/>
        </w:rPr>
        <w:t>合格的</w:t>
      </w:r>
      <w:r>
        <w:rPr>
          <w:rFonts w:hint="eastAsia" w:cs="宋体"/>
          <w:color w:val="auto"/>
          <w:szCs w:val="21"/>
          <w:highlight w:val="none"/>
          <w:u w:val="single"/>
        </w:rPr>
        <w:t>中标候选人公示期间提出，可以通过线下或线上的形式提出异议。线上提交的，应通过交易平台进行，招标人也应通过交易平台答复线上提交的异议。作出答复前，应当暂停招标投标活动。</w:t>
      </w:r>
    </w:p>
    <w:p w14:paraId="5430CEFF">
      <w:pPr>
        <w:pStyle w:val="20"/>
        <w:pBdr>
          <w:bottom w:val="single" w:color="auto" w:sz="4" w:space="0"/>
        </w:pBdr>
        <w:ind w:left="0" w:leftChars="0" w:firstLine="420" w:firstLineChars="200"/>
        <w:rPr>
          <w:rFonts w:hint="eastAsia"/>
          <w:color w:val="auto"/>
          <w:sz w:val="21"/>
          <w:szCs w:val="21"/>
          <w:highlight w:val="none"/>
        </w:rPr>
      </w:pPr>
      <w:r>
        <w:rPr>
          <w:rFonts w:hint="eastAsia" w:ascii="宋体" w:hAnsi="宋体" w:cs="宋体"/>
          <w:color w:val="auto"/>
          <w:sz w:val="21"/>
          <w:szCs w:val="21"/>
          <w:highlight w:val="none"/>
          <w:u w:val="single"/>
        </w:rPr>
        <w:t>合格</w:t>
      </w:r>
      <w:r>
        <w:rPr>
          <w:rFonts w:hint="eastAsia" w:ascii="宋体" w:hAnsi="宋体" w:cs="宋体"/>
          <w:color w:val="auto"/>
          <w:sz w:val="21"/>
          <w:szCs w:val="21"/>
          <w:highlight w:val="none"/>
          <w:u w:val="single"/>
          <w:lang w:val="en-US" w:eastAsia="zh-CN"/>
        </w:rPr>
        <w:t>的</w:t>
      </w:r>
      <w:r>
        <w:rPr>
          <w:rFonts w:hint="eastAsia" w:ascii="宋体" w:hAnsi="宋体" w:cs="宋体"/>
          <w:color w:val="auto"/>
          <w:sz w:val="21"/>
          <w:szCs w:val="21"/>
          <w:highlight w:val="none"/>
          <w:u w:val="single"/>
        </w:rPr>
        <w:t>中标候选人公示</w:t>
      </w:r>
      <w:r>
        <w:rPr>
          <w:rFonts w:hint="eastAsia" w:ascii="宋体" w:hAnsi="宋体" w:eastAsia="宋体" w:cs="宋体"/>
          <w:color w:val="auto"/>
          <w:sz w:val="21"/>
          <w:szCs w:val="21"/>
          <w:highlight w:val="none"/>
          <w:u w:val="single"/>
        </w:rPr>
        <w:t>期满之日起</w:t>
      </w:r>
      <w:r>
        <w:rPr>
          <w:rFonts w:hint="eastAsia" w:ascii="宋体" w:hAnsi="宋体" w:cs="宋体"/>
          <w:color w:val="auto"/>
          <w:sz w:val="21"/>
          <w:szCs w:val="21"/>
          <w:highlight w:val="none"/>
          <w:u w:val="single"/>
          <w:lang w:eastAsia="zh-CN"/>
        </w:rPr>
        <w:t>1</w:t>
      </w:r>
      <w:r>
        <w:rPr>
          <w:rFonts w:hint="eastAsia" w:ascii="宋体" w:hAnsi="宋体" w:cs="宋体"/>
          <w:color w:val="auto"/>
          <w:sz w:val="21"/>
          <w:szCs w:val="21"/>
          <w:highlight w:val="none"/>
          <w:u w:val="single"/>
          <w:lang w:val="en-US" w:eastAsia="zh-CN"/>
        </w:rPr>
        <w:t>0</w:t>
      </w:r>
      <w:r>
        <w:rPr>
          <w:rFonts w:hint="eastAsia" w:ascii="宋体" w:hAnsi="宋体" w:cs="宋体"/>
          <w:color w:val="auto"/>
          <w:sz w:val="21"/>
          <w:szCs w:val="21"/>
          <w:highlight w:val="none"/>
          <w:u w:val="single"/>
        </w:rPr>
        <w:t>个工作日内在广州交易集团有限公司（广州公共资源交易中心）开展定标工作，在定标委员会完成定标工作后，招标人将在广州交易集团有限公司（广州公共资源交易中心）交易平台、广东省招标投标监管网和中国招标投标公共服务平台进行中标结果公示。因投诉生效导致中标人不符合中标资格的，或定标后出现中标人不符合法定情形的，招标人可从其他合格的中标候选人中采用原定标办法，由原定标委员会确定中标人，也可以重新组织招标</w:t>
      </w:r>
      <w:r>
        <w:rPr>
          <w:rFonts w:hint="eastAsia" w:ascii="宋体" w:hAnsi="宋体" w:cs="宋体"/>
          <w:color w:val="auto"/>
          <w:sz w:val="21"/>
          <w:szCs w:val="21"/>
          <w:highlight w:val="none"/>
          <w:u w:val="single"/>
          <w:lang w:eastAsia="zh-CN"/>
        </w:rPr>
        <w:t>。</w:t>
      </w:r>
    </w:p>
    <w:p w14:paraId="0D0A65E2">
      <w:pPr>
        <w:pStyle w:val="20"/>
        <w:rPr>
          <w:color w:val="auto"/>
          <w:highlight w:val="none"/>
        </w:rPr>
      </w:pPr>
    </w:p>
    <w:p w14:paraId="497399FD">
      <w:pPr>
        <w:spacing w:line="360" w:lineRule="auto"/>
        <w:ind w:firstLine="411" w:firstLineChars="195"/>
        <w:rPr>
          <w:rFonts w:cs="宋体"/>
          <w:b/>
          <w:color w:val="auto"/>
          <w:szCs w:val="21"/>
          <w:highlight w:val="none"/>
        </w:rPr>
      </w:pPr>
      <w:r>
        <w:rPr>
          <w:rFonts w:hint="eastAsia" w:cs="宋体"/>
          <w:b/>
          <w:color w:val="auto"/>
          <w:szCs w:val="21"/>
          <w:highlight w:val="none"/>
        </w:rPr>
        <w:t>条款号：27.4                        修改类型：修改</w:t>
      </w:r>
    </w:p>
    <w:p w14:paraId="3E922768">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27.4在产生中标候选人后，招标人将中标候选人的投标文件商务部分文件的所有内容（包括人员、业绩、奖项等资料）在交易平台和广东省招标投标监管网公开。</w:t>
      </w:r>
    </w:p>
    <w:p w14:paraId="14A4E480">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27.4在产生中标候选人后，招标人将</w:t>
      </w:r>
      <w:r>
        <w:rPr>
          <w:rFonts w:hint="eastAsia" w:cs="宋体"/>
          <w:color w:val="auto"/>
          <w:szCs w:val="21"/>
          <w:highlight w:val="none"/>
          <w:lang w:val="en-US" w:eastAsia="zh-CN"/>
        </w:rPr>
        <w:t>合格的</w:t>
      </w:r>
      <w:r>
        <w:rPr>
          <w:rFonts w:hint="eastAsia" w:cs="宋体"/>
          <w:color w:val="auto"/>
          <w:szCs w:val="21"/>
          <w:highlight w:val="none"/>
        </w:rPr>
        <w:t>中标候选人的投标文件商务部分文件</w:t>
      </w:r>
      <w:r>
        <w:rPr>
          <w:rFonts w:hint="eastAsia" w:cs="宋体"/>
          <w:color w:val="auto"/>
          <w:szCs w:val="21"/>
          <w:highlight w:val="none"/>
          <w:lang w:eastAsia="zh-CN"/>
        </w:rPr>
        <w:t>（</w:t>
      </w:r>
      <w:r>
        <w:rPr>
          <w:rFonts w:hint="eastAsia" w:cs="宋体"/>
          <w:color w:val="auto"/>
          <w:szCs w:val="21"/>
          <w:highlight w:val="none"/>
          <w:lang w:val="en-US" w:eastAsia="zh-CN"/>
        </w:rPr>
        <w:t>含资格审查文件）</w:t>
      </w:r>
      <w:r>
        <w:rPr>
          <w:rFonts w:hint="eastAsia" w:cs="宋体"/>
          <w:color w:val="auto"/>
          <w:szCs w:val="21"/>
          <w:highlight w:val="none"/>
        </w:rPr>
        <w:t>的所有内容（</w:t>
      </w:r>
      <w:r>
        <w:rPr>
          <w:rFonts w:hint="eastAsia" w:cs="宋体"/>
          <w:color w:val="auto"/>
          <w:szCs w:val="21"/>
          <w:highlight w:val="none"/>
          <w:u w:val="none"/>
        </w:rPr>
        <w:t>包括人员、业绩、奖项等资料</w:t>
      </w:r>
      <w:r>
        <w:rPr>
          <w:rFonts w:hint="eastAsia" w:cs="宋体"/>
          <w:color w:val="auto"/>
          <w:szCs w:val="21"/>
          <w:highlight w:val="none"/>
        </w:rPr>
        <w:t>）在</w:t>
      </w:r>
      <w:r>
        <w:rPr>
          <w:rFonts w:hint="eastAsia" w:cs="宋体"/>
          <w:color w:val="auto"/>
          <w:szCs w:val="21"/>
          <w:highlight w:val="none"/>
          <w:u w:val="single"/>
        </w:rPr>
        <w:t>广州交易集团有限公司（广州公共资源交易中心）</w:t>
      </w:r>
      <w:r>
        <w:rPr>
          <w:rFonts w:hint="eastAsia" w:cs="宋体"/>
          <w:color w:val="auto"/>
          <w:szCs w:val="21"/>
          <w:highlight w:val="none"/>
        </w:rPr>
        <w:t>交易平台和广东省招标投标监管网公开。</w:t>
      </w:r>
    </w:p>
    <w:p w14:paraId="3DD2E407">
      <w:pPr>
        <w:spacing w:line="360" w:lineRule="auto"/>
        <w:ind w:firstLine="411" w:firstLineChars="195"/>
        <w:rPr>
          <w:rFonts w:cs="宋体"/>
          <w:b/>
          <w:color w:val="auto"/>
          <w:szCs w:val="21"/>
          <w:highlight w:val="none"/>
        </w:rPr>
      </w:pPr>
      <w:r>
        <w:rPr>
          <w:rFonts w:hint="eastAsia" w:cs="宋体"/>
          <w:b/>
          <w:color w:val="auto"/>
          <w:szCs w:val="21"/>
          <w:highlight w:val="none"/>
        </w:rPr>
        <w:t>条款号：29.</w:t>
      </w:r>
      <w:r>
        <w:rPr>
          <w:rFonts w:cs="宋体"/>
          <w:b/>
          <w:color w:val="auto"/>
          <w:szCs w:val="21"/>
          <w:highlight w:val="none"/>
        </w:rPr>
        <w:t>1</w:t>
      </w:r>
      <w:r>
        <w:rPr>
          <w:rFonts w:hint="eastAsia" w:cs="宋体"/>
          <w:b/>
          <w:color w:val="auto"/>
          <w:szCs w:val="21"/>
          <w:highlight w:val="none"/>
        </w:rPr>
        <w:t xml:space="preserve">                        修改类型：修改</w:t>
      </w:r>
    </w:p>
    <w:p w14:paraId="122E8300">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29.</w:t>
      </w:r>
      <w:r>
        <w:rPr>
          <w:rFonts w:cs="宋体"/>
          <w:color w:val="auto"/>
          <w:szCs w:val="21"/>
          <w:highlight w:val="none"/>
        </w:rPr>
        <w:t>1</w:t>
      </w:r>
      <w:r>
        <w:rPr>
          <w:rFonts w:hint="eastAsia" w:cs="宋体"/>
          <w:color w:val="auto"/>
          <w:szCs w:val="21"/>
          <w:highlight w:val="none"/>
        </w:rPr>
        <w:t>在收到中标通知书后的</w:t>
      </w:r>
      <w:r>
        <w:rPr>
          <w:rFonts w:cs="宋体"/>
          <w:color w:val="auto"/>
          <w:szCs w:val="21"/>
          <w:highlight w:val="none"/>
        </w:rPr>
        <w:t>15</w:t>
      </w:r>
      <w:r>
        <w:rPr>
          <w:rFonts w:hint="eastAsia" w:cs="宋体"/>
          <w:color w:val="auto"/>
          <w:szCs w:val="21"/>
          <w:highlight w:val="none"/>
        </w:rPr>
        <w:t>日内，中标人应按本须知前附表第</w:t>
      </w:r>
      <w:r>
        <w:rPr>
          <w:rFonts w:cs="宋体"/>
          <w:color w:val="auto"/>
          <w:szCs w:val="21"/>
          <w:highlight w:val="none"/>
        </w:rPr>
        <w:t>2</w:t>
      </w:r>
      <w:r>
        <w:rPr>
          <w:rFonts w:hint="eastAsia" w:cs="宋体"/>
          <w:color w:val="auto"/>
          <w:szCs w:val="21"/>
          <w:highlight w:val="none"/>
        </w:rPr>
        <w:t>0项的规定向招标人提交履约担保；如果中标人的履约担保是以银行保函的形式提供，则该银行保函应由在中国注册且营业地点在广州行政辖区内的银行开具。</w:t>
      </w:r>
    </w:p>
    <w:p w14:paraId="1CB148FC">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：29.</w:t>
      </w:r>
      <w:r>
        <w:rPr>
          <w:rFonts w:cs="宋体"/>
          <w:color w:val="auto"/>
          <w:szCs w:val="21"/>
          <w:highlight w:val="none"/>
        </w:rPr>
        <w:t>1</w:t>
      </w:r>
      <w:r>
        <w:rPr>
          <w:rFonts w:hint="eastAsia" w:cs="宋体"/>
          <w:color w:val="auto"/>
          <w:szCs w:val="21"/>
          <w:highlight w:val="none"/>
          <w:u w:val="single"/>
        </w:rPr>
        <w:t>合同正式签订</w:t>
      </w:r>
      <w:r>
        <w:rPr>
          <w:rFonts w:hint="eastAsia" w:cs="宋体"/>
          <w:color w:val="auto"/>
          <w:szCs w:val="21"/>
          <w:highlight w:val="none"/>
          <w:u w:val="single"/>
          <w:lang w:val="en-US" w:eastAsia="zh-CN"/>
        </w:rPr>
        <w:t>后，在招标人要求的时间内</w:t>
      </w:r>
      <w:r>
        <w:rPr>
          <w:rFonts w:hint="eastAsia" w:cs="宋体"/>
          <w:color w:val="auto"/>
          <w:szCs w:val="21"/>
          <w:highlight w:val="none"/>
        </w:rPr>
        <w:t>，中标人应按本须知前附表第</w:t>
      </w:r>
      <w:r>
        <w:rPr>
          <w:rFonts w:cs="宋体"/>
          <w:color w:val="auto"/>
          <w:szCs w:val="21"/>
          <w:highlight w:val="none"/>
        </w:rPr>
        <w:t>2</w:t>
      </w:r>
      <w:r>
        <w:rPr>
          <w:rFonts w:hint="eastAsia" w:cs="宋体"/>
          <w:color w:val="auto"/>
          <w:szCs w:val="21"/>
          <w:highlight w:val="none"/>
        </w:rPr>
        <w:t>0项的规定向招标人提交</w:t>
      </w:r>
      <w:r>
        <w:rPr>
          <w:rFonts w:hint="eastAsia" w:cs="宋体"/>
          <w:color w:val="auto"/>
          <w:szCs w:val="21"/>
          <w:highlight w:val="none"/>
          <w:u w:val="single"/>
        </w:rPr>
        <w:t>由银行开具的无条件不可撤销的</w:t>
      </w:r>
      <w:r>
        <w:rPr>
          <w:rFonts w:hint="eastAsia" w:cs="宋体"/>
          <w:color w:val="auto"/>
          <w:szCs w:val="21"/>
          <w:highlight w:val="none"/>
        </w:rPr>
        <w:t>履约担保；如果中标人的履约担保是以银行保函的形式提供，则该银行保函应由在中国注册且营业的</w:t>
      </w:r>
      <w:r>
        <w:rPr>
          <w:rFonts w:hint="eastAsia" w:cs="宋体"/>
          <w:color w:val="auto"/>
          <w:szCs w:val="21"/>
          <w:highlight w:val="none"/>
          <w:u w:val="single"/>
        </w:rPr>
        <w:t>分行级别或以上</w:t>
      </w:r>
      <w:r>
        <w:rPr>
          <w:rFonts w:hint="eastAsia" w:cs="宋体"/>
          <w:color w:val="auto"/>
          <w:szCs w:val="21"/>
          <w:highlight w:val="none"/>
        </w:rPr>
        <w:t>的银行开具。</w:t>
      </w:r>
    </w:p>
    <w:p w14:paraId="3ACBBE59">
      <w:pPr>
        <w:spacing w:line="360" w:lineRule="auto"/>
        <w:ind w:firstLine="411" w:firstLineChars="195"/>
        <w:rPr>
          <w:rFonts w:cs="宋体"/>
          <w:b/>
          <w:color w:val="auto"/>
          <w:szCs w:val="21"/>
          <w:highlight w:val="none"/>
        </w:rPr>
      </w:pPr>
      <w:r>
        <w:rPr>
          <w:rFonts w:hint="eastAsia" w:cs="宋体"/>
          <w:b/>
          <w:color w:val="auto"/>
          <w:szCs w:val="21"/>
          <w:highlight w:val="none"/>
        </w:rPr>
        <w:t>条款号：29.2                        修改类型：修改</w:t>
      </w:r>
    </w:p>
    <w:p w14:paraId="157A728F">
      <w:pPr>
        <w:spacing w:line="360" w:lineRule="auto"/>
        <w:ind w:firstLine="411" w:firstLineChars="195"/>
        <w:rPr>
          <w:rFonts w:cs="宋体"/>
          <w:color w:val="auto"/>
          <w:szCs w:val="21"/>
          <w:highlight w:val="none"/>
        </w:rPr>
      </w:pPr>
      <w:r>
        <w:rPr>
          <w:rFonts w:hint="eastAsia" w:cs="宋体"/>
          <w:b/>
          <w:color w:val="auto"/>
          <w:szCs w:val="21"/>
          <w:highlight w:val="none"/>
        </w:rPr>
        <w:t>原文：</w:t>
      </w:r>
      <w:r>
        <w:rPr>
          <w:rFonts w:hint="eastAsia"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94C6BDD">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：29.2</w:t>
      </w:r>
      <w:r>
        <w:rPr>
          <w:rFonts w:hint="eastAsia" w:cs="宋体"/>
          <w:color w:val="auto"/>
          <w:szCs w:val="21"/>
          <w:highlight w:val="none"/>
          <w:u w:val="single"/>
        </w:rPr>
        <w:t>合同正式签订</w:t>
      </w:r>
      <w:r>
        <w:rPr>
          <w:rFonts w:hint="eastAsia" w:cs="宋体"/>
          <w:color w:val="auto"/>
          <w:szCs w:val="21"/>
          <w:highlight w:val="none"/>
          <w:u w:val="single"/>
          <w:lang w:val="en-US" w:eastAsia="zh-CN"/>
        </w:rPr>
        <w:t>后</w:t>
      </w:r>
      <w:r>
        <w:rPr>
          <w:rFonts w:hint="eastAsia" w:cs="宋体"/>
          <w:color w:val="auto"/>
          <w:szCs w:val="21"/>
          <w:highlight w:val="none"/>
        </w:rPr>
        <w:t>，</w:t>
      </w:r>
      <w:r>
        <w:rPr>
          <w:rFonts w:hint="eastAsia" w:cs="宋体"/>
          <w:color w:val="auto"/>
          <w:szCs w:val="21"/>
          <w:highlight w:val="none"/>
          <w:u w:val="single"/>
          <w:lang w:val="en-US" w:eastAsia="zh-CN"/>
        </w:rPr>
        <w:t>在招标人要求的时间内</w:t>
      </w:r>
      <w:r>
        <w:rPr>
          <w:rFonts w:hint="eastAsia" w:cs="宋体"/>
          <w:color w:val="auto"/>
          <w:szCs w:val="21"/>
          <w:highlight w:val="none"/>
        </w:rPr>
        <w:t>，中标人未按上款的规定递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DE3BE77">
      <w:pPr>
        <w:spacing w:line="360" w:lineRule="auto"/>
        <w:ind w:firstLine="411" w:firstLineChars="195"/>
        <w:rPr>
          <w:rFonts w:cs="宋体"/>
          <w:b/>
          <w:bCs/>
          <w:color w:val="auto"/>
          <w:szCs w:val="21"/>
          <w:highlight w:val="none"/>
        </w:rPr>
      </w:pPr>
      <w:r>
        <w:rPr>
          <w:rFonts w:hint="eastAsia" w:cs="宋体"/>
          <w:b/>
          <w:bCs/>
          <w:color w:val="auto"/>
          <w:szCs w:val="21"/>
          <w:highlight w:val="none"/>
        </w:rPr>
        <w:t>条款号：31                          修改类型：修改</w:t>
      </w:r>
    </w:p>
    <w:p w14:paraId="745ED8F0">
      <w:pPr>
        <w:pBdr>
          <w:bottom w:val="single" w:color="auto" w:sz="6" w:space="1"/>
        </w:pBdr>
        <w:spacing w:line="360" w:lineRule="auto"/>
        <w:ind w:firstLine="411" w:firstLineChars="195"/>
        <w:rPr>
          <w:rFonts w:cs="宋体"/>
          <w:b/>
          <w:bCs/>
          <w:color w:val="auto"/>
          <w:szCs w:val="21"/>
          <w:highlight w:val="none"/>
        </w:rPr>
      </w:pPr>
      <w:r>
        <w:rPr>
          <w:rFonts w:hint="eastAsia" w:cs="宋体"/>
          <w:b/>
          <w:bCs/>
          <w:color w:val="auto"/>
          <w:szCs w:val="21"/>
          <w:highlight w:val="none"/>
        </w:rPr>
        <w:t>原文：31.其它费用</w:t>
      </w:r>
    </w:p>
    <w:p w14:paraId="696A44FF">
      <w:pPr>
        <w:pBdr>
          <w:bottom w:val="single" w:color="auto" w:sz="6" w:space="1"/>
        </w:pBdr>
        <w:spacing w:line="360" w:lineRule="auto"/>
        <w:ind w:firstLine="411" w:firstLineChars="195"/>
        <w:rPr>
          <w:rFonts w:cs="宋体"/>
          <w:color w:val="auto"/>
          <w:szCs w:val="21"/>
          <w:highlight w:val="none"/>
        </w:rPr>
      </w:pPr>
      <w:r>
        <w:rPr>
          <w:rFonts w:hint="eastAsia" w:cs="宋体"/>
          <w:b/>
          <w:color w:val="auto"/>
          <w:szCs w:val="21"/>
          <w:highlight w:val="none"/>
        </w:rPr>
        <w:t>现文</w:t>
      </w:r>
      <w:r>
        <w:rPr>
          <w:rFonts w:hint="eastAsia" w:cs="宋体"/>
          <w:color w:val="auto"/>
          <w:szCs w:val="21"/>
          <w:highlight w:val="none"/>
        </w:rPr>
        <w:t>：</w:t>
      </w:r>
      <w:r>
        <w:rPr>
          <w:rFonts w:hint="eastAsia" w:cs="宋体"/>
          <w:b/>
          <w:color w:val="auto"/>
          <w:szCs w:val="21"/>
          <w:highlight w:val="none"/>
        </w:rPr>
        <w:t>31.</w:t>
      </w:r>
      <w:r>
        <w:rPr>
          <w:rFonts w:hint="eastAsia" w:cs="宋体"/>
          <w:b/>
          <w:bCs/>
          <w:color w:val="auto"/>
          <w:szCs w:val="21"/>
          <w:highlight w:val="none"/>
        </w:rPr>
        <w:t>其它费用</w:t>
      </w:r>
    </w:p>
    <w:p w14:paraId="6B8579E5">
      <w:pPr>
        <w:pBdr>
          <w:bottom w:val="single" w:color="auto" w:sz="6" w:space="1"/>
        </w:pBdr>
        <w:spacing w:line="360" w:lineRule="auto"/>
        <w:ind w:firstLine="409" w:firstLineChars="195"/>
        <w:rPr>
          <w:rFonts w:hint="eastAsia" w:cs="宋体"/>
          <w:color w:val="auto"/>
          <w:szCs w:val="21"/>
          <w:highlight w:val="none"/>
          <w:u w:val="single"/>
        </w:rPr>
      </w:pPr>
      <w:r>
        <w:rPr>
          <w:rFonts w:hint="eastAsia" w:cs="宋体"/>
          <w:color w:val="auto"/>
          <w:szCs w:val="21"/>
          <w:highlight w:val="none"/>
          <w:u w:val="single"/>
          <w:lang w:val="en-US" w:eastAsia="zh-CN"/>
        </w:rPr>
        <w:t>31.1</w:t>
      </w:r>
      <w:r>
        <w:rPr>
          <w:rFonts w:hint="eastAsia" w:cs="宋体"/>
          <w:color w:val="auto"/>
          <w:szCs w:val="21"/>
          <w:highlight w:val="none"/>
          <w:u w:val="single"/>
        </w:rPr>
        <w:t>中标人代缴广州公共资源交易中心的交易服务费，其费用包含在中标人投标报价中，交易中心向中标人开具增值税发票。</w:t>
      </w:r>
    </w:p>
    <w:p w14:paraId="635D3D0F">
      <w:pPr>
        <w:pBdr>
          <w:bottom w:val="single" w:color="auto" w:sz="6" w:space="1"/>
        </w:pBdr>
        <w:spacing w:line="360" w:lineRule="auto"/>
        <w:ind w:firstLine="409" w:firstLineChars="195"/>
        <w:rPr>
          <w:rFonts w:hint="eastAsia" w:eastAsia="宋体" w:cs="宋体"/>
          <w:color w:val="auto"/>
          <w:szCs w:val="21"/>
          <w:highlight w:val="none"/>
          <w:u w:val="single"/>
          <w:lang w:eastAsia="zh-CN"/>
        </w:rPr>
      </w:pPr>
      <w:r>
        <w:rPr>
          <w:rFonts w:hint="eastAsia" w:cs="宋体"/>
          <w:color w:val="auto"/>
          <w:szCs w:val="21"/>
          <w:highlight w:val="none"/>
          <w:u w:val="single"/>
          <w:lang w:val="en-US" w:eastAsia="zh-CN"/>
        </w:rPr>
        <w:t>31.2</w:t>
      </w:r>
      <w:r>
        <w:rPr>
          <w:rFonts w:hint="eastAsia" w:cs="宋体"/>
          <w:color w:val="auto"/>
          <w:szCs w:val="21"/>
          <w:highlight w:val="none"/>
          <w:u w:val="single"/>
        </w:rPr>
        <w:t>中标人须向招标代理机构缴纳招标代理服务费</w:t>
      </w:r>
      <w:r>
        <w:rPr>
          <w:rFonts w:hint="eastAsia" w:cs="宋体"/>
          <w:color w:val="auto"/>
          <w:szCs w:val="21"/>
          <w:highlight w:val="none"/>
          <w:u w:val="single"/>
          <w:lang w:eastAsia="zh-CN"/>
        </w:rPr>
        <w:t>，其费用包含在中标人投标报价中。</w:t>
      </w:r>
      <w:r>
        <w:rPr>
          <w:rFonts w:hint="eastAsia" w:cs="宋体"/>
          <w:color w:val="auto"/>
          <w:szCs w:val="21"/>
          <w:highlight w:val="none"/>
          <w:u w:val="single"/>
          <w:lang w:val="en-US" w:eastAsia="zh-CN"/>
        </w:rPr>
        <w:t>以中标金额作为计费基数，</w:t>
      </w:r>
      <w:r>
        <w:rPr>
          <w:rFonts w:hint="eastAsia" w:cs="宋体"/>
          <w:color w:val="auto"/>
          <w:szCs w:val="21"/>
          <w:highlight w:val="none"/>
          <w:u w:val="single"/>
          <w:lang w:eastAsia="zh-CN"/>
        </w:rPr>
        <w:t>收费标准参照“招标代理服务费计费标准计价格〔2002〕1980号</w:t>
      </w:r>
      <w:r>
        <w:rPr>
          <w:rFonts w:hint="eastAsia" w:cs="宋体"/>
          <w:color w:val="auto"/>
          <w:szCs w:val="21"/>
          <w:highlight w:val="none"/>
          <w:u w:val="single"/>
          <w:lang w:val="en-US" w:eastAsia="zh-CN"/>
        </w:rPr>
        <w:t>和发改价格[2011]534号</w:t>
      </w:r>
      <w:r>
        <w:rPr>
          <w:rFonts w:hint="eastAsia" w:cs="宋体"/>
          <w:color w:val="auto"/>
          <w:szCs w:val="21"/>
          <w:highlight w:val="none"/>
          <w:u w:val="single"/>
          <w:lang w:eastAsia="zh-CN"/>
        </w:rPr>
        <w:t>”的（工程类）标准以差额定率累进计费方式</w:t>
      </w:r>
      <w:r>
        <w:rPr>
          <w:rFonts w:hint="eastAsia" w:cs="宋体"/>
          <w:color w:val="auto"/>
          <w:szCs w:val="21"/>
          <w:highlight w:val="none"/>
          <w:u w:val="single"/>
          <w:lang w:val="en-US" w:eastAsia="zh-CN"/>
        </w:rPr>
        <w:t>计算</w:t>
      </w:r>
      <w:r>
        <w:rPr>
          <w:rFonts w:hint="eastAsia" w:cs="宋体"/>
          <w:color w:val="auto"/>
          <w:szCs w:val="21"/>
          <w:highlight w:val="none"/>
          <w:u w:val="single"/>
          <w:lang w:eastAsia="zh-CN"/>
        </w:rPr>
        <w:t>下浮</w:t>
      </w:r>
      <w:r>
        <w:rPr>
          <w:rFonts w:hint="eastAsia" w:cs="宋体"/>
          <w:color w:val="auto"/>
          <w:szCs w:val="21"/>
          <w:highlight w:val="none"/>
          <w:u w:val="single"/>
          <w:lang w:val="en-US" w:eastAsia="zh-CN"/>
        </w:rPr>
        <w:t>35</w:t>
      </w:r>
      <w:r>
        <w:rPr>
          <w:rFonts w:hint="eastAsia" w:cs="宋体"/>
          <w:color w:val="auto"/>
          <w:szCs w:val="21"/>
          <w:highlight w:val="none"/>
          <w:u w:val="single"/>
          <w:lang w:eastAsia="zh-CN"/>
        </w:rPr>
        <w:t>%后</w:t>
      </w:r>
      <w:r>
        <w:rPr>
          <w:rFonts w:hint="eastAsia" w:cs="宋体"/>
          <w:color w:val="auto"/>
          <w:szCs w:val="21"/>
          <w:highlight w:val="none"/>
          <w:u w:val="single"/>
          <w:lang w:val="en-US" w:eastAsia="zh-CN"/>
        </w:rPr>
        <w:t>计取。</w:t>
      </w:r>
    </w:p>
    <w:p w14:paraId="5FC96AAE">
      <w:pPr>
        <w:spacing w:line="360" w:lineRule="auto"/>
        <w:rPr>
          <w:rFonts w:cs="宋体"/>
          <w:b/>
          <w:color w:val="auto"/>
          <w:szCs w:val="21"/>
          <w:highlight w:val="none"/>
        </w:rPr>
      </w:pPr>
      <w:r>
        <w:rPr>
          <w:rFonts w:hint="eastAsia" w:cs="宋体"/>
          <w:b/>
          <w:color w:val="auto"/>
          <w:szCs w:val="21"/>
          <w:highlight w:val="none"/>
        </w:rPr>
        <w:t>注：以上修改，仅限于本范本中有可供选择条款的情形。</w:t>
      </w:r>
    </w:p>
    <w:p w14:paraId="7260A67D">
      <w:pPr>
        <w:spacing w:line="360" w:lineRule="auto"/>
        <w:rPr>
          <w:rFonts w:cs="宋体"/>
          <w:color w:val="auto"/>
          <w:highlight w:val="none"/>
        </w:rPr>
      </w:pPr>
      <w:r>
        <w:rPr>
          <w:rFonts w:hint="eastAsia" w:cs="宋体"/>
          <w:b/>
          <w:color w:val="auto"/>
          <w:szCs w:val="21"/>
          <w:highlight w:val="none"/>
        </w:rPr>
        <w:t>（以下无正文）</w:t>
      </w:r>
    </w:p>
    <w:p w14:paraId="16AC9BCC">
      <w:pPr>
        <w:rPr>
          <w:rFonts w:hint="eastAsia"/>
          <w:color w:val="auto"/>
          <w:highlight w:val="none"/>
        </w:rPr>
      </w:pPr>
      <w:r>
        <w:rPr>
          <w:rFonts w:hint="eastAsia"/>
          <w:color w:val="auto"/>
          <w:highlight w:val="none"/>
        </w:rPr>
        <w:br w:type="page"/>
      </w:r>
    </w:p>
    <w:p w14:paraId="540A04E7">
      <w:pPr>
        <w:pStyle w:val="4"/>
        <w:rPr>
          <w:color w:val="auto"/>
          <w:sz w:val="21"/>
          <w:szCs w:val="21"/>
          <w:highlight w:val="none"/>
        </w:rPr>
      </w:pPr>
      <w:bookmarkStart w:id="3" w:name="_Toc2120"/>
      <w:r>
        <w:rPr>
          <w:rFonts w:hint="eastAsia"/>
          <w:color w:val="auto"/>
          <w:sz w:val="21"/>
          <w:szCs w:val="21"/>
          <w:highlight w:val="none"/>
        </w:rPr>
        <w:t>三、投标须知通用条款</w:t>
      </w:r>
      <w:bookmarkEnd w:id="3"/>
    </w:p>
    <w:p w14:paraId="3AA72E28">
      <w:pPr>
        <w:pStyle w:val="5"/>
        <w:spacing w:before="156" w:after="156"/>
        <w:jc w:val="center"/>
        <w:rPr>
          <w:color w:val="auto"/>
          <w:sz w:val="21"/>
          <w:szCs w:val="21"/>
          <w:highlight w:val="none"/>
        </w:rPr>
      </w:pPr>
      <w:bookmarkStart w:id="4" w:name="_Toc30203"/>
      <w:bookmarkStart w:id="5" w:name="_Toc15293"/>
      <w:bookmarkStart w:id="6" w:name="_Toc18664061"/>
      <w:r>
        <w:rPr>
          <w:rFonts w:hint="eastAsia"/>
          <w:color w:val="auto"/>
          <w:sz w:val="21"/>
          <w:szCs w:val="21"/>
          <w:highlight w:val="none"/>
        </w:rPr>
        <w:t>（一）总则</w:t>
      </w:r>
      <w:bookmarkEnd w:id="4"/>
      <w:bookmarkEnd w:id="5"/>
    </w:p>
    <w:p w14:paraId="16606F11">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1</w:t>
      </w:r>
      <w:r>
        <w:rPr>
          <w:rFonts w:hint="eastAsia" w:ascii="宋体" w:hAnsi="宋体"/>
          <w:b/>
          <w:bCs/>
          <w:color w:val="auto"/>
          <w:sz w:val="21"/>
          <w:szCs w:val="21"/>
          <w:highlight w:val="none"/>
        </w:rPr>
        <w:t>、定义</w:t>
      </w:r>
    </w:p>
    <w:p w14:paraId="1B58ECD5">
      <w:pPr>
        <w:pStyle w:val="25"/>
        <w:spacing w:after="0" w:line="360" w:lineRule="auto"/>
        <w:ind w:firstLine="420" w:firstLineChars="200"/>
        <w:rPr>
          <w:rFonts w:ascii="宋体"/>
          <w:b/>
          <w:bCs/>
          <w:color w:val="auto"/>
          <w:sz w:val="21"/>
          <w:szCs w:val="21"/>
          <w:highlight w:val="none"/>
        </w:rPr>
      </w:pPr>
      <w:r>
        <w:rPr>
          <w:rFonts w:hint="eastAsia" w:ascii="宋体" w:hAnsi="宋体"/>
          <w:color w:val="auto"/>
          <w:sz w:val="21"/>
          <w:szCs w:val="21"/>
          <w:highlight w:val="none"/>
        </w:rPr>
        <w:t>本招标文件使用的下列词语具有如下规定的意义：</w:t>
      </w:r>
    </w:p>
    <w:p w14:paraId="233E26D3">
      <w:pPr>
        <w:pStyle w:val="25"/>
        <w:spacing w:after="0" w:line="360" w:lineRule="auto"/>
        <w:ind w:firstLine="420" w:firstLineChars="200"/>
        <w:rPr>
          <w:rFonts w:ascii="宋体"/>
          <w:b/>
          <w:bCs/>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）“招标人”（即发包人）、“项目建设管理单位</w:t>
      </w:r>
      <w:r>
        <w:rPr>
          <w:rFonts w:hint="eastAsia" w:ascii="宋体"/>
          <w:color w:val="auto"/>
          <w:sz w:val="21"/>
          <w:szCs w:val="21"/>
          <w:highlight w:val="none"/>
        </w:rPr>
        <w:t>”</w:t>
      </w:r>
      <w:r>
        <w:rPr>
          <w:rFonts w:hint="eastAsia" w:ascii="宋体" w:hAnsi="宋体"/>
          <w:color w:val="auto"/>
          <w:sz w:val="21"/>
          <w:szCs w:val="21"/>
          <w:highlight w:val="none"/>
        </w:rPr>
        <w:t>（或称“项目代建单位”）、“招标代理”、“设计单位”、“监理单位”均已在投标须知前附表中列明。</w:t>
      </w:r>
    </w:p>
    <w:p w14:paraId="149CC56D">
      <w:pPr>
        <w:pStyle w:val="25"/>
        <w:spacing w:after="0" w:line="360" w:lineRule="auto"/>
        <w:ind w:firstLine="420" w:firstLineChars="200"/>
        <w:rPr>
          <w:rFonts w:asci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）“投标人”指向招标人提交投标文件的当事人。</w:t>
      </w:r>
      <w:r>
        <w:rPr>
          <w:rFonts w:ascii="宋体" w:hAnsi="宋体"/>
          <w:color w:val="auto"/>
          <w:sz w:val="21"/>
          <w:szCs w:val="21"/>
          <w:highlight w:val="none"/>
        </w:rPr>
        <w:t xml:space="preserve">   </w:t>
      </w:r>
    </w:p>
    <w:p w14:paraId="7BC78CF5">
      <w:pPr>
        <w:pStyle w:val="25"/>
        <w:spacing w:after="0"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3</w:t>
      </w:r>
      <w:r>
        <w:rPr>
          <w:rFonts w:hint="eastAsia" w:ascii="宋体" w:hAnsi="宋体"/>
          <w:color w:val="auto"/>
          <w:sz w:val="21"/>
          <w:szCs w:val="21"/>
          <w:highlight w:val="none"/>
        </w:rPr>
        <w:t>）“承包人”指其投标被招标人接受并与其签订承包合同的当事人。</w:t>
      </w:r>
    </w:p>
    <w:p w14:paraId="524890EC">
      <w:pPr>
        <w:pStyle w:val="25"/>
        <w:spacing w:after="0" w:line="360" w:lineRule="auto"/>
        <w:ind w:firstLine="420" w:firstLineChars="200"/>
        <w:rPr>
          <w:rFonts w:ascii="宋体"/>
          <w:color w:val="auto"/>
          <w:sz w:val="21"/>
          <w:szCs w:val="21"/>
          <w:highlight w:val="none"/>
          <w:u w:val="single"/>
        </w:rPr>
      </w:pPr>
      <w:r>
        <w:rPr>
          <w:rFonts w:hint="eastAsia" w:ascii="宋体" w:hAnsi="宋体"/>
          <w:color w:val="auto"/>
          <w:sz w:val="21"/>
          <w:szCs w:val="21"/>
          <w:highlight w:val="none"/>
        </w:rPr>
        <w:t>（</w:t>
      </w:r>
      <w:r>
        <w:rPr>
          <w:rFonts w:ascii="宋体" w:hAnsi="宋体"/>
          <w:color w:val="auto"/>
          <w:sz w:val="21"/>
          <w:szCs w:val="21"/>
          <w:highlight w:val="none"/>
        </w:rPr>
        <w:t>4</w:t>
      </w:r>
      <w:r>
        <w:rPr>
          <w:rFonts w:hint="eastAsia" w:ascii="宋体" w:hAnsi="宋体"/>
          <w:color w:val="auto"/>
          <w:sz w:val="21"/>
          <w:szCs w:val="21"/>
          <w:highlight w:val="none"/>
        </w:rPr>
        <w:t>）“招标文件”指由招标代理发出的本文件（包括全部章节、附件）及招标答疑会会议纪要和</w:t>
      </w:r>
      <w:r>
        <w:rPr>
          <w:rFonts w:hint="eastAsia" w:ascii="宋体" w:hAnsi="宋体"/>
          <w:bCs/>
          <w:color w:val="auto"/>
          <w:sz w:val="21"/>
          <w:szCs w:val="21"/>
          <w:highlight w:val="none"/>
        </w:rPr>
        <w:t>招标文件的澄清与修改</w:t>
      </w:r>
      <w:r>
        <w:rPr>
          <w:rFonts w:hint="eastAsia" w:ascii="宋体" w:hAnsi="宋体"/>
          <w:color w:val="auto"/>
          <w:sz w:val="21"/>
          <w:szCs w:val="21"/>
          <w:highlight w:val="none"/>
        </w:rPr>
        <w:t>文件。</w:t>
      </w:r>
    </w:p>
    <w:p w14:paraId="5F9DA9E0">
      <w:pPr>
        <w:pStyle w:val="25"/>
        <w:spacing w:after="0"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5</w:t>
      </w:r>
      <w:r>
        <w:rPr>
          <w:rFonts w:hint="eastAsia" w:ascii="宋体" w:hAnsi="宋体"/>
          <w:color w:val="auto"/>
          <w:sz w:val="21"/>
          <w:szCs w:val="21"/>
          <w:highlight w:val="none"/>
        </w:rPr>
        <w:t>）“投标文件”指投标人根据本项目招标文件向招标人提交的全部文件。</w:t>
      </w:r>
    </w:p>
    <w:p w14:paraId="7A77A17F">
      <w:pPr>
        <w:pStyle w:val="25"/>
        <w:spacing w:after="0"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w:t>
      </w:r>
      <w:r>
        <w:rPr>
          <w:rFonts w:ascii="宋体" w:hAnsi="宋体"/>
          <w:color w:val="auto"/>
          <w:sz w:val="21"/>
          <w:szCs w:val="21"/>
          <w:highlight w:val="none"/>
        </w:rPr>
        <w:t>6</w:t>
      </w:r>
      <w:r>
        <w:rPr>
          <w:rFonts w:hint="eastAsia" w:ascii="宋体" w:hAnsi="宋体"/>
          <w:color w:val="auto"/>
          <w:sz w:val="21"/>
          <w:szCs w:val="21"/>
          <w:highlight w:val="none"/>
        </w:rPr>
        <w:t>）“书面形式”指打字或印刷的文件和数据电文（包括电报、电传、传真、电子数据交换和电子邮件）。</w:t>
      </w:r>
    </w:p>
    <w:p w14:paraId="3F2CF936">
      <w:pPr>
        <w:spacing w:line="360" w:lineRule="auto"/>
        <w:ind w:firstLine="422" w:firstLineChars="200"/>
        <w:rPr>
          <w:b/>
          <w:color w:val="auto"/>
          <w:sz w:val="21"/>
          <w:szCs w:val="21"/>
          <w:highlight w:val="none"/>
        </w:rPr>
      </w:pPr>
      <w:r>
        <w:rPr>
          <w:b/>
          <w:color w:val="auto"/>
          <w:sz w:val="21"/>
          <w:szCs w:val="21"/>
          <w:highlight w:val="none"/>
        </w:rPr>
        <w:t>2</w:t>
      </w:r>
      <w:r>
        <w:rPr>
          <w:rFonts w:hint="eastAsia"/>
          <w:b/>
          <w:color w:val="auto"/>
          <w:sz w:val="21"/>
          <w:szCs w:val="21"/>
          <w:highlight w:val="none"/>
        </w:rPr>
        <w:t>、招标说明</w:t>
      </w:r>
    </w:p>
    <w:p w14:paraId="6CB5E03E">
      <w:pPr>
        <w:spacing w:line="360" w:lineRule="auto"/>
        <w:ind w:firstLine="420" w:firstLineChars="200"/>
        <w:rPr>
          <w:bCs/>
          <w:color w:val="auto"/>
          <w:sz w:val="21"/>
          <w:szCs w:val="21"/>
          <w:highlight w:val="none"/>
        </w:rPr>
      </w:pPr>
      <w:r>
        <w:rPr>
          <w:bCs/>
          <w:color w:val="auto"/>
          <w:sz w:val="21"/>
          <w:szCs w:val="21"/>
          <w:highlight w:val="none"/>
        </w:rPr>
        <w:t>2.1</w:t>
      </w:r>
      <w:r>
        <w:rPr>
          <w:rFonts w:hint="eastAsia"/>
          <w:bCs/>
          <w:color w:val="auto"/>
          <w:sz w:val="21"/>
          <w:szCs w:val="21"/>
          <w:highlight w:val="none"/>
        </w:rPr>
        <w:t>本招标工程项目按照《中华人民共和国招标投标法》等有关法律、行政法规、规章和规范性文件，通过招标方式选定承包人。</w:t>
      </w:r>
    </w:p>
    <w:p w14:paraId="582B5911">
      <w:pPr>
        <w:spacing w:line="360" w:lineRule="auto"/>
        <w:ind w:firstLine="420" w:firstLineChars="200"/>
        <w:rPr>
          <w:bCs/>
          <w:color w:val="auto"/>
          <w:sz w:val="21"/>
          <w:szCs w:val="21"/>
          <w:highlight w:val="none"/>
        </w:rPr>
      </w:pPr>
      <w:r>
        <w:rPr>
          <w:bCs/>
          <w:color w:val="auto"/>
          <w:sz w:val="21"/>
          <w:szCs w:val="21"/>
          <w:highlight w:val="none"/>
        </w:rPr>
        <w:t>2.2</w:t>
      </w:r>
      <w:r>
        <w:rPr>
          <w:rFonts w:hint="eastAsia"/>
          <w:bCs/>
          <w:color w:val="auto"/>
          <w:sz w:val="21"/>
          <w:szCs w:val="21"/>
          <w:highlight w:val="none"/>
        </w:rPr>
        <w:t>工程名称、建设地点、建设规模、承包方式、质量标准、招标范围、工期要求等均在投标须知前附表中列明。</w:t>
      </w:r>
    </w:p>
    <w:p w14:paraId="0C3F945B">
      <w:pPr>
        <w:spacing w:line="360" w:lineRule="auto"/>
        <w:ind w:firstLine="420" w:firstLineChars="200"/>
        <w:rPr>
          <w:bCs/>
          <w:color w:val="auto"/>
          <w:sz w:val="21"/>
          <w:szCs w:val="21"/>
          <w:highlight w:val="none"/>
        </w:rPr>
      </w:pPr>
      <w:r>
        <w:rPr>
          <w:bCs/>
          <w:color w:val="auto"/>
          <w:sz w:val="21"/>
          <w:szCs w:val="21"/>
          <w:highlight w:val="none"/>
        </w:rPr>
        <w:t>2.3</w:t>
      </w:r>
      <w:r>
        <w:rPr>
          <w:rFonts w:hint="eastAsia"/>
          <w:bCs/>
          <w:color w:val="auto"/>
          <w:sz w:val="21"/>
          <w:szCs w:val="21"/>
          <w:highlight w:val="none"/>
        </w:rPr>
        <w:t>设计说明：详见招标图纸。</w:t>
      </w:r>
    </w:p>
    <w:p w14:paraId="72D1EBDE">
      <w:pPr>
        <w:spacing w:line="360" w:lineRule="auto"/>
        <w:ind w:firstLine="420" w:firstLineChars="200"/>
        <w:rPr>
          <w:bCs/>
          <w:color w:val="auto"/>
          <w:sz w:val="21"/>
          <w:szCs w:val="21"/>
          <w:highlight w:val="none"/>
        </w:rPr>
      </w:pPr>
      <w:r>
        <w:rPr>
          <w:bCs/>
          <w:color w:val="auto"/>
          <w:sz w:val="21"/>
          <w:szCs w:val="21"/>
          <w:highlight w:val="none"/>
        </w:rPr>
        <w:t>2.4</w:t>
      </w:r>
      <w:r>
        <w:rPr>
          <w:rFonts w:hint="eastAsia"/>
          <w:bCs/>
          <w:color w:val="auto"/>
          <w:sz w:val="21"/>
          <w:szCs w:val="21"/>
          <w:highlight w:val="none"/>
        </w:rPr>
        <w:t>工程施工特点：详见招标图纸。</w:t>
      </w:r>
    </w:p>
    <w:p w14:paraId="6AE2B8C2">
      <w:pPr>
        <w:tabs>
          <w:tab w:val="left" w:pos="105"/>
        </w:tabs>
        <w:spacing w:line="360" w:lineRule="auto"/>
        <w:ind w:firstLine="422" w:firstLineChars="200"/>
        <w:rPr>
          <w:b/>
          <w:color w:val="auto"/>
          <w:sz w:val="21"/>
          <w:szCs w:val="21"/>
          <w:highlight w:val="none"/>
        </w:rPr>
      </w:pPr>
      <w:r>
        <w:rPr>
          <w:b/>
          <w:color w:val="auto"/>
          <w:sz w:val="21"/>
          <w:szCs w:val="21"/>
          <w:highlight w:val="none"/>
        </w:rPr>
        <w:t>3</w:t>
      </w:r>
      <w:r>
        <w:rPr>
          <w:rFonts w:hint="eastAsia"/>
          <w:b/>
          <w:color w:val="auto"/>
          <w:sz w:val="21"/>
          <w:szCs w:val="21"/>
          <w:highlight w:val="none"/>
        </w:rPr>
        <w:t>．资金来源</w:t>
      </w:r>
    </w:p>
    <w:p w14:paraId="26C9CAAC">
      <w:pPr>
        <w:spacing w:line="360" w:lineRule="auto"/>
        <w:ind w:firstLine="420" w:firstLineChars="200"/>
        <w:rPr>
          <w:bCs/>
          <w:color w:val="auto"/>
          <w:sz w:val="21"/>
          <w:szCs w:val="21"/>
          <w:highlight w:val="none"/>
        </w:rPr>
      </w:pPr>
      <w:r>
        <w:rPr>
          <w:bCs/>
          <w:color w:val="auto"/>
          <w:sz w:val="21"/>
          <w:szCs w:val="21"/>
          <w:highlight w:val="none"/>
        </w:rPr>
        <w:t>3.1</w:t>
      </w:r>
      <w:r>
        <w:rPr>
          <w:rFonts w:hint="eastAsia"/>
          <w:bCs/>
          <w:color w:val="auto"/>
          <w:sz w:val="21"/>
          <w:szCs w:val="21"/>
          <w:highlight w:val="none"/>
        </w:rPr>
        <w:t>本招标工程项目资金来源见投标须知前附表第</w:t>
      </w:r>
      <w:r>
        <w:rPr>
          <w:bCs/>
          <w:color w:val="auto"/>
          <w:sz w:val="21"/>
          <w:szCs w:val="21"/>
          <w:highlight w:val="none"/>
        </w:rPr>
        <w:t>9</w:t>
      </w:r>
      <w:r>
        <w:rPr>
          <w:rFonts w:hint="eastAsia"/>
          <w:bCs/>
          <w:color w:val="auto"/>
          <w:sz w:val="21"/>
          <w:szCs w:val="21"/>
          <w:highlight w:val="none"/>
        </w:rPr>
        <w:t>项</w:t>
      </w:r>
    </w:p>
    <w:p w14:paraId="6260F862">
      <w:pPr>
        <w:tabs>
          <w:tab w:val="left" w:pos="105"/>
        </w:tabs>
        <w:spacing w:line="360" w:lineRule="auto"/>
        <w:ind w:firstLine="422" w:firstLineChars="200"/>
        <w:rPr>
          <w:b/>
          <w:color w:val="auto"/>
          <w:sz w:val="21"/>
          <w:szCs w:val="21"/>
          <w:highlight w:val="none"/>
        </w:rPr>
      </w:pPr>
      <w:r>
        <w:rPr>
          <w:b/>
          <w:color w:val="auto"/>
          <w:sz w:val="21"/>
          <w:szCs w:val="21"/>
          <w:highlight w:val="none"/>
        </w:rPr>
        <w:t>4</w:t>
      </w:r>
      <w:r>
        <w:rPr>
          <w:rFonts w:hint="eastAsia"/>
          <w:b/>
          <w:color w:val="auto"/>
          <w:sz w:val="21"/>
          <w:szCs w:val="21"/>
          <w:highlight w:val="none"/>
        </w:rPr>
        <w:t>．合格投标人的条件</w:t>
      </w:r>
    </w:p>
    <w:p w14:paraId="31D9D64A">
      <w:pPr>
        <w:spacing w:line="360" w:lineRule="auto"/>
        <w:ind w:firstLine="420" w:firstLineChars="200"/>
        <w:rPr>
          <w:bCs/>
          <w:color w:val="auto"/>
          <w:sz w:val="21"/>
          <w:szCs w:val="21"/>
          <w:highlight w:val="none"/>
        </w:rPr>
      </w:pPr>
      <w:r>
        <w:rPr>
          <w:bCs/>
          <w:color w:val="auto"/>
          <w:sz w:val="21"/>
          <w:szCs w:val="21"/>
          <w:highlight w:val="none"/>
        </w:rPr>
        <w:t>4.1</w:t>
      </w:r>
      <w:r>
        <w:rPr>
          <w:rFonts w:hint="eastAsia"/>
          <w:bCs/>
          <w:color w:val="auto"/>
          <w:sz w:val="21"/>
          <w:szCs w:val="21"/>
          <w:highlight w:val="none"/>
        </w:rPr>
        <w:t>详见本项目招标公告</w:t>
      </w:r>
    </w:p>
    <w:p w14:paraId="474A8869">
      <w:pPr>
        <w:tabs>
          <w:tab w:val="left" w:pos="105"/>
        </w:tabs>
        <w:spacing w:line="360" w:lineRule="auto"/>
        <w:ind w:firstLine="422" w:firstLineChars="200"/>
        <w:rPr>
          <w:b/>
          <w:color w:val="auto"/>
          <w:sz w:val="21"/>
          <w:szCs w:val="21"/>
          <w:highlight w:val="none"/>
        </w:rPr>
      </w:pPr>
      <w:r>
        <w:rPr>
          <w:b/>
          <w:color w:val="auto"/>
          <w:sz w:val="21"/>
          <w:szCs w:val="21"/>
          <w:highlight w:val="none"/>
        </w:rPr>
        <w:t>5</w:t>
      </w:r>
      <w:r>
        <w:rPr>
          <w:rFonts w:hint="eastAsia"/>
          <w:b/>
          <w:color w:val="auto"/>
          <w:sz w:val="21"/>
          <w:szCs w:val="21"/>
          <w:highlight w:val="none"/>
        </w:rPr>
        <w:t>．踏勘现场</w:t>
      </w:r>
    </w:p>
    <w:p w14:paraId="316D65C5">
      <w:pPr>
        <w:spacing w:line="360" w:lineRule="auto"/>
        <w:ind w:firstLine="420" w:firstLineChars="200"/>
        <w:rPr>
          <w:bCs/>
          <w:color w:val="auto"/>
          <w:sz w:val="21"/>
          <w:szCs w:val="21"/>
          <w:highlight w:val="none"/>
          <w:u w:val="single"/>
        </w:rPr>
      </w:pPr>
      <w:r>
        <w:rPr>
          <w:bCs/>
          <w:color w:val="auto"/>
          <w:sz w:val="21"/>
          <w:szCs w:val="21"/>
          <w:highlight w:val="none"/>
        </w:rPr>
        <w:t xml:space="preserve">5.1 </w:t>
      </w:r>
      <w:r>
        <w:rPr>
          <w:rFonts w:hint="eastAsia"/>
          <w:bCs/>
          <w:color w:val="auto"/>
          <w:sz w:val="21"/>
          <w:szCs w:val="21"/>
          <w:highlight w:val="none"/>
        </w:rPr>
        <w:t>投标人应按本投标须知前附表第</w:t>
      </w:r>
      <w:r>
        <w:rPr>
          <w:bCs/>
          <w:color w:val="auto"/>
          <w:sz w:val="21"/>
          <w:szCs w:val="21"/>
          <w:highlight w:val="none"/>
        </w:rPr>
        <w:t>15</w:t>
      </w:r>
      <w:r>
        <w:rPr>
          <w:rFonts w:hint="eastAsia"/>
          <w:bCs/>
          <w:color w:val="auto"/>
          <w:sz w:val="21"/>
          <w:szCs w:val="21"/>
          <w:highlight w:val="none"/>
        </w:rPr>
        <w:t>项所述时间和要求对工程现场及周围环境进行踏勘，</w:t>
      </w:r>
      <w:r>
        <w:rPr>
          <w:rFonts w:hint="eastAsia"/>
          <w:color w:val="auto"/>
          <w:sz w:val="21"/>
          <w:szCs w:val="21"/>
          <w:highlight w:val="none"/>
        </w:rPr>
        <w:t>投标人应充分重视和仔细地进行这种考察，</w:t>
      </w:r>
      <w:r>
        <w:rPr>
          <w:rFonts w:hint="eastAsia"/>
          <w:bCs/>
          <w:color w:val="auto"/>
          <w:sz w:val="21"/>
          <w:szCs w:val="21"/>
          <w:highlight w:val="none"/>
        </w:rPr>
        <w:t>以便投标人获取</w:t>
      </w:r>
      <w:r>
        <w:rPr>
          <w:rFonts w:hint="eastAsia"/>
          <w:color w:val="auto"/>
          <w:sz w:val="21"/>
          <w:szCs w:val="21"/>
          <w:highlight w:val="none"/>
        </w:rPr>
        <w:t>那些须投标人自己负责的</w:t>
      </w:r>
      <w:r>
        <w:rPr>
          <w:rFonts w:hint="eastAsia"/>
          <w:bCs/>
          <w:color w:val="auto"/>
          <w:sz w:val="21"/>
          <w:szCs w:val="21"/>
          <w:highlight w:val="none"/>
        </w:rPr>
        <w:t>有关编制投标文件和签署合同所涉及现场所有的资料。</w:t>
      </w:r>
      <w:r>
        <w:rPr>
          <w:rFonts w:hint="eastAsia"/>
          <w:color w:val="auto"/>
          <w:sz w:val="21"/>
          <w:szCs w:val="21"/>
          <w:highlight w:val="none"/>
        </w:rPr>
        <w:t>一旦中标，这种考察即被认为其结果已在中标文件中得到充分反映。考察现场的费用由投标人自己承担。</w:t>
      </w:r>
    </w:p>
    <w:p w14:paraId="4255F32E">
      <w:pPr>
        <w:tabs>
          <w:tab w:val="left" w:pos="105"/>
        </w:tabs>
        <w:spacing w:line="360" w:lineRule="auto"/>
        <w:ind w:firstLine="420" w:firstLineChars="200"/>
        <w:rPr>
          <w:bCs/>
          <w:color w:val="auto"/>
          <w:sz w:val="21"/>
          <w:szCs w:val="21"/>
          <w:highlight w:val="none"/>
        </w:rPr>
      </w:pPr>
      <w:r>
        <w:rPr>
          <w:bCs/>
          <w:color w:val="auto"/>
          <w:sz w:val="21"/>
          <w:szCs w:val="21"/>
          <w:highlight w:val="none"/>
        </w:rPr>
        <w:t xml:space="preserve">5.2 </w:t>
      </w:r>
      <w:r>
        <w:rPr>
          <w:rFonts w:hint="eastAsia"/>
          <w:bCs/>
          <w:color w:val="auto"/>
          <w:sz w:val="21"/>
          <w:szCs w:val="21"/>
          <w:highlight w:val="none"/>
        </w:rPr>
        <w:t>招标人向投标人提供的有关现场的数据和资料，是招标人现有的能被投标人利用的资料，招标人对投标人做出的任何推论、理解和结论均不负责任。</w:t>
      </w:r>
    </w:p>
    <w:p w14:paraId="67214B93">
      <w:pPr>
        <w:spacing w:line="360" w:lineRule="auto"/>
        <w:ind w:firstLine="420" w:firstLineChars="200"/>
        <w:rPr>
          <w:bCs/>
          <w:color w:val="auto"/>
          <w:sz w:val="21"/>
          <w:szCs w:val="21"/>
          <w:highlight w:val="none"/>
        </w:rPr>
      </w:pPr>
      <w:r>
        <w:rPr>
          <w:bCs/>
          <w:color w:val="auto"/>
          <w:sz w:val="21"/>
          <w:szCs w:val="21"/>
          <w:highlight w:val="none"/>
        </w:rPr>
        <w:t xml:space="preserve">5.3 </w:t>
      </w:r>
      <w:r>
        <w:rPr>
          <w:rFonts w:hint="eastAsia"/>
          <w:bCs/>
          <w:color w:val="auto"/>
          <w:sz w:val="21"/>
          <w:szCs w:val="21"/>
          <w:highlight w:val="none"/>
        </w:rPr>
        <w:t>经招标人允许，投标人可为踏勘目的进入招标人的项目现场。</w:t>
      </w:r>
      <w:r>
        <w:rPr>
          <w:rFonts w:hint="eastAsia"/>
          <w:color w:val="auto"/>
          <w:sz w:val="21"/>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bCs/>
          <w:color w:val="auto"/>
          <w:sz w:val="21"/>
          <w:szCs w:val="21"/>
          <w:highlight w:val="none"/>
        </w:rPr>
        <w:t>投标人不得因此使招标人承担有关的责任和蒙受损失。</w:t>
      </w:r>
    </w:p>
    <w:p w14:paraId="49711D72">
      <w:pPr>
        <w:tabs>
          <w:tab w:val="left" w:pos="105"/>
        </w:tabs>
        <w:spacing w:line="360" w:lineRule="auto"/>
        <w:ind w:firstLine="422" w:firstLineChars="200"/>
        <w:rPr>
          <w:b/>
          <w:color w:val="auto"/>
          <w:sz w:val="21"/>
          <w:szCs w:val="21"/>
          <w:highlight w:val="none"/>
        </w:rPr>
      </w:pPr>
      <w:r>
        <w:rPr>
          <w:b/>
          <w:color w:val="auto"/>
          <w:sz w:val="21"/>
          <w:szCs w:val="21"/>
          <w:highlight w:val="none"/>
        </w:rPr>
        <w:t>6</w:t>
      </w:r>
      <w:r>
        <w:rPr>
          <w:rFonts w:hint="eastAsia"/>
          <w:b/>
          <w:color w:val="auto"/>
          <w:sz w:val="21"/>
          <w:szCs w:val="21"/>
          <w:highlight w:val="none"/>
        </w:rPr>
        <w:t>．投标费用</w:t>
      </w:r>
    </w:p>
    <w:p w14:paraId="3E4075F2">
      <w:pPr>
        <w:tabs>
          <w:tab w:val="left" w:pos="105"/>
        </w:tabs>
        <w:spacing w:line="360" w:lineRule="auto"/>
        <w:ind w:firstLine="420" w:firstLineChars="200"/>
        <w:rPr>
          <w:bCs/>
          <w:color w:val="auto"/>
          <w:sz w:val="21"/>
          <w:szCs w:val="21"/>
          <w:highlight w:val="none"/>
        </w:rPr>
      </w:pPr>
      <w:r>
        <w:rPr>
          <w:bCs/>
          <w:color w:val="auto"/>
          <w:sz w:val="21"/>
          <w:szCs w:val="21"/>
          <w:highlight w:val="none"/>
        </w:rPr>
        <w:t>6.1</w:t>
      </w:r>
      <w:r>
        <w:rPr>
          <w:rFonts w:hint="eastAsia"/>
          <w:color w:val="auto"/>
          <w:sz w:val="21"/>
          <w:szCs w:val="21"/>
          <w:highlight w:val="none"/>
        </w:rPr>
        <w:t>不论投标结果如何，投标人应承担</w:t>
      </w:r>
      <w:r>
        <w:rPr>
          <w:rFonts w:hint="eastAsia"/>
          <w:bCs/>
          <w:color w:val="auto"/>
          <w:sz w:val="21"/>
          <w:szCs w:val="21"/>
          <w:highlight w:val="none"/>
        </w:rPr>
        <w:t>自身</w:t>
      </w:r>
      <w:r>
        <w:rPr>
          <w:rFonts w:hint="eastAsia"/>
          <w:color w:val="auto"/>
          <w:sz w:val="21"/>
          <w:szCs w:val="21"/>
          <w:highlight w:val="none"/>
        </w:rPr>
        <w:t>因投标文件编制、递交及其他</w:t>
      </w:r>
      <w:r>
        <w:rPr>
          <w:rFonts w:hint="eastAsia"/>
          <w:bCs/>
          <w:color w:val="auto"/>
          <w:sz w:val="21"/>
          <w:szCs w:val="21"/>
          <w:highlight w:val="none"/>
        </w:rPr>
        <w:t>参加本招标活动</w:t>
      </w:r>
      <w:r>
        <w:rPr>
          <w:rFonts w:hint="eastAsia"/>
          <w:color w:val="auto"/>
          <w:sz w:val="21"/>
          <w:szCs w:val="21"/>
          <w:highlight w:val="none"/>
        </w:rPr>
        <w:t>所涉及的一切费用，招标人对上述费用不负任何责任。</w:t>
      </w:r>
    </w:p>
    <w:p w14:paraId="10AD428E">
      <w:pPr>
        <w:pStyle w:val="5"/>
        <w:spacing w:before="156" w:after="156"/>
        <w:rPr>
          <w:color w:val="auto"/>
          <w:sz w:val="21"/>
          <w:szCs w:val="21"/>
          <w:highlight w:val="none"/>
        </w:rPr>
      </w:pPr>
      <w:bookmarkStart w:id="7" w:name="_Toc22955"/>
      <w:bookmarkStart w:id="8" w:name="_Toc11149"/>
      <w:r>
        <w:rPr>
          <w:rFonts w:hint="eastAsia"/>
          <w:color w:val="auto"/>
          <w:sz w:val="21"/>
          <w:szCs w:val="21"/>
          <w:highlight w:val="none"/>
        </w:rPr>
        <w:t>（二）招标文件</w:t>
      </w:r>
      <w:bookmarkEnd w:id="7"/>
      <w:bookmarkEnd w:id="8"/>
    </w:p>
    <w:p w14:paraId="158FCBBE">
      <w:pPr>
        <w:tabs>
          <w:tab w:val="left" w:pos="105"/>
        </w:tabs>
        <w:spacing w:line="360" w:lineRule="auto"/>
        <w:ind w:firstLine="422" w:firstLineChars="200"/>
        <w:rPr>
          <w:b/>
          <w:color w:val="auto"/>
          <w:sz w:val="21"/>
          <w:szCs w:val="21"/>
          <w:highlight w:val="none"/>
        </w:rPr>
      </w:pPr>
      <w:r>
        <w:rPr>
          <w:b/>
          <w:color w:val="auto"/>
          <w:sz w:val="21"/>
          <w:szCs w:val="21"/>
          <w:highlight w:val="none"/>
        </w:rPr>
        <w:t>7.</w:t>
      </w:r>
      <w:r>
        <w:rPr>
          <w:rFonts w:hint="eastAsia"/>
          <w:b/>
          <w:color w:val="auto"/>
          <w:sz w:val="21"/>
          <w:szCs w:val="21"/>
          <w:highlight w:val="none"/>
        </w:rPr>
        <w:t>招标文件的组成</w:t>
      </w:r>
    </w:p>
    <w:p w14:paraId="7993C8D9">
      <w:pPr>
        <w:spacing w:line="360" w:lineRule="auto"/>
        <w:ind w:firstLine="420" w:firstLineChars="200"/>
        <w:rPr>
          <w:color w:val="auto"/>
          <w:sz w:val="21"/>
          <w:szCs w:val="21"/>
          <w:highlight w:val="none"/>
        </w:rPr>
      </w:pPr>
      <w:r>
        <w:rPr>
          <w:bCs/>
          <w:color w:val="auto"/>
          <w:sz w:val="21"/>
          <w:szCs w:val="21"/>
          <w:highlight w:val="none"/>
        </w:rPr>
        <w:t>7.1</w:t>
      </w:r>
      <w:r>
        <w:rPr>
          <w:rFonts w:hint="eastAsia"/>
          <w:color w:val="auto"/>
          <w:sz w:val="21"/>
          <w:szCs w:val="21"/>
          <w:highlight w:val="none"/>
        </w:rPr>
        <w:t>本招标文件包括下列文件，以及所有按本须知第</w:t>
      </w:r>
      <w:r>
        <w:rPr>
          <w:color w:val="auto"/>
          <w:sz w:val="21"/>
          <w:szCs w:val="21"/>
          <w:highlight w:val="none"/>
        </w:rPr>
        <w:t>8</w:t>
      </w:r>
      <w:r>
        <w:rPr>
          <w:rFonts w:hint="eastAsia"/>
          <w:color w:val="auto"/>
          <w:sz w:val="21"/>
          <w:szCs w:val="21"/>
          <w:highlight w:val="none"/>
        </w:rPr>
        <w:t>条发出的招标答疑会会议纪要和按本须知第</w:t>
      </w:r>
      <w:r>
        <w:rPr>
          <w:color w:val="auto"/>
          <w:sz w:val="21"/>
          <w:szCs w:val="21"/>
          <w:highlight w:val="none"/>
        </w:rPr>
        <w:t>9</w:t>
      </w:r>
      <w:r>
        <w:rPr>
          <w:rFonts w:hint="eastAsia"/>
          <w:color w:val="auto"/>
          <w:sz w:val="21"/>
          <w:szCs w:val="21"/>
          <w:highlight w:val="none"/>
        </w:rPr>
        <w:t>条发出的澄清或修改：</w:t>
      </w:r>
    </w:p>
    <w:p w14:paraId="735557BB">
      <w:pPr>
        <w:pStyle w:val="25"/>
        <w:spacing w:after="0" w:line="360" w:lineRule="auto"/>
        <w:ind w:left="-2" w:firstLine="420" w:firstLineChars="200"/>
        <w:rPr>
          <w:rFonts w:ascii="宋体"/>
          <w:color w:val="auto"/>
          <w:sz w:val="21"/>
          <w:szCs w:val="21"/>
          <w:highlight w:val="none"/>
        </w:rPr>
      </w:pPr>
      <w:r>
        <w:rPr>
          <w:rFonts w:hint="eastAsia" w:ascii="宋体" w:hAnsi="宋体"/>
          <w:bCs/>
          <w:color w:val="auto"/>
          <w:sz w:val="21"/>
          <w:szCs w:val="21"/>
          <w:highlight w:val="none"/>
        </w:rPr>
        <w:t>第一章</w:t>
      </w:r>
      <w:r>
        <w:rPr>
          <w:rFonts w:ascii="宋体" w:hAnsi="宋体"/>
          <w:bCs/>
          <w:color w:val="auto"/>
          <w:sz w:val="21"/>
          <w:szCs w:val="21"/>
          <w:highlight w:val="none"/>
        </w:rPr>
        <w:t xml:space="preserve">  </w:t>
      </w:r>
      <w:r>
        <w:rPr>
          <w:rFonts w:hint="eastAsia" w:ascii="宋体" w:hAnsi="宋体"/>
          <w:color w:val="auto"/>
          <w:sz w:val="21"/>
          <w:szCs w:val="21"/>
          <w:highlight w:val="none"/>
        </w:rPr>
        <w:t>投标须知</w:t>
      </w:r>
    </w:p>
    <w:p w14:paraId="496602ED">
      <w:pPr>
        <w:pStyle w:val="25"/>
        <w:spacing w:after="0" w:line="360" w:lineRule="auto"/>
        <w:ind w:left="-2" w:firstLine="420" w:firstLineChars="200"/>
        <w:rPr>
          <w:rFonts w:ascii="宋体"/>
          <w:color w:val="auto"/>
          <w:sz w:val="21"/>
          <w:szCs w:val="21"/>
          <w:highlight w:val="none"/>
        </w:rPr>
      </w:pPr>
      <w:r>
        <w:rPr>
          <w:rFonts w:hint="eastAsia" w:ascii="宋体" w:hAnsi="宋体"/>
          <w:bCs/>
          <w:color w:val="auto"/>
          <w:sz w:val="21"/>
          <w:szCs w:val="21"/>
          <w:highlight w:val="none"/>
        </w:rPr>
        <w:t>第二章</w:t>
      </w:r>
      <w:r>
        <w:rPr>
          <w:rFonts w:ascii="宋体" w:hAnsi="宋体"/>
          <w:bCs/>
          <w:color w:val="auto"/>
          <w:sz w:val="21"/>
          <w:szCs w:val="21"/>
          <w:highlight w:val="none"/>
        </w:rPr>
        <w:t xml:space="preserve">  </w:t>
      </w:r>
      <w:r>
        <w:rPr>
          <w:rFonts w:hint="eastAsia" w:ascii="宋体" w:hAnsi="宋体"/>
          <w:color w:val="auto"/>
          <w:sz w:val="21"/>
          <w:szCs w:val="21"/>
          <w:highlight w:val="none"/>
        </w:rPr>
        <w:t>开标、评标及定标办法</w:t>
      </w:r>
    </w:p>
    <w:p w14:paraId="73F56E54">
      <w:pPr>
        <w:pStyle w:val="25"/>
        <w:spacing w:after="0"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第三章</w:t>
      </w:r>
      <w:r>
        <w:rPr>
          <w:rFonts w:ascii="宋体" w:hAnsi="宋体"/>
          <w:color w:val="auto"/>
          <w:sz w:val="21"/>
          <w:szCs w:val="21"/>
          <w:highlight w:val="none"/>
        </w:rPr>
        <w:t xml:space="preserve">  </w:t>
      </w:r>
      <w:r>
        <w:rPr>
          <w:rFonts w:hint="eastAsia" w:ascii="宋体" w:hAnsi="宋体"/>
          <w:color w:val="auto"/>
          <w:sz w:val="21"/>
          <w:szCs w:val="21"/>
          <w:highlight w:val="none"/>
        </w:rPr>
        <w:t>合同条款</w:t>
      </w:r>
    </w:p>
    <w:p w14:paraId="5CEEB693">
      <w:pPr>
        <w:pStyle w:val="25"/>
        <w:spacing w:after="0" w:line="360" w:lineRule="auto"/>
        <w:ind w:firstLine="420" w:firstLineChars="200"/>
        <w:rPr>
          <w:rFonts w:ascii="宋体"/>
          <w:color w:val="auto"/>
          <w:sz w:val="21"/>
          <w:szCs w:val="21"/>
          <w:highlight w:val="none"/>
        </w:rPr>
      </w:pPr>
      <w:r>
        <w:rPr>
          <w:rFonts w:hint="eastAsia" w:ascii="宋体" w:hAnsi="宋体"/>
          <w:bCs/>
          <w:color w:val="auto"/>
          <w:sz w:val="21"/>
          <w:szCs w:val="21"/>
          <w:highlight w:val="none"/>
        </w:rPr>
        <w:t>第四章</w:t>
      </w:r>
      <w:r>
        <w:rPr>
          <w:rFonts w:ascii="宋体" w:hAnsi="宋体"/>
          <w:bCs/>
          <w:color w:val="auto"/>
          <w:sz w:val="21"/>
          <w:szCs w:val="21"/>
          <w:highlight w:val="none"/>
        </w:rPr>
        <w:t xml:space="preserve">  </w:t>
      </w:r>
      <w:r>
        <w:rPr>
          <w:rFonts w:hint="eastAsia" w:ascii="宋体" w:hAnsi="宋体"/>
          <w:color w:val="auto"/>
          <w:sz w:val="21"/>
          <w:szCs w:val="21"/>
          <w:highlight w:val="none"/>
        </w:rPr>
        <w:t>投标文件格式</w:t>
      </w:r>
    </w:p>
    <w:p w14:paraId="0C18A72D">
      <w:pPr>
        <w:pStyle w:val="25"/>
        <w:spacing w:after="0" w:line="360" w:lineRule="auto"/>
        <w:ind w:left="-2" w:firstLine="420" w:firstLineChars="200"/>
        <w:rPr>
          <w:rFonts w:ascii="宋体"/>
          <w:color w:val="auto"/>
          <w:sz w:val="21"/>
          <w:szCs w:val="21"/>
          <w:highlight w:val="none"/>
        </w:rPr>
      </w:pPr>
      <w:r>
        <w:rPr>
          <w:rFonts w:hint="eastAsia" w:ascii="宋体" w:hAnsi="宋体"/>
          <w:bCs/>
          <w:color w:val="auto"/>
          <w:sz w:val="21"/>
          <w:szCs w:val="21"/>
          <w:highlight w:val="none"/>
        </w:rPr>
        <w:t>第五章</w:t>
      </w:r>
      <w:r>
        <w:rPr>
          <w:rFonts w:ascii="宋体" w:hAnsi="宋体"/>
          <w:bCs/>
          <w:color w:val="auto"/>
          <w:sz w:val="21"/>
          <w:szCs w:val="21"/>
          <w:highlight w:val="none"/>
        </w:rPr>
        <w:t xml:space="preserve">  </w:t>
      </w:r>
      <w:r>
        <w:rPr>
          <w:rFonts w:hint="eastAsia" w:ascii="宋体" w:hAnsi="宋体"/>
          <w:color w:val="auto"/>
          <w:sz w:val="21"/>
          <w:szCs w:val="21"/>
          <w:highlight w:val="none"/>
        </w:rPr>
        <w:t>技术条件（工程建设标准）（另册）</w:t>
      </w:r>
    </w:p>
    <w:p w14:paraId="23FD5795">
      <w:pPr>
        <w:pStyle w:val="25"/>
        <w:spacing w:after="0" w:line="360" w:lineRule="auto"/>
        <w:ind w:left="-2" w:firstLine="420" w:firstLineChars="200"/>
        <w:rPr>
          <w:rFonts w:ascii="宋体"/>
          <w:color w:val="auto"/>
          <w:sz w:val="21"/>
          <w:szCs w:val="21"/>
          <w:highlight w:val="none"/>
        </w:rPr>
      </w:pPr>
      <w:r>
        <w:rPr>
          <w:rFonts w:hint="eastAsia" w:ascii="宋体" w:hAnsi="宋体"/>
          <w:bCs/>
          <w:color w:val="auto"/>
          <w:sz w:val="21"/>
          <w:szCs w:val="21"/>
          <w:highlight w:val="none"/>
        </w:rPr>
        <w:t>第六章</w:t>
      </w:r>
      <w:r>
        <w:rPr>
          <w:rFonts w:ascii="宋体" w:hAnsi="宋体"/>
          <w:bCs/>
          <w:color w:val="auto"/>
          <w:sz w:val="21"/>
          <w:szCs w:val="21"/>
          <w:highlight w:val="none"/>
        </w:rPr>
        <w:t xml:space="preserve">  </w:t>
      </w:r>
      <w:r>
        <w:rPr>
          <w:rFonts w:hint="eastAsia" w:ascii="宋体" w:hAnsi="宋体"/>
          <w:color w:val="auto"/>
          <w:sz w:val="21"/>
          <w:szCs w:val="21"/>
          <w:highlight w:val="none"/>
        </w:rPr>
        <w:t>图纸及勘察资料（另册）</w:t>
      </w:r>
    </w:p>
    <w:p w14:paraId="6820A101">
      <w:pPr>
        <w:pStyle w:val="25"/>
        <w:spacing w:after="0" w:line="360" w:lineRule="auto"/>
        <w:ind w:left="-2" w:firstLine="420" w:firstLineChars="200"/>
        <w:rPr>
          <w:rFonts w:ascii="宋体"/>
          <w:color w:val="auto"/>
          <w:sz w:val="21"/>
          <w:szCs w:val="21"/>
          <w:highlight w:val="none"/>
        </w:rPr>
      </w:pPr>
      <w:r>
        <w:rPr>
          <w:rFonts w:hint="eastAsia" w:ascii="宋体" w:hAnsi="宋体"/>
          <w:bCs/>
          <w:color w:val="auto"/>
          <w:sz w:val="21"/>
          <w:szCs w:val="21"/>
          <w:highlight w:val="none"/>
        </w:rPr>
        <w:t>第七章</w:t>
      </w:r>
      <w:r>
        <w:rPr>
          <w:rFonts w:ascii="宋体" w:hAnsi="宋体"/>
          <w:bCs/>
          <w:color w:val="auto"/>
          <w:sz w:val="21"/>
          <w:szCs w:val="21"/>
          <w:highlight w:val="none"/>
        </w:rPr>
        <w:t xml:space="preserve">  </w:t>
      </w:r>
      <w:r>
        <w:rPr>
          <w:rFonts w:hint="eastAsia" w:ascii="宋体" w:hAnsi="宋体"/>
          <w:bCs/>
          <w:color w:val="auto"/>
          <w:sz w:val="21"/>
          <w:szCs w:val="21"/>
          <w:highlight w:val="none"/>
        </w:rPr>
        <w:t>招标</w:t>
      </w:r>
      <w:r>
        <w:rPr>
          <w:rFonts w:hint="eastAsia" w:ascii="宋体" w:hAnsi="宋体"/>
          <w:color w:val="auto"/>
          <w:sz w:val="21"/>
          <w:szCs w:val="21"/>
          <w:highlight w:val="none"/>
        </w:rPr>
        <w:t>工程量清单（另册）</w:t>
      </w:r>
    </w:p>
    <w:p w14:paraId="34F6488F">
      <w:pPr>
        <w:pStyle w:val="25"/>
        <w:spacing w:after="0" w:line="360" w:lineRule="auto"/>
        <w:ind w:left="-2" w:firstLine="420" w:firstLineChars="200"/>
        <w:rPr>
          <w:rFonts w:ascii="宋体"/>
          <w:color w:val="auto"/>
          <w:sz w:val="21"/>
          <w:szCs w:val="21"/>
          <w:highlight w:val="none"/>
        </w:rPr>
      </w:pPr>
      <w:r>
        <w:rPr>
          <w:rFonts w:hint="eastAsia" w:ascii="宋体" w:hAnsi="宋体"/>
          <w:color w:val="auto"/>
          <w:sz w:val="21"/>
          <w:szCs w:val="21"/>
          <w:highlight w:val="none"/>
        </w:rPr>
        <w:t>第八章</w:t>
      </w:r>
      <w:r>
        <w:rPr>
          <w:rFonts w:ascii="宋体" w:hAnsi="宋体"/>
          <w:color w:val="auto"/>
          <w:sz w:val="21"/>
          <w:szCs w:val="21"/>
          <w:highlight w:val="none"/>
        </w:rPr>
        <w:t xml:space="preserve">  </w:t>
      </w:r>
      <w:r>
        <w:rPr>
          <w:rFonts w:hint="eastAsia" w:ascii="宋体" w:hAnsi="宋体"/>
          <w:color w:val="auto"/>
          <w:sz w:val="21"/>
          <w:szCs w:val="21"/>
          <w:highlight w:val="none"/>
        </w:rPr>
        <w:t>最高投标限价</w:t>
      </w:r>
    </w:p>
    <w:p w14:paraId="69F37FDD">
      <w:pPr>
        <w:pStyle w:val="25"/>
        <w:spacing w:after="0" w:line="360"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05F0448E">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7.2 </w:t>
      </w:r>
      <w:r>
        <w:rPr>
          <w:rFonts w:hint="eastAsia" w:ascii="宋体" w:hAnsi="宋体"/>
          <w:color w:val="auto"/>
          <w:sz w:val="21"/>
          <w:szCs w:val="21"/>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58D809AE">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7.3 </w:t>
      </w:r>
      <w:r>
        <w:rPr>
          <w:rFonts w:hint="eastAsia" w:ascii="宋体" w:hAnsi="宋体"/>
          <w:color w:val="auto"/>
          <w:sz w:val="21"/>
          <w:szCs w:val="21"/>
          <w:highlight w:val="none"/>
        </w:rPr>
        <w:t>投标人一旦中标，招标文件的内容对招标人和中标人双方均有约束力。</w:t>
      </w:r>
    </w:p>
    <w:p w14:paraId="70862ECA">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8</w:t>
      </w:r>
      <w:r>
        <w:rPr>
          <w:rFonts w:hint="eastAsia" w:ascii="宋体" w:hAnsi="宋体"/>
          <w:b/>
          <w:bCs/>
          <w:color w:val="auto"/>
          <w:sz w:val="21"/>
          <w:szCs w:val="21"/>
          <w:highlight w:val="none"/>
        </w:rPr>
        <w:t>．招标答疑</w:t>
      </w:r>
    </w:p>
    <w:p w14:paraId="66914AE7">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8.1 </w:t>
      </w:r>
      <w:r>
        <w:rPr>
          <w:rFonts w:hint="eastAsia" w:ascii="宋体" w:hAnsi="宋体"/>
          <w:color w:val="auto"/>
          <w:sz w:val="21"/>
          <w:szCs w:val="21"/>
          <w:highlight w:val="none"/>
        </w:rPr>
        <w:t>投标人若对招标文件（包括招标图纸）中有疑问，可以书面形式</w:t>
      </w:r>
      <w:r>
        <w:rPr>
          <w:rFonts w:hint="eastAsia"/>
          <w:color w:val="auto"/>
          <w:sz w:val="21"/>
          <w:szCs w:val="21"/>
          <w:highlight w:val="none"/>
        </w:rPr>
        <w:t>通过</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color w:val="auto"/>
          <w:sz w:val="21"/>
          <w:szCs w:val="21"/>
          <w:highlight w:val="none"/>
        </w:rPr>
        <w:t>提交</w:t>
      </w:r>
      <w:r>
        <w:rPr>
          <w:rFonts w:hint="eastAsia" w:ascii="宋体" w:hAnsi="宋体"/>
          <w:color w:val="auto"/>
          <w:sz w:val="21"/>
          <w:szCs w:val="21"/>
          <w:highlight w:val="none"/>
        </w:rPr>
        <w:t>给招标人或招标代理人，提交形式见本须知前附表第</w:t>
      </w:r>
      <w:r>
        <w:rPr>
          <w:rFonts w:ascii="宋体" w:hAnsi="宋体"/>
          <w:color w:val="auto"/>
          <w:sz w:val="21"/>
          <w:szCs w:val="21"/>
          <w:highlight w:val="none"/>
        </w:rPr>
        <w:t>16</w:t>
      </w:r>
      <w:r>
        <w:rPr>
          <w:rFonts w:hint="eastAsia" w:ascii="宋体" w:hAnsi="宋体"/>
          <w:color w:val="auto"/>
          <w:sz w:val="21"/>
          <w:szCs w:val="21"/>
          <w:highlight w:val="none"/>
        </w:rPr>
        <w:t>项。</w:t>
      </w:r>
    </w:p>
    <w:p w14:paraId="36693B72">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8.2</w:t>
      </w:r>
      <w:r>
        <w:rPr>
          <w:rFonts w:hint="eastAsia" w:ascii="宋体"/>
          <w:color w:val="auto"/>
          <w:sz w:val="21"/>
          <w:szCs w:val="21"/>
          <w:highlight w:val="none"/>
        </w:rPr>
        <w:t>招标答疑会会议纪要将在提交投标文件截止时间15日前在</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ascii="宋体"/>
          <w:color w:val="auto"/>
          <w:sz w:val="21"/>
          <w:szCs w:val="21"/>
          <w:highlight w:val="none"/>
        </w:rPr>
        <w:t xml:space="preserve"> “项目答疑纪要”专区公开发布。答疑纪要一经在</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ascii="宋体"/>
          <w:color w:val="auto"/>
          <w:sz w:val="21"/>
          <w:szCs w:val="21"/>
          <w:highlight w:val="none"/>
        </w:rPr>
        <w:t>发布，视作已发放给所有投标人。</w:t>
      </w:r>
    </w:p>
    <w:p w14:paraId="6F588DCE">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8.3</w:t>
      </w:r>
      <w:r>
        <w:rPr>
          <w:rFonts w:hint="eastAsia" w:ascii="宋体" w:hAnsi="宋体"/>
          <w:color w:val="auto"/>
          <w:sz w:val="21"/>
          <w:szCs w:val="21"/>
          <w:highlight w:val="none"/>
        </w:rPr>
        <w:t>答疑会会议纪要为招标文件的一部分。</w:t>
      </w:r>
    </w:p>
    <w:p w14:paraId="2D8B1A69">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8.4</w:t>
      </w:r>
      <w:r>
        <w:rPr>
          <w:rFonts w:hint="eastAsia" w:ascii="宋体" w:hAnsi="宋体"/>
          <w:color w:val="auto"/>
          <w:sz w:val="21"/>
          <w:szCs w:val="21"/>
          <w:highlight w:val="none"/>
        </w:rPr>
        <w:t>若招标答疑会会议纪要与招标文件有矛盾，以答疑会议纪要最后发出的书面形式的文件为准。</w:t>
      </w:r>
    </w:p>
    <w:p w14:paraId="5CB712E9">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9.</w:t>
      </w:r>
      <w:r>
        <w:rPr>
          <w:rFonts w:hint="eastAsia" w:ascii="宋体" w:hAnsi="宋体"/>
          <w:b/>
          <w:bCs/>
          <w:color w:val="auto"/>
          <w:sz w:val="21"/>
          <w:szCs w:val="21"/>
          <w:highlight w:val="none"/>
        </w:rPr>
        <w:t>招标文件的澄清与修改</w:t>
      </w:r>
    </w:p>
    <w:p w14:paraId="7DE5A46B">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9.1</w:t>
      </w:r>
      <w:r>
        <w:rPr>
          <w:rFonts w:hint="eastAsia" w:ascii="宋体" w:hAnsi="宋体"/>
          <w:color w:val="auto"/>
          <w:sz w:val="21"/>
          <w:szCs w:val="21"/>
          <w:highlight w:val="none"/>
        </w:rPr>
        <w:t>招标文件发出后</w:t>
      </w:r>
      <w:r>
        <w:rPr>
          <w:rFonts w:ascii="宋体"/>
          <w:color w:val="auto"/>
          <w:sz w:val="21"/>
          <w:szCs w:val="21"/>
          <w:highlight w:val="none"/>
        </w:rPr>
        <w:t>,</w:t>
      </w:r>
      <w:r>
        <w:rPr>
          <w:rFonts w:hint="eastAsia" w:ascii="宋体" w:hAnsi="宋体"/>
          <w:color w:val="auto"/>
          <w:sz w:val="21"/>
          <w:szCs w:val="21"/>
          <w:highlight w:val="none"/>
        </w:rPr>
        <w:t>在提交投标文件截止时间15日前，招标人可对招标文件进行必要的澄清或修改。</w:t>
      </w:r>
    </w:p>
    <w:p w14:paraId="03CCE344">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9.2</w:t>
      </w:r>
      <w:r>
        <w:rPr>
          <w:rFonts w:hint="eastAsia" w:ascii="宋体"/>
          <w:color w:val="auto"/>
          <w:sz w:val="21"/>
          <w:szCs w:val="21"/>
          <w:highlight w:val="none"/>
        </w:rPr>
        <w:t>招标文件的澄清或修改将在</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ascii="宋体"/>
          <w:color w:val="auto"/>
          <w:sz w:val="21"/>
          <w:szCs w:val="21"/>
          <w:highlight w:val="none"/>
        </w:rPr>
        <w:t>“项目答疑纪要”专区公开发布。答疑纪要一经在</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ascii="宋体"/>
          <w:color w:val="auto"/>
          <w:sz w:val="21"/>
          <w:szCs w:val="21"/>
          <w:highlight w:val="none"/>
        </w:rPr>
        <w:t>发布，视作已发放给所有投标人，以</w:t>
      </w:r>
      <w:r>
        <w:rPr>
          <w:color w:val="auto"/>
          <w:sz w:val="21"/>
          <w:szCs w:val="21"/>
          <w:highlight w:val="none"/>
          <w:u w:val="single"/>
        </w:rPr>
        <w:t xml:space="preserve">        </w:t>
      </w:r>
      <w:r>
        <w:rPr>
          <w:rFonts w:hint="eastAsia" w:ascii="宋体" w:hAnsi="宋体"/>
          <w:color w:val="auto"/>
          <w:sz w:val="21"/>
          <w:szCs w:val="21"/>
          <w:highlight w:val="none"/>
        </w:rPr>
        <w:t>交易平台</w:t>
      </w:r>
      <w:r>
        <w:rPr>
          <w:rFonts w:hint="eastAsia" w:ascii="宋体"/>
          <w:color w:val="auto"/>
          <w:sz w:val="21"/>
          <w:szCs w:val="21"/>
          <w:highlight w:val="none"/>
        </w:rPr>
        <w:t>上网发布时间作为送达时间。</w:t>
      </w:r>
    </w:p>
    <w:p w14:paraId="54779B41">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9.3</w:t>
      </w:r>
      <w:r>
        <w:rPr>
          <w:rFonts w:hint="eastAsia" w:ascii="宋体" w:hAnsi="宋体"/>
          <w:color w:val="auto"/>
          <w:sz w:val="21"/>
          <w:szCs w:val="21"/>
          <w:highlight w:val="none"/>
        </w:rPr>
        <w:t>招标文件的修改内容为招标文件的组成部分。</w:t>
      </w:r>
    </w:p>
    <w:p w14:paraId="10963B2F">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9.4</w:t>
      </w:r>
      <w:r>
        <w:rPr>
          <w:rFonts w:hint="eastAsia" w:ascii="宋体" w:hAnsi="宋体"/>
          <w:color w:val="auto"/>
          <w:sz w:val="21"/>
          <w:szCs w:val="21"/>
          <w:highlight w:val="none"/>
        </w:rPr>
        <w:t>招标文件的澄清或修改均以书面形式明确的内容为准。当招标文件的澄清、修改、补充等在同一内容的表述不一致时，以最后发出的书面形式的文件为准。</w:t>
      </w:r>
    </w:p>
    <w:p w14:paraId="478FAC76">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9.5</w:t>
      </w:r>
      <w:r>
        <w:rPr>
          <w:rFonts w:hint="eastAsia" w:ascii="宋体" w:hAnsi="宋体"/>
          <w:color w:val="auto"/>
          <w:sz w:val="21"/>
          <w:szCs w:val="21"/>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033C346C">
      <w:pPr>
        <w:pStyle w:val="5"/>
        <w:spacing w:before="156" w:after="156"/>
        <w:rPr>
          <w:color w:val="auto"/>
          <w:sz w:val="21"/>
          <w:szCs w:val="21"/>
          <w:highlight w:val="none"/>
        </w:rPr>
      </w:pPr>
      <w:bookmarkStart w:id="9" w:name="_Toc12737"/>
      <w:bookmarkStart w:id="10" w:name="_Toc8804"/>
      <w:r>
        <w:rPr>
          <w:rFonts w:hint="eastAsia"/>
          <w:color w:val="auto"/>
          <w:sz w:val="21"/>
          <w:szCs w:val="21"/>
          <w:highlight w:val="none"/>
        </w:rPr>
        <w:t>（三）投标文件的编制</w:t>
      </w:r>
      <w:bookmarkEnd w:id="9"/>
      <w:bookmarkEnd w:id="10"/>
    </w:p>
    <w:p w14:paraId="5C858F91">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10</w:t>
      </w:r>
      <w:r>
        <w:rPr>
          <w:rFonts w:hint="eastAsia" w:ascii="宋体" w:hAnsi="宋体"/>
          <w:b/>
          <w:bCs/>
          <w:color w:val="auto"/>
          <w:sz w:val="21"/>
          <w:szCs w:val="21"/>
          <w:highlight w:val="none"/>
        </w:rPr>
        <w:t>．投标文件的语言及度量衡单位</w:t>
      </w:r>
    </w:p>
    <w:p w14:paraId="28E0D7F2">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10.1 </w:t>
      </w:r>
      <w:r>
        <w:rPr>
          <w:rFonts w:hint="eastAsia" w:ascii="宋体" w:hAnsi="宋体"/>
          <w:color w:val="auto"/>
          <w:sz w:val="21"/>
          <w:szCs w:val="21"/>
          <w:highlight w:val="none"/>
        </w:rPr>
        <w:t>投标文件和与投标有关的所有文件均应使用中文。</w:t>
      </w:r>
    </w:p>
    <w:p w14:paraId="364B4BC6">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10.2 </w:t>
      </w:r>
      <w:r>
        <w:rPr>
          <w:rFonts w:hint="eastAsia" w:ascii="宋体" w:hAnsi="宋体"/>
          <w:color w:val="auto"/>
          <w:sz w:val="21"/>
          <w:szCs w:val="21"/>
          <w:highlight w:val="none"/>
        </w:rPr>
        <w:t>除工程规范另有规定外，投标文件使用的度量衡单位，均采用中华人民共和国法定计量单位。</w:t>
      </w:r>
    </w:p>
    <w:p w14:paraId="2AE66A8F">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11</w:t>
      </w:r>
      <w:r>
        <w:rPr>
          <w:rFonts w:hint="eastAsia" w:ascii="宋体" w:hAnsi="宋体"/>
          <w:b/>
          <w:bCs/>
          <w:color w:val="auto"/>
          <w:sz w:val="21"/>
          <w:szCs w:val="21"/>
          <w:highlight w:val="none"/>
        </w:rPr>
        <w:t>．投标文件的组成</w:t>
      </w:r>
    </w:p>
    <w:p w14:paraId="063690B8">
      <w:pPr>
        <w:pStyle w:val="25"/>
        <w:spacing w:after="0" w:line="360" w:lineRule="auto"/>
        <w:ind w:firstLine="420" w:firstLineChars="200"/>
        <w:rPr>
          <w:rFonts w:ascii="宋体"/>
          <w:b/>
          <w:color w:val="auto"/>
          <w:sz w:val="21"/>
          <w:szCs w:val="21"/>
          <w:highlight w:val="none"/>
        </w:rPr>
      </w:pPr>
      <w:r>
        <w:rPr>
          <w:rFonts w:ascii="宋体" w:hAnsi="宋体"/>
          <w:color w:val="auto"/>
          <w:sz w:val="21"/>
          <w:szCs w:val="21"/>
          <w:highlight w:val="none"/>
        </w:rPr>
        <w:t xml:space="preserve">11.1 </w:t>
      </w:r>
      <w:r>
        <w:rPr>
          <w:rFonts w:hint="eastAsia" w:ascii="宋体" w:hAnsi="宋体"/>
          <w:color w:val="auto"/>
          <w:sz w:val="21"/>
          <w:szCs w:val="21"/>
          <w:highlight w:val="none"/>
        </w:rPr>
        <w:t>投标文件由技术部分（含资格审查文件）和经济部分两部分投标文件组成</w:t>
      </w:r>
      <w:r>
        <w:rPr>
          <w:rFonts w:hint="eastAsia" w:ascii="宋体" w:hAnsi="宋体"/>
          <w:b/>
          <w:color w:val="auto"/>
          <w:sz w:val="21"/>
          <w:szCs w:val="21"/>
          <w:highlight w:val="none"/>
        </w:rPr>
        <w:t>。</w:t>
      </w:r>
    </w:p>
    <w:p w14:paraId="58363D46">
      <w:pPr>
        <w:spacing w:line="360" w:lineRule="auto"/>
        <w:ind w:firstLine="420" w:firstLineChars="200"/>
        <w:rPr>
          <w:bCs/>
          <w:color w:val="auto"/>
          <w:sz w:val="21"/>
          <w:szCs w:val="21"/>
          <w:highlight w:val="none"/>
        </w:rPr>
      </w:pPr>
      <w:r>
        <w:rPr>
          <w:bCs/>
          <w:color w:val="auto"/>
          <w:sz w:val="21"/>
          <w:szCs w:val="21"/>
          <w:highlight w:val="none"/>
        </w:rPr>
        <w:t>11.2</w:t>
      </w:r>
      <w:r>
        <w:rPr>
          <w:rFonts w:hint="eastAsia"/>
          <w:bCs/>
          <w:color w:val="auto"/>
          <w:sz w:val="21"/>
          <w:szCs w:val="21"/>
          <w:highlight w:val="none"/>
        </w:rPr>
        <w:t>投标文件技术标部分主要包括下列内容</w:t>
      </w:r>
      <w:r>
        <w:rPr>
          <w:bCs/>
          <w:color w:val="auto"/>
          <w:sz w:val="21"/>
          <w:szCs w:val="21"/>
          <w:highlight w:val="none"/>
        </w:rPr>
        <w:t>:</w:t>
      </w:r>
    </w:p>
    <w:p w14:paraId="7EF2C1BA">
      <w:pPr>
        <w:spacing w:line="360" w:lineRule="auto"/>
        <w:ind w:firstLine="420" w:firstLineChars="200"/>
        <w:rPr>
          <w:bCs/>
          <w:color w:val="auto"/>
          <w:sz w:val="21"/>
          <w:szCs w:val="21"/>
          <w:highlight w:val="none"/>
        </w:rPr>
      </w:pPr>
      <w:r>
        <w:rPr>
          <w:rFonts w:hint="eastAsia"/>
          <w:bCs/>
          <w:color w:val="auto"/>
          <w:sz w:val="21"/>
          <w:szCs w:val="21"/>
          <w:highlight w:val="none"/>
        </w:rPr>
        <w:t>11.2.1 技术投标文件</w:t>
      </w:r>
      <w:r>
        <w:rPr>
          <w:color w:val="auto"/>
          <w:sz w:val="21"/>
          <w:szCs w:val="21"/>
          <w:highlight w:val="none"/>
        </w:rPr>
        <w:t>(</w:t>
      </w:r>
      <w:r>
        <w:rPr>
          <w:rFonts w:hint="eastAsia"/>
          <w:color w:val="auto"/>
          <w:sz w:val="21"/>
          <w:szCs w:val="21"/>
          <w:highlight w:val="none"/>
        </w:rPr>
        <w:t>按招标文件的要求填写</w:t>
      </w:r>
      <w:r>
        <w:rPr>
          <w:color w:val="auto"/>
          <w:sz w:val="21"/>
          <w:szCs w:val="21"/>
          <w:highlight w:val="none"/>
        </w:rPr>
        <w:t>)</w:t>
      </w:r>
      <w:r>
        <w:rPr>
          <w:rFonts w:hint="eastAsia"/>
          <w:bCs/>
          <w:color w:val="auto"/>
          <w:sz w:val="21"/>
          <w:szCs w:val="21"/>
          <w:highlight w:val="none"/>
        </w:rPr>
        <w:t>；</w:t>
      </w:r>
    </w:p>
    <w:p w14:paraId="1E853A7B">
      <w:pPr>
        <w:spacing w:line="360" w:lineRule="auto"/>
        <w:ind w:firstLine="420" w:firstLineChars="200"/>
        <w:rPr>
          <w:bCs/>
          <w:color w:val="auto"/>
          <w:sz w:val="21"/>
          <w:szCs w:val="21"/>
          <w:highlight w:val="none"/>
        </w:rPr>
      </w:pPr>
      <w:r>
        <w:rPr>
          <w:rFonts w:hint="eastAsia"/>
          <w:bCs/>
          <w:color w:val="auto"/>
          <w:sz w:val="21"/>
          <w:szCs w:val="21"/>
          <w:highlight w:val="none"/>
        </w:rPr>
        <w:t>11.2.2 资格审查文件：</w:t>
      </w:r>
    </w:p>
    <w:p w14:paraId="23155FC2">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 xml:space="preserve">（1）投标人声明； </w:t>
      </w:r>
    </w:p>
    <w:p w14:paraId="7649B499">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（2）法定代表人证明书、法定代表人签字或盖章的本投标文件授权委托证明书；</w:t>
      </w:r>
    </w:p>
    <w:p w14:paraId="41DFE975">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（3）企业营业执照扫描件或电子证照；</w:t>
      </w:r>
    </w:p>
    <w:p w14:paraId="3DEE159B">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（4）企业资质证书扫描件或电子证照；</w:t>
      </w:r>
    </w:p>
    <w:p w14:paraId="62239B71">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（5）建筑施工企业安全生产许可证扫描件或电子证照；</w:t>
      </w:r>
    </w:p>
    <w:p w14:paraId="259780B9">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（6）项目负责人（按网上投标登记时选择拟投入本项目的项目负责人）</w:t>
      </w:r>
    </w:p>
    <w:p w14:paraId="4A8F21C7">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（7）专职安全员（按网上投标登记时选择拟投入本项目的专职安全员）</w:t>
      </w:r>
    </w:p>
    <w:p w14:paraId="49F82CB3">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（8）拟委托技术负责人的相关证书、资料（具体要求由招标人明确）</w:t>
      </w:r>
    </w:p>
    <w:p w14:paraId="09D5C73A">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 xml:space="preserve">（9）拟委派项目负责人的有效期内的建造师注册证书扫描件或电子证书；  </w:t>
      </w:r>
    </w:p>
    <w:p w14:paraId="4A6E6F24">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（10）项目负责人在有效期内的安全生产考核合格证书（B类）或建筑施工企业项目负责人安全生产考核合格证书扫描件或电子证书；</w:t>
      </w:r>
    </w:p>
    <w:p w14:paraId="5308649B">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（11）专职安全员须具有在有效期内的安全生产考核合格证书（C类）或建筑施工企业专职安全生产管理人员安全生产考核合格证书扫描件或电子证书；</w:t>
      </w:r>
    </w:p>
    <w:p w14:paraId="567020A1">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（12）用于资格审查的业绩（设置业绩要求时选择此项，投标人须提供类似工程业绩的项目名称及项目编号，具体格式由招标人自定）；</w:t>
      </w:r>
    </w:p>
    <w:p w14:paraId="36E6F591">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1BED9820">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49CDBAC1">
      <w:pPr>
        <w:spacing w:line="360" w:lineRule="auto"/>
        <w:ind w:firstLine="420" w:firstLineChars="200"/>
        <w:rPr>
          <w:rFonts w:hint="eastAsia"/>
          <w:bCs/>
          <w:color w:val="auto"/>
          <w:sz w:val="21"/>
          <w:szCs w:val="21"/>
          <w:highlight w:val="none"/>
        </w:rPr>
      </w:pPr>
      <w:r>
        <w:rPr>
          <w:rFonts w:hint="eastAsia"/>
          <w:bCs/>
          <w:color w:val="auto"/>
          <w:sz w:val="21"/>
          <w:szCs w:val="21"/>
          <w:highlight w:val="none"/>
        </w:rPr>
        <w:t>注：1.相关电子证书按规定需打印后手写本人签名的，应按照规定手写本人签名后再扫描提交。</w:t>
      </w:r>
    </w:p>
    <w:p w14:paraId="5A40D176">
      <w:pPr>
        <w:numPr>
          <w:ilvl w:val="0"/>
          <w:numId w:val="0"/>
        </w:numPr>
        <w:spacing w:line="360" w:lineRule="auto"/>
        <w:ind w:firstLine="420" w:firstLineChars="200"/>
        <w:rPr>
          <w:rFonts w:hint="eastAsia"/>
          <w:bCs/>
          <w:color w:val="auto"/>
          <w:sz w:val="21"/>
          <w:szCs w:val="21"/>
          <w:highlight w:val="none"/>
        </w:rPr>
      </w:pPr>
      <w:r>
        <w:rPr>
          <w:rFonts w:hint="eastAsia" w:ascii="宋体" w:hAnsi="宋体" w:eastAsia="宋体" w:cs="Times New Roman"/>
          <w:bCs/>
          <w:color w:val="auto"/>
          <w:kern w:val="2"/>
          <w:sz w:val="21"/>
          <w:szCs w:val="21"/>
          <w:highlight w:val="none"/>
          <w:lang w:val="en-US" w:eastAsia="zh-CN" w:bidi="ar-SA"/>
        </w:rPr>
        <w:t>2.</w:t>
      </w:r>
      <w:r>
        <w:rPr>
          <w:rFonts w:hint="eastAsia"/>
          <w:bCs/>
          <w:color w:val="auto"/>
          <w:sz w:val="21"/>
          <w:szCs w:val="21"/>
          <w:highlight w:val="none"/>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000FB72">
      <w:pPr>
        <w:spacing w:line="360" w:lineRule="auto"/>
        <w:ind w:firstLine="420" w:firstLineChars="200"/>
        <w:rPr>
          <w:color w:val="auto"/>
          <w:sz w:val="21"/>
          <w:szCs w:val="21"/>
          <w:highlight w:val="none"/>
        </w:rPr>
      </w:pPr>
      <w:r>
        <w:rPr>
          <w:color w:val="auto"/>
          <w:sz w:val="21"/>
          <w:szCs w:val="21"/>
          <w:highlight w:val="none"/>
        </w:rPr>
        <w:t>11.2.3</w:t>
      </w:r>
      <w:r>
        <w:rPr>
          <w:rFonts w:hint="eastAsia"/>
          <w:color w:val="auto"/>
          <w:sz w:val="21"/>
          <w:szCs w:val="21"/>
          <w:highlight w:val="none"/>
        </w:rPr>
        <w:t>项目管理机构配备。</w:t>
      </w:r>
    </w:p>
    <w:p w14:paraId="4A0E5E1F">
      <w:pPr>
        <w:spacing w:line="360" w:lineRule="auto"/>
        <w:ind w:firstLine="420" w:firstLineChars="200"/>
        <w:rPr>
          <w:color w:val="auto"/>
          <w:sz w:val="21"/>
          <w:szCs w:val="21"/>
          <w:highlight w:val="none"/>
        </w:rPr>
      </w:pPr>
      <w:r>
        <w:rPr>
          <w:rFonts w:hint="eastAsia"/>
          <w:color w:val="auto"/>
          <w:sz w:val="21"/>
          <w:szCs w:val="21"/>
          <w:highlight w:val="none"/>
        </w:rPr>
        <w:t>（</w:t>
      </w:r>
      <w:r>
        <w:rPr>
          <w:color w:val="auto"/>
          <w:sz w:val="21"/>
          <w:szCs w:val="21"/>
          <w:highlight w:val="none"/>
        </w:rPr>
        <w:t>1</w:t>
      </w:r>
      <w:r>
        <w:rPr>
          <w:rFonts w:hint="eastAsia"/>
          <w:color w:val="auto"/>
          <w:sz w:val="21"/>
          <w:szCs w:val="21"/>
          <w:highlight w:val="none"/>
        </w:rPr>
        <w:t>）投标人应列出该项目工程的施工组织机构构成和画出机构框架图及其负责人；</w:t>
      </w:r>
    </w:p>
    <w:p w14:paraId="074589F3">
      <w:pPr>
        <w:spacing w:line="360" w:lineRule="auto"/>
        <w:ind w:firstLine="420" w:firstLineChars="200"/>
        <w:rPr>
          <w:color w:val="auto"/>
          <w:sz w:val="21"/>
          <w:szCs w:val="21"/>
          <w:highlight w:val="none"/>
        </w:rPr>
      </w:pPr>
      <w:r>
        <w:rPr>
          <w:rFonts w:hint="eastAsia"/>
          <w:color w:val="auto"/>
          <w:sz w:val="21"/>
          <w:szCs w:val="21"/>
          <w:highlight w:val="none"/>
        </w:rPr>
        <w:t>（</w:t>
      </w:r>
      <w:r>
        <w:rPr>
          <w:color w:val="auto"/>
          <w:sz w:val="21"/>
          <w:szCs w:val="21"/>
          <w:highlight w:val="none"/>
        </w:rPr>
        <w:t>2</w:t>
      </w:r>
      <w:r>
        <w:rPr>
          <w:rFonts w:hint="eastAsia"/>
          <w:color w:val="auto"/>
          <w:sz w:val="21"/>
          <w:szCs w:val="21"/>
          <w:highlight w:val="none"/>
        </w:rPr>
        <w:t>）投标人应详细列出该施工组织机构中主要成员的名单、简历资料、职务职称和在本项目中拟担任的职务等资料，并附上有关证明材料扫描件；</w:t>
      </w:r>
    </w:p>
    <w:p w14:paraId="401005F6">
      <w:pPr>
        <w:spacing w:line="360" w:lineRule="auto"/>
        <w:ind w:firstLine="420" w:firstLineChars="200"/>
        <w:rPr>
          <w:color w:val="auto"/>
          <w:sz w:val="21"/>
          <w:szCs w:val="21"/>
          <w:highlight w:val="none"/>
        </w:rPr>
      </w:pPr>
      <w:r>
        <w:rPr>
          <w:rFonts w:hint="eastAsia"/>
          <w:color w:val="auto"/>
          <w:sz w:val="21"/>
          <w:szCs w:val="21"/>
          <w:highlight w:val="none"/>
        </w:rPr>
        <w:t>（</w:t>
      </w:r>
      <w:r>
        <w:rPr>
          <w:color w:val="auto"/>
          <w:sz w:val="21"/>
          <w:szCs w:val="21"/>
          <w:highlight w:val="none"/>
        </w:rPr>
        <w:t>3</w:t>
      </w:r>
      <w:r>
        <w:rPr>
          <w:rFonts w:hint="eastAsia"/>
          <w:color w:val="auto"/>
          <w:sz w:val="21"/>
          <w:szCs w:val="21"/>
          <w:highlight w:val="none"/>
        </w:rPr>
        <w:t>）其他辅助说明资料。</w:t>
      </w:r>
    </w:p>
    <w:p w14:paraId="2523B0D1">
      <w:pPr>
        <w:spacing w:line="360" w:lineRule="auto"/>
        <w:ind w:firstLine="420" w:firstLineChars="200"/>
        <w:rPr>
          <w:color w:val="auto"/>
          <w:sz w:val="21"/>
          <w:szCs w:val="21"/>
          <w:highlight w:val="none"/>
        </w:rPr>
      </w:pPr>
      <w:r>
        <w:rPr>
          <w:color w:val="auto"/>
          <w:sz w:val="21"/>
          <w:szCs w:val="21"/>
          <w:highlight w:val="none"/>
        </w:rPr>
        <w:t>11.2.4</w:t>
      </w:r>
      <w:r>
        <w:rPr>
          <w:rFonts w:hint="eastAsia"/>
          <w:color w:val="auto"/>
          <w:sz w:val="21"/>
          <w:szCs w:val="21"/>
          <w:highlight w:val="none"/>
        </w:rPr>
        <w:t>投标人在</w:t>
      </w:r>
      <w:r>
        <w:rPr>
          <w:rFonts w:hint="default"/>
          <w:color w:val="auto"/>
          <w:sz w:val="21"/>
          <w:szCs w:val="21"/>
          <w:highlight w:val="none"/>
          <w:lang w:val="en-US"/>
        </w:rPr>
        <w:t>广州</w:t>
      </w:r>
      <w:r>
        <w:rPr>
          <w:rFonts w:hint="eastAsia"/>
          <w:color w:val="auto"/>
          <w:sz w:val="21"/>
          <w:szCs w:val="21"/>
          <w:highlight w:val="none"/>
        </w:rPr>
        <w:t>市可使用适合本工程的机械设备（附：机械设备为自有或租赁的说明；及承诺机械设备如属于租赁的，其租赁是不属于重复租赁）。</w:t>
      </w:r>
    </w:p>
    <w:p w14:paraId="41C39C52">
      <w:pPr>
        <w:tabs>
          <w:tab w:val="left" w:pos="1125"/>
        </w:tabs>
        <w:spacing w:line="360" w:lineRule="auto"/>
        <w:ind w:firstLine="420" w:firstLineChars="200"/>
        <w:rPr>
          <w:rFonts w:hint="eastAsia"/>
          <w:color w:val="auto"/>
          <w:sz w:val="21"/>
          <w:szCs w:val="21"/>
          <w:highlight w:val="none"/>
        </w:rPr>
      </w:pPr>
      <w:r>
        <w:rPr>
          <w:color w:val="auto"/>
          <w:sz w:val="21"/>
          <w:szCs w:val="21"/>
          <w:highlight w:val="none"/>
        </w:rPr>
        <w:t>11.2.</w:t>
      </w:r>
      <w:r>
        <w:rPr>
          <w:rFonts w:hint="default"/>
          <w:color w:val="auto"/>
          <w:sz w:val="21"/>
          <w:szCs w:val="21"/>
          <w:highlight w:val="none"/>
          <w:lang w:val="en-US"/>
        </w:rPr>
        <w:t>5</w:t>
      </w:r>
      <w:r>
        <w:rPr>
          <w:rFonts w:hint="eastAsia"/>
          <w:color w:val="auto"/>
          <w:sz w:val="21"/>
          <w:szCs w:val="21"/>
          <w:highlight w:val="none"/>
        </w:rPr>
        <w:t>施工组织设计或施工方案。</w:t>
      </w:r>
    </w:p>
    <w:p w14:paraId="6269E12E">
      <w:pPr>
        <w:tabs>
          <w:tab w:val="left" w:pos="1125"/>
        </w:tabs>
        <w:spacing w:line="360" w:lineRule="auto"/>
        <w:ind w:firstLine="420" w:firstLineChars="200"/>
        <w:rPr>
          <w:rFonts w:hint="eastAsia"/>
          <w:color w:val="auto"/>
          <w:sz w:val="21"/>
          <w:szCs w:val="21"/>
          <w:highlight w:val="none"/>
        </w:rPr>
      </w:pPr>
      <w:r>
        <w:rPr>
          <w:rFonts w:hint="eastAsia"/>
          <w:color w:val="auto"/>
          <w:sz w:val="21"/>
          <w:szCs w:val="21"/>
          <w:highlight w:val="none"/>
        </w:rPr>
        <w:t>（1）投标人在编制施工组织设计或施工方案时应按照招标人提出的施工现场建筑垃圾源头减量的具体要求以及建筑垃圾综合利用产品的使用要求提供相应措施。</w:t>
      </w:r>
    </w:p>
    <w:p w14:paraId="393EDB07">
      <w:pPr>
        <w:tabs>
          <w:tab w:val="left" w:pos="1125"/>
        </w:tabs>
        <w:spacing w:line="360" w:lineRule="auto"/>
        <w:ind w:firstLine="420" w:firstLineChars="200"/>
        <w:rPr>
          <w:color w:val="auto"/>
          <w:sz w:val="21"/>
          <w:szCs w:val="21"/>
          <w:highlight w:val="none"/>
        </w:rPr>
      </w:pPr>
      <w:r>
        <w:rPr>
          <w:rFonts w:hint="eastAsia"/>
          <w:color w:val="auto"/>
          <w:sz w:val="21"/>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08E898A6">
      <w:pPr>
        <w:tabs>
          <w:tab w:val="left" w:pos="1125"/>
        </w:tabs>
        <w:spacing w:line="360" w:lineRule="auto"/>
        <w:ind w:firstLine="420" w:firstLineChars="200"/>
        <w:rPr>
          <w:color w:val="auto"/>
          <w:sz w:val="21"/>
          <w:szCs w:val="21"/>
          <w:highlight w:val="none"/>
        </w:rPr>
      </w:pPr>
      <w:r>
        <w:rPr>
          <w:color w:val="auto"/>
          <w:sz w:val="21"/>
          <w:szCs w:val="21"/>
          <w:highlight w:val="none"/>
        </w:rPr>
        <w:t>11.2.</w:t>
      </w:r>
      <w:r>
        <w:rPr>
          <w:rFonts w:hint="default"/>
          <w:color w:val="auto"/>
          <w:sz w:val="21"/>
          <w:szCs w:val="21"/>
          <w:highlight w:val="none"/>
          <w:lang w:val="en-US"/>
        </w:rPr>
        <w:t>6</w:t>
      </w:r>
      <w:r>
        <w:rPr>
          <w:rFonts w:hint="eastAsia"/>
          <w:color w:val="auto"/>
          <w:sz w:val="21"/>
          <w:szCs w:val="21"/>
          <w:highlight w:val="none"/>
        </w:rPr>
        <w:t>按照</w:t>
      </w:r>
      <w:r>
        <w:rPr>
          <w:rFonts w:hint="eastAsia"/>
          <w:bCs/>
          <w:color w:val="auto"/>
          <w:sz w:val="21"/>
          <w:szCs w:val="21"/>
          <w:highlight w:val="none"/>
        </w:rPr>
        <w:t>招标文件要求</w:t>
      </w:r>
      <w:r>
        <w:rPr>
          <w:rFonts w:hint="eastAsia"/>
          <w:color w:val="auto"/>
          <w:sz w:val="21"/>
          <w:szCs w:val="21"/>
          <w:highlight w:val="none"/>
        </w:rPr>
        <w:t>填写的《参与编制技术标投标文件人员名单》。</w:t>
      </w:r>
    </w:p>
    <w:p w14:paraId="2D07059B">
      <w:pPr>
        <w:spacing w:line="360" w:lineRule="auto"/>
        <w:ind w:firstLine="420" w:firstLineChars="200"/>
        <w:rPr>
          <w:bCs/>
          <w:color w:val="auto"/>
          <w:sz w:val="21"/>
          <w:szCs w:val="21"/>
          <w:highlight w:val="none"/>
        </w:rPr>
      </w:pPr>
      <w:r>
        <w:rPr>
          <w:bCs/>
          <w:color w:val="auto"/>
          <w:sz w:val="21"/>
          <w:szCs w:val="21"/>
          <w:highlight w:val="none"/>
        </w:rPr>
        <w:t xml:space="preserve">11.3 </w:t>
      </w:r>
      <w:r>
        <w:rPr>
          <w:rFonts w:hint="eastAsia"/>
          <w:bCs/>
          <w:color w:val="auto"/>
          <w:sz w:val="21"/>
          <w:szCs w:val="21"/>
          <w:highlight w:val="none"/>
        </w:rPr>
        <w:t>经济部分投标文件主要包括下列内容：</w:t>
      </w:r>
    </w:p>
    <w:p w14:paraId="11B72E14">
      <w:pPr>
        <w:spacing w:line="360" w:lineRule="auto"/>
        <w:ind w:firstLine="420" w:firstLineChars="200"/>
        <w:rPr>
          <w:color w:val="auto"/>
          <w:sz w:val="21"/>
          <w:szCs w:val="21"/>
          <w:highlight w:val="none"/>
        </w:rPr>
      </w:pPr>
      <w:r>
        <w:rPr>
          <w:color w:val="auto"/>
          <w:sz w:val="21"/>
          <w:szCs w:val="21"/>
          <w:highlight w:val="none"/>
        </w:rPr>
        <w:t xml:space="preserve">11.3.1 </w:t>
      </w:r>
      <w:r>
        <w:rPr>
          <w:rFonts w:hint="eastAsia"/>
          <w:color w:val="auto"/>
          <w:sz w:val="21"/>
          <w:szCs w:val="21"/>
          <w:highlight w:val="none"/>
        </w:rPr>
        <w:t>经济投标文件</w:t>
      </w:r>
      <w:r>
        <w:rPr>
          <w:color w:val="auto"/>
          <w:sz w:val="21"/>
          <w:szCs w:val="21"/>
          <w:highlight w:val="none"/>
        </w:rPr>
        <w:t>(</w:t>
      </w:r>
      <w:r>
        <w:rPr>
          <w:rFonts w:hint="eastAsia"/>
          <w:color w:val="auto"/>
          <w:sz w:val="21"/>
          <w:szCs w:val="21"/>
          <w:highlight w:val="none"/>
        </w:rPr>
        <w:t>按招标文件的要求填写</w:t>
      </w:r>
      <w:r>
        <w:rPr>
          <w:color w:val="auto"/>
          <w:sz w:val="21"/>
          <w:szCs w:val="21"/>
          <w:highlight w:val="none"/>
        </w:rPr>
        <w:t>)</w:t>
      </w:r>
      <w:r>
        <w:rPr>
          <w:rFonts w:hint="eastAsia"/>
          <w:color w:val="auto"/>
          <w:sz w:val="21"/>
          <w:szCs w:val="21"/>
          <w:highlight w:val="none"/>
        </w:rPr>
        <w:t>。</w:t>
      </w:r>
    </w:p>
    <w:p w14:paraId="5FB56E3E">
      <w:pPr>
        <w:spacing w:line="360" w:lineRule="auto"/>
        <w:ind w:firstLine="420" w:firstLineChars="200"/>
        <w:rPr>
          <w:color w:val="auto"/>
          <w:sz w:val="21"/>
          <w:szCs w:val="21"/>
          <w:highlight w:val="none"/>
        </w:rPr>
      </w:pPr>
      <w:r>
        <w:rPr>
          <w:color w:val="auto"/>
          <w:sz w:val="21"/>
          <w:szCs w:val="21"/>
          <w:highlight w:val="none"/>
        </w:rPr>
        <w:t>11.3.2</w:t>
      </w:r>
      <w:r>
        <w:rPr>
          <w:rFonts w:hint="eastAsia"/>
          <w:color w:val="auto"/>
          <w:sz w:val="21"/>
          <w:szCs w:val="21"/>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r>
        <w:rPr>
          <w:color w:val="auto"/>
          <w:sz w:val="21"/>
          <w:szCs w:val="21"/>
          <w:highlight w:val="none"/>
        </w:rPr>
        <w:t xml:space="preserve"> </w:t>
      </w:r>
    </w:p>
    <w:p w14:paraId="19795B69">
      <w:pPr>
        <w:spacing w:line="360" w:lineRule="auto"/>
        <w:ind w:firstLine="495" w:firstLineChars="236"/>
        <w:rPr>
          <w:color w:val="auto"/>
          <w:sz w:val="21"/>
          <w:szCs w:val="21"/>
          <w:highlight w:val="none"/>
        </w:rPr>
      </w:pPr>
      <w:r>
        <w:rPr>
          <w:rFonts w:hint="eastAsia"/>
          <w:color w:val="auto"/>
          <w:sz w:val="21"/>
          <w:szCs w:val="21"/>
          <w:highlight w:val="none"/>
        </w:rPr>
        <w:t>（</w:t>
      </w:r>
      <w:r>
        <w:rPr>
          <w:color w:val="auto"/>
          <w:sz w:val="21"/>
          <w:szCs w:val="21"/>
          <w:highlight w:val="none"/>
        </w:rPr>
        <w:t>1</w:t>
      </w:r>
      <w:r>
        <w:rPr>
          <w:rFonts w:hint="eastAsia"/>
          <w:color w:val="auto"/>
          <w:sz w:val="21"/>
          <w:szCs w:val="21"/>
          <w:highlight w:val="none"/>
        </w:rPr>
        <w:t>）投标总价封面、扉页；</w:t>
      </w:r>
    </w:p>
    <w:p w14:paraId="3ADFC58A">
      <w:pPr>
        <w:spacing w:line="360" w:lineRule="auto"/>
        <w:ind w:firstLine="495" w:firstLineChars="236"/>
        <w:rPr>
          <w:color w:val="auto"/>
          <w:sz w:val="21"/>
          <w:szCs w:val="21"/>
          <w:highlight w:val="none"/>
        </w:rPr>
      </w:pPr>
      <w:r>
        <w:rPr>
          <w:rFonts w:hint="eastAsia"/>
          <w:color w:val="auto"/>
          <w:sz w:val="21"/>
          <w:szCs w:val="21"/>
          <w:highlight w:val="none"/>
        </w:rPr>
        <w:t>（</w:t>
      </w:r>
      <w:r>
        <w:rPr>
          <w:color w:val="auto"/>
          <w:sz w:val="21"/>
          <w:szCs w:val="21"/>
          <w:highlight w:val="none"/>
        </w:rPr>
        <w:t>2</w:t>
      </w:r>
      <w:r>
        <w:rPr>
          <w:rFonts w:hint="eastAsia"/>
          <w:color w:val="auto"/>
          <w:sz w:val="21"/>
          <w:szCs w:val="21"/>
          <w:highlight w:val="none"/>
        </w:rPr>
        <w:t>）总说明</w:t>
      </w:r>
    </w:p>
    <w:p w14:paraId="5063CDAA">
      <w:pPr>
        <w:spacing w:line="360" w:lineRule="auto"/>
        <w:ind w:firstLine="495" w:firstLineChars="236"/>
        <w:rPr>
          <w:color w:val="auto"/>
          <w:sz w:val="21"/>
          <w:szCs w:val="21"/>
          <w:highlight w:val="none"/>
        </w:rPr>
      </w:pPr>
      <w:r>
        <w:rPr>
          <w:rFonts w:hint="eastAsia"/>
          <w:color w:val="auto"/>
          <w:sz w:val="21"/>
          <w:szCs w:val="21"/>
          <w:highlight w:val="none"/>
        </w:rPr>
        <w:t>（3）工程项目投标报价汇总表；</w:t>
      </w:r>
    </w:p>
    <w:p w14:paraId="574BE9FE">
      <w:pPr>
        <w:spacing w:line="360" w:lineRule="auto"/>
        <w:ind w:firstLine="495" w:firstLineChars="236"/>
        <w:rPr>
          <w:color w:val="auto"/>
          <w:sz w:val="21"/>
          <w:szCs w:val="21"/>
          <w:highlight w:val="none"/>
        </w:rPr>
      </w:pPr>
      <w:r>
        <w:rPr>
          <w:rFonts w:hint="eastAsia"/>
          <w:color w:val="auto"/>
          <w:sz w:val="21"/>
          <w:szCs w:val="21"/>
          <w:highlight w:val="none"/>
        </w:rPr>
        <w:t>（4）单项工程投标报价汇总表；</w:t>
      </w:r>
    </w:p>
    <w:p w14:paraId="2EB22A2A">
      <w:pPr>
        <w:spacing w:line="360" w:lineRule="auto"/>
        <w:ind w:firstLine="495" w:firstLineChars="236"/>
        <w:rPr>
          <w:color w:val="auto"/>
          <w:sz w:val="21"/>
          <w:szCs w:val="21"/>
          <w:highlight w:val="none"/>
        </w:rPr>
      </w:pPr>
      <w:r>
        <w:rPr>
          <w:rFonts w:hint="eastAsia"/>
          <w:color w:val="auto"/>
          <w:sz w:val="21"/>
          <w:szCs w:val="21"/>
          <w:highlight w:val="none"/>
        </w:rPr>
        <w:t>（5）单位工程投标报价汇总表；</w:t>
      </w:r>
    </w:p>
    <w:p w14:paraId="08A5F3DB">
      <w:pPr>
        <w:spacing w:line="360" w:lineRule="auto"/>
        <w:ind w:firstLine="495" w:firstLineChars="236"/>
        <w:rPr>
          <w:color w:val="auto"/>
          <w:sz w:val="21"/>
          <w:szCs w:val="21"/>
          <w:highlight w:val="none"/>
        </w:rPr>
      </w:pPr>
      <w:r>
        <w:rPr>
          <w:rFonts w:hint="eastAsia"/>
          <w:color w:val="auto"/>
          <w:sz w:val="21"/>
          <w:szCs w:val="21"/>
          <w:highlight w:val="none"/>
        </w:rPr>
        <w:t>（6）分部分项工程清单与计价表；</w:t>
      </w:r>
    </w:p>
    <w:p w14:paraId="78726AB0">
      <w:pPr>
        <w:spacing w:line="360" w:lineRule="auto"/>
        <w:ind w:firstLine="495" w:firstLineChars="236"/>
        <w:rPr>
          <w:color w:val="auto"/>
          <w:sz w:val="21"/>
          <w:szCs w:val="21"/>
          <w:highlight w:val="none"/>
        </w:rPr>
      </w:pPr>
      <w:r>
        <w:rPr>
          <w:rFonts w:hint="eastAsia"/>
          <w:color w:val="auto"/>
          <w:sz w:val="21"/>
          <w:szCs w:val="21"/>
          <w:highlight w:val="none"/>
        </w:rPr>
        <w:t>（7）单价措施项目清单与计价表；</w:t>
      </w:r>
    </w:p>
    <w:p w14:paraId="5B985EB5">
      <w:pPr>
        <w:spacing w:line="360" w:lineRule="auto"/>
        <w:ind w:firstLine="495" w:firstLineChars="236"/>
        <w:rPr>
          <w:color w:val="auto"/>
          <w:sz w:val="21"/>
          <w:szCs w:val="21"/>
          <w:highlight w:val="none"/>
        </w:rPr>
      </w:pPr>
      <w:r>
        <w:rPr>
          <w:rFonts w:hint="eastAsia"/>
          <w:color w:val="auto"/>
          <w:sz w:val="21"/>
          <w:szCs w:val="21"/>
          <w:highlight w:val="none"/>
        </w:rPr>
        <w:t>（8）总价措施项目清单与计价表；</w:t>
      </w:r>
    </w:p>
    <w:p w14:paraId="1A53D94D">
      <w:pPr>
        <w:spacing w:line="360" w:lineRule="auto"/>
        <w:ind w:firstLine="495" w:firstLineChars="236"/>
        <w:rPr>
          <w:color w:val="auto"/>
          <w:sz w:val="21"/>
          <w:szCs w:val="21"/>
          <w:highlight w:val="none"/>
        </w:rPr>
      </w:pPr>
      <w:r>
        <w:rPr>
          <w:rFonts w:hint="eastAsia"/>
          <w:color w:val="auto"/>
          <w:sz w:val="21"/>
          <w:szCs w:val="21"/>
          <w:highlight w:val="none"/>
        </w:rPr>
        <w:t>（9）综合单价分析表；</w:t>
      </w:r>
    </w:p>
    <w:p w14:paraId="796FD500">
      <w:pPr>
        <w:spacing w:line="360" w:lineRule="auto"/>
        <w:ind w:firstLine="495" w:firstLineChars="236"/>
        <w:rPr>
          <w:color w:val="auto"/>
          <w:sz w:val="21"/>
          <w:szCs w:val="21"/>
          <w:highlight w:val="none"/>
        </w:rPr>
      </w:pPr>
      <w:r>
        <w:rPr>
          <w:rFonts w:hint="eastAsia"/>
          <w:color w:val="auto"/>
          <w:sz w:val="21"/>
          <w:szCs w:val="21"/>
          <w:highlight w:val="none"/>
        </w:rPr>
        <w:t>（10）其他项目清单与计价汇总表；</w:t>
      </w:r>
    </w:p>
    <w:p w14:paraId="7CB88336">
      <w:pPr>
        <w:spacing w:line="360" w:lineRule="auto"/>
        <w:ind w:firstLine="495" w:firstLineChars="236"/>
        <w:rPr>
          <w:color w:val="auto"/>
          <w:sz w:val="21"/>
          <w:szCs w:val="21"/>
          <w:highlight w:val="none"/>
        </w:rPr>
      </w:pPr>
      <w:r>
        <w:rPr>
          <w:rFonts w:hint="eastAsia"/>
          <w:color w:val="auto"/>
          <w:sz w:val="21"/>
          <w:szCs w:val="21"/>
          <w:highlight w:val="none"/>
        </w:rPr>
        <w:t>（11）暂列金额明细表；</w:t>
      </w:r>
    </w:p>
    <w:p w14:paraId="526FA1AB">
      <w:pPr>
        <w:spacing w:line="360" w:lineRule="auto"/>
        <w:ind w:firstLine="495" w:firstLineChars="236"/>
        <w:rPr>
          <w:color w:val="auto"/>
          <w:sz w:val="21"/>
          <w:szCs w:val="21"/>
          <w:highlight w:val="none"/>
        </w:rPr>
      </w:pPr>
      <w:r>
        <w:rPr>
          <w:rFonts w:hint="eastAsia"/>
          <w:color w:val="auto"/>
          <w:sz w:val="21"/>
          <w:szCs w:val="21"/>
          <w:highlight w:val="none"/>
        </w:rPr>
        <w:t>（12）材料（工程设备）暂估价明细表；</w:t>
      </w:r>
    </w:p>
    <w:p w14:paraId="5011496F">
      <w:pPr>
        <w:spacing w:line="360" w:lineRule="auto"/>
        <w:ind w:firstLine="495" w:firstLineChars="236"/>
        <w:rPr>
          <w:color w:val="auto"/>
          <w:sz w:val="21"/>
          <w:szCs w:val="21"/>
          <w:highlight w:val="none"/>
        </w:rPr>
      </w:pPr>
      <w:r>
        <w:rPr>
          <w:rFonts w:hint="eastAsia"/>
          <w:color w:val="auto"/>
          <w:sz w:val="21"/>
          <w:szCs w:val="21"/>
          <w:highlight w:val="none"/>
        </w:rPr>
        <w:t>（13）专业工程暂估价明细表；</w:t>
      </w:r>
    </w:p>
    <w:p w14:paraId="08C01CAA">
      <w:pPr>
        <w:spacing w:line="360" w:lineRule="auto"/>
        <w:ind w:firstLine="495" w:firstLineChars="236"/>
        <w:rPr>
          <w:color w:val="auto"/>
          <w:sz w:val="21"/>
          <w:szCs w:val="21"/>
          <w:highlight w:val="none"/>
        </w:rPr>
      </w:pPr>
      <w:r>
        <w:rPr>
          <w:rFonts w:hint="eastAsia"/>
          <w:color w:val="auto"/>
          <w:sz w:val="21"/>
          <w:szCs w:val="21"/>
          <w:highlight w:val="none"/>
        </w:rPr>
        <w:t>（14）计日工表；</w:t>
      </w:r>
    </w:p>
    <w:p w14:paraId="2531ED2E">
      <w:pPr>
        <w:spacing w:line="360" w:lineRule="auto"/>
        <w:ind w:firstLine="495" w:firstLineChars="236"/>
        <w:rPr>
          <w:color w:val="auto"/>
          <w:sz w:val="21"/>
          <w:szCs w:val="21"/>
          <w:highlight w:val="none"/>
        </w:rPr>
      </w:pPr>
      <w:r>
        <w:rPr>
          <w:rFonts w:hint="eastAsia"/>
          <w:color w:val="auto"/>
          <w:sz w:val="21"/>
          <w:szCs w:val="21"/>
          <w:highlight w:val="none"/>
        </w:rPr>
        <w:t>（15）总承包服务计价表；</w:t>
      </w:r>
    </w:p>
    <w:p w14:paraId="198885E0">
      <w:pPr>
        <w:spacing w:line="360" w:lineRule="auto"/>
        <w:ind w:firstLine="495" w:firstLineChars="236"/>
        <w:rPr>
          <w:color w:val="auto"/>
          <w:sz w:val="21"/>
          <w:szCs w:val="21"/>
          <w:highlight w:val="none"/>
        </w:rPr>
      </w:pPr>
      <w:r>
        <w:rPr>
          <w:rFonts w:hint="eastAsia"/>
          <w:color w:val="auto"/>
          <w:sz w:val="21"/>
          <w:szCs w:val="21"/>
          <w:highlight w:val="none"/>
        </w:rPr>
        <w:t>（16）规费和税金项目计价表；</w:t>
      </w:r>
    </w:p>
    <w:p w14:paraId="115D429C">
      <w:pPr>
        <w:spacing w:line="360" w:lineRule="auto"/>
        <w:ind w:firstLine="420" w:firstLineChars="200"/>
        <w:rPr>
          <w:color w:val="auto"/>
          <w:sz w:val="21"/>
          <w:szCs w:val="21"/>
          <w:highlight w:val="none"/>
        </w:rPr>
      </w:pPr>
      <w:r>
        <w:rPr>
          <w:rFonts w:hint="eastAsia"/>
          <w:color w:val="auto"/>
          <w:sz w:val="21"/>
          <w:szCs w:val="21"/>
          <w:highlight w:val="none"/>
        </w:rPr>
        <w:t xml:space="preserve"> （17）人工、主要材料和设备一览表</w:t>
      </w:r>
    </w:p>
    <w:p w14:paraId="7AC38E70">
      <w:pPr>
        <w:tabs>
          <w:tab w:val="left" w:pos="1125"/>
        </w:tabs>
        <w:spacing w:line="360" w:lineRule="auto"/>
        <w:ind w:firstLine="420" w:firstLineChars="200"/>
        <w:rPr>
          <w:color w:val="auto"/>
          <w:sz w:val="21"/>
          <w:szCs w:val="21"/>
          <w:highlight w:val="none"/>
        </w:rPr>
      </w:pPr>
      <w:r>
        <w:rPr>
          <w:color w:val="auto"/>
          <w:sz w:val="21"/>
          <w:szCs w:val="21"/>
          <w:highlight w:val="none"/>
        </w:rPr>
        <w:t>11.3.</w:t>
      </w:r>
      <w:r>
        <w:rPr>
          <w:rFonts w:hint="eastAsia"/>
          <w:color w:val="auto"/>
          <w:sz w:val="21"/>
          <w:szCs w:val="21"/>
          <w:highlight w:val="none"/>
        </w:rPr>
        <w:t>3按照</w:t>
      </w:r>
      <w:r>
        <w:rPr>
          <w:rFonts w:hint="eastAsia"/>
          <w:bCs/>
          <w:color w:val="auto"/>
          <w:sz w:val="21"/>
          <w:szCs w:val="21"/>
          <w:highlight w:val="none"/>
        </w:rPr>
        <w:t>招标文件要求</w:t>
      </w:r>
      <w:r>
        <w:rPr>
          <w:rFonts w:hint="eastAsia"/>
          <w:color w:val="auto"/>
          <w:sz w:val="21"/>
          <w:szCs w:val="21"/>
          <w:highlight w:val="none"/>
        </w:rPr>
        <w:t>填写的《参与编制经济标投标文件人员名单》。</w:t>
      </w:r>
    </w:p>
    <w:p w14:paraId="18AEF2F4">
      <w:pPr>
        <w:tabs>
          <w:tab w:val="left" w:pos="1125"/>
        </w:tabs>
        <w:spacing w:line="360" w:lineRule="auto"/>
        <w:ind w:firstLine="420" w:firstLineChars="200"/>
        <w:rPr>
          <w:color w:val="auto"/>
          <w:sz w:val="21"/>
          <w:szCs w:val="21"/>
          <w:highlight w:val="none"/>
        </w:rPr>
      </w:pPr>
      <w:r>
        <w:rPr>
          <w:rFonts w:hint="eastAsia"/>
          <w:color w:val="auto"/>
          <w:sz w:val="21"/>
          <w:szCs w:val="21"/>
          <w:highlight w:val="none"/>
        </w:rPr>
        <w:t>11.3.4若投标人的投标报价低于工程成本警戒价的，投标人还须提供详细的施工组织设计、单价、措施性费用、单价分析表、主要材料价格表、投标人成本分析供评标委员会评审。</w:t>
      </w:r>
    </w:p>
    <w:p w14:paraId="021E357B">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12</w:t>
      </w:r>
      <w:r>
        <w:rPr>
          <w:rFonts w:hint="eastAsia" w:ascii="宋体" w:hAnsi="宋体"/>
          <w:b/>
          <w:bCs/>
          <w:color w:val="auto"/>
          <w:sz w:val="21"/>
          <w:szCs w:val="21"/>
          <w:highlight w:val="none"/>
        </w:rPr>
        <w:t>．投标文件格式</w:t>
      </w:r>
    </w:p>
    <w:p w14:paraId="3B54C529">
      <w:pPr>
        <w:pStyle w:val="25"/>
        <w:spacing w:after="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 xml:space="preserve">12.1 </w:t>
      </w:r>
      <w:r>
        <w:rPr>
          <w:rFonts w:hint="eastAsia" w:ascii="宋体" w:hAnsi="宋体"/>
          <w:color w:val="auto"/>
          <w:sz w:val="21"/>
          <w:szCs w:val="21"/>
          <w:highlight w:val="none"/>
        </w:rPr>
        <w:t>投标文件包括本须知第</w:t>
      </w:r>
      <w:r>
        <w:rPr>
          <w:rFonts w:ascii="宋体" w:hAnsi="宋体"/>
          <w:color w:val="auto"/>
          <w:sz w:val="21"/>
          <w:szCs w:val="21"/>
          <w:highlight w:val="none"/>
        </w:rPr>
        <w:t>11</w:t>
      </w:r>
      <w:r>
        <w:rPr>
          <w:rFonts w:hint="eastAsia" w:ascii="宋体" w:hAnsi="宋体"/>
          <w:color w:val="auto"/>
          <w:sz w:val="21"/>
          <w:szCs w:val="21"/>
          <w:highlight w:val="none"/>
        </w:rPr>
        <w:t>条中规定的内容，投标人提交的投标文件应当使用招标文件所提供的投标文件全部格式（表格可以按同样格式扩展）。</w:t>
      </w:r>
    </w:p>
    <w:p w14:paraId="39A41B51">
      <w:pPr>
        <w:pStyle w:val="25"/>
        <w:spacing w:after="0" w:line="360" w:lineRule="auto"/>
        <w:ind w:firstLine="420" w:firstLineChars="200"/>
        <w:rPr>
          <w:rFonts w:hint="eastAsia"/>
          <w:color w:val="auto"/>
          <w:sz w:val="21"/>
          <w:szCs w:val="21"/>
          <w:highlight w:val="none"/>
        </w:rPr>
      </w:pPr>
      <w:r>
        <w:rPr>
          <w:rFonts w:hint="eastAsia" w:ascii="宋体" w:hAnsi="宋体"/>
          <w:color w:val="auto"/>
          <w:sz w:val="21"/>
          <w:szCs w:val="21"/>
          <w:highlight w:val="none"/>
        </w:rPr>
        <w:t>12.2 投标文件全部采用电子文档，投标文件所附证书证件均为原件扫描件，并采用单位数字证书，</w:t>
      </w:r>
      <w:r>
        <w:rPr>
          <w:rFonts w:hint="eastAsia" w:asciiTheme="minorEastAsia" w:hAnsiTheme="minorEastAsia" w:eastAsiaTheme="minorEastAsia" w:cstheme="minorEastAsia"/>
          <w:b/>
          <w:bCs/>
          <w:color w:val="auto"/>
          <w:kern w:val="0"/>
          <w:sz w:val="22"/>
          <w:szCs w:val="22"/>
          <w:highlight w:val="none"/>
        </w:rPr>
        <w:t>对投标文件</w:t>
      </w:r>
      <w:r>
        <w:rPr>
          <w:rFonts w:hint="eastAsia" w:asciiTheme="minorEastAsia" w:hAnsiTheme="minorEastAsia" w:eastAsiaTheme="minorEastAsia" w:cstheme="minorEastAsia"/>
          <w:color w:val="auto"/>
          <w:kern w:val="0"/>
          <w:sz w:val="22"/>
          <w:szCs w:val="22"/>
          <w:highlight w:val="none"/>
        </w:rPr>
        <w:t>加盖电子印章。投标文件中需个人签字或盖章的，应加盖个人电子印章或在线下完成后扫描上传。按照交易平台关于全流程电子化项目的相关指南进行操作。</w:t>
      </w:r>
      <w:r>
        <w:rPr>
          <w:rFonts w:hint="eastAsia"/>
          <w:color w:val="auto"/>
          <w:sz w:val="21"/>
          <w:szCs w:val="21"/>
          <w:highlight w:val="none"/>
        </w:rPr>
        <w:t>详见：</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 xml:space="preserve"> 。</w:t>
      </w:r>
    </w:p>
    <w:p w14:paraId="35C8C6A0">
      <w:pPr>
        <w:pStyle w:val="25"/>
        <w:spacing w:after="0" w:line="360" w:lineRule="auto"/>
        <w:ind w:firstLine="420" w:firstLineChars="200"/>
        <w:rPr>
          <w:rFonts w:ascii="宋体" w:hAnsi="宋体"/>
          <w:color w:val="auto"/>
          <w:sz w:val="21"/>
          <w:szCs w:val="21"/>
          <w:highlight w:val="none"/>
        </w:rPr>
      </w:pPr>
      <w:r>
        <w:rPr>
          <w:rFonts w:hint="eastAsia"/>
          <w:color w:val="auto"/>
          <w:sz w:val="21"/>
          <w:szCs w:val="21"/>
          <w:highlight w:val="none"/>
        </w:rPr>
        <w:t>注释：投标文件电子文档需要投标人单位盖章的材料，投标人加盖电子印章即可，不得将投标人未对电子文档加盖实物印章作为否决投标的情形。</w:t>
      </w:r>
    </w:p>
    <w:p w14:paraId="254BF14F">
      <w:pPr>
        <w:pStyle w:val="25"/>
        <w:spacing w:after="0"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12.3 </w:t>
      </w:r>
      <w:r>
        <w:rPr>
          <w:rFonts w:hint="eastAsia" w:ascii="宋体" w:hAnsi="宋体"/>
          <w:bCs/>
          <w:color w:val="auto"/>
          <w:sz w:val="21"/>
          <w:szCs w:val="21"/>
          <w:highlight w:val="none"/>
        </w:rPr>
        <w:t>投标文件应按</w:t>
      </w:r>
      <w:r>
        <w:rPr>
          <w:rFonts w:hint="eastAsia" w:ascii="宋体" w:hAnsi="宋体"/>
          <w:color w:val="auto"/>
          <w:sz w:val="21"/>
          <w:szCs w:val="21"/>
          <w:highlight w:val="none"/>
        </w:rPr>
        <w:t>照交易平台关于全流程电子化项目的相关指南进行编制，详见：</w:t>
      </w:r>
      <w:r>
        <w:rPr>
          <w:color w:val="auto"/>
          <w:sz w:val="21"/>
          <w:szCs w:val="21"/>
          <w:highlight w:val="none"/>
          <w:u w:val="single"/>
        </w:rPr>
        <w:t xml:space="preserve">       </w:t>
      </w:r>
      <w:r>
        <w:rPr>
          <w:rFonts w:hint="eastAsia"/>
          <w:color w:val="auto"/>
          <w:sz w:val="21"/>
          <w:szCs w:val="21"/>
          <w:highlight w:val="none"/>
          <w:u w:val="single"/>
        </w:rPr>
        <w:t xml:space="preserve">     </w:t>
      </w:r>
      <w:r>
        <w:rPr>
          <w:rFonts w:hint="eastAsia" w:ascii="宋体" w:hAnsi="宋体"/>
          <w:color w:val="auto"/>
          <w:sz w:val="21"/>
          <w:szCs w:val="21"/>
          <w:highlight w:val="none"/>
        </w:rPr>
        <w:t xml:space="preserve">。               </w:t>
      </w:r>
    </w:p>
    <w:p w14:paraId="6307AFA9">
      <w:pPr>
        <w:pStyle w:val="25"/>
        <w:spacing w:after="0" w:line="360" w:lineRule="auto"/>
        <w:ind w:firstLine="0"/>
        <w:rPr>
          <w:rFonts w:ascii="宋体" w:hAnsi="宋体"/>
          <w:color w:val="auto"/>
          <w:sz w:val="21"/>
          <w:szCs w:val="21"/>
          <w:highlight w:val="none"/>
        </w:rPr>
      </w:pPr>
      <w:r>
        <w:rPr>
          <w:rFonts w:hint="eastAsia" w:ascii="宋体" w:hAnsi="宋体"/>
          <w:bCs/>
          <w:color w:val="auto"/>
          <w:sz w:val="21"/>
          <w:szCs w:val="21"/>
          <w:highlight w:val="none"/>
        </w:rPr>
        <w:t>如不按上述要求编制引起系统无法检索、读取相关信息的，其后果由投标人承担。</w:t>
      </w:r>
    </w:p>
    <w:p w14:paraId="5D72C845">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13</w:t>
      </w:r>
      <w:r>
        <w:rPr>
          <w:rFonts w:hint="eastAsia" w:ascii="宋体" w:hAnsi="宋体"/>
          <w:b/>
          <w:bCs/>
          <w:color w:val="auto"/>
          <w:sz w:val="21"/>
          <w:szCs w:val="21"/>
          <w:highlight w:val="none"/>
        </w:rPr>
        <w:t>．投标报价及造价承包和变更结算方式</w:t>
      </w:r>
    </w:p>
    <w:p w14:paraId="58666E17">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13.1 </w:t>
      </w:r>
      <w:r>
        <w:rPr>
          <w:rFonts w:hint="eastAsia" w:ascii="宋体" w:hAnsi="宋体"/>
          <w:color w:val="auto"/>
          <w:sz w:val="21"/>
          <w:szCs w:val="21"/>
          <w:highlight w:val="none"/>
        </w:rPr>
        <w:t>本工程的投标报价采用投标须知前附表第</w:t>
      </w:r>
      <w:r>
        <w:rPr>
          <w:rFonts w:ascii="宋体" w:hAnsi="宋体"/>
          <w:color w:val="auto"/>
          <w:sz w:val="21"/>
          <w:szCs w:val="21"/>
          <w:highlight w:val="none"/>
        </w:rPr>
        <w:t>12</w:t>
      </w:r>
      <w:r>
        <w:rPr>
          <w:rFonts w:hint="eastAsia" w:ascii="宋体" w:hAnsi="宋体"/>
          <w:color w:val="auto"/>
          <w:sz w:val="21"/>
          <w:szCs w:val="21"/>
          <w:highlight w:val="none"/>
        </w:rPr>
        <w:t>项所规定的方式。投标报价（含单价及总价）精确到“分”。</w:t>
      </w:r>
    </w:p>
    <w:p w14:paraId="3E3C0554">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13.2</w:t>
      </w:r>
      <w:r>
        <w:rPr>
          <w:rFonts w:hint="eastAsia" w:ascii="宋体" w:hAnsi="宋体"/>
          <w:color w:val="auto"/>
          <w:sz w:val="21"/>
          <w:szCs w:val="21"/>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685332AE">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13.3</w:t>
      </w:r>
      <w:r>
        <w:rPr>
          <w:rFonts w:hint="eastAsia" w:ascii="宋体" w:hAnsi="宋体"/>
          <w:color w:val="auto"/>
          <w:sz w:val="21"/>
          <w:szCs w:val="21"/>
          <w:highlight w:val="none"/>
        </w:rPr>
        <w:t>投标人的投标报价，应是按照投标须知前附表第</w:t>
      </w:r>
      <w:r>
        <w:rPr>
          <w:rFonts w:ascii="宋体" w:hAnsi="宋体"/>
          <w:color w:val="auto"/>
          <w:sz w:val="21"/>
          <w:szCs w:val="21"/>
          <w:highlight w:val="none"/>
        </w:rPr>
        <w:t>8</w:t>
      </w:r>
      <w:r>
        <w:rPr>
          <w:rFonts w:hint="eastAsia" w:ascii="宋体" w:hAnsi="宋体"/>
          <w:color w:val="auto"/>
          <w:sz w:val="21"/>
          <w:szCs w:val="21"/>
          <w:highlight w:val="none"/>
        </w:rPr>
        <w:t>项的工期要求，在投标须知前附表第</w:t>
      </w:r>
      <w:r>
        <w:rPr>
          <w:rFonts w:ascii="宋体" w:hAnsi="宋体"/>
          <w:color w:val="auto"/>
          <w:sz w:val="21"/>
          <w:szCs w:val="21"/>
          <w:highlight w:val="none"/>
        </w:rPr>
        <w:t>3</w:t>
      </w:r>
      <w:r>
        <w:rPr>
          <w:rFonts w:hint="eastAsia" w:ascii="宋体" w:hAnsi="宋体"/>
          <w:color w:val="auto"/>
          <w:sz w:val="21"/>
          <w:szCs w:val="21"/>
          <w:highlight w:val="none"/>
        </w:rPr>
        <w:t>项的建设地点，完成投标须知前附表第</w:t>
      </w:r>
      <w:r>
        <w:rPr>
          <w:rFonts w:ascii="宋体" w:hAnsi="宋体"/>
          <w:color w:val="auto"/>
          <w:sz w:val="21"/>
          <w:szCs w:val="21"/>
          <w:highlight w:val="none"/>
        </w:rPr>
        <w:t>7</w:t>
      </w:r>
      <w:r>
        <w:rPr>
          <w:rFonts w:hint="eastAsia" w:ascii="宋体" w:hAnsi="宋体"/>
          <w:color w:val="auto"/>
          <w:sz w:val="21"/>
          <w:szCs w:val="21"/>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227D504A">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13.4</w:t>
      </w:r>
      <w:r>
        <w:rPr>
          <w:rFonts w:hint="eastAsia" w:ascii="宋体" w:hAnsi="宋体"/>
          <w:color w:val="auto"/>
          <w:sz w:val="21"/>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967AAC3">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13.5</w:t>
      </w:r>
      <w:r>
        <w:rPr>
          <w:rFonts w:hint="eastAsia" w:ascii="宋体" w:hAnsi="宋体"/>
          <w:color w:val="auto"/>
          <w:sz w:val="21"/>
          <w:szCs w:val="21"/>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179A38A9">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13.5.1</w:t>
      </w:r>
      <w:r>
        <w:rPr>
          <w:rFonts w:hint="eastAsia" w:ascii="宋体" w:hAnsi="宋体"/>
          <w:color w:val="auto"/>
          <w:sz w:val="21"/>
          <w:szCs w:val="21"/>
          <w:highlight w:val="none"/>
        </w:rPr>
        <w:t>中标的投标文件工程量清单中已有相同项目的适用综合单价，则沿用；</w:t>
      </w:r>
    </w:p>
    <w:p w14:paraId="2C39FD94">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13.5.2</w:t>
      </w:r>
      <w:r>
        <w:rPr>
          <w:rFonts w:hint="eastAsia" w:ascii="宋体" w:hAnsi="宋体"/>
          <w:color w:val="auto"/>
          <w:sz w:val="21"/>
          <w:szCs w:val="21"/>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7956B467">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13.5.3 </w:t>
      </w:r>
      <w:r>
        <w:rPr>
          <w:rFonts w:hint="eastAsia" w:ascii="宋体" w:hAnsi="宋体"/>
          <w:color w:val="auto"/>
          <w:sz w:val="21"/>
          <w:szCs w:val="21"/>
          <w:highlight w:val="none"/>
        </w:rPr>
        <w:t>中标的投标文件工程量清单中没有相同项目或类似项目的，如可套取相关定额，则以相关定额为基数下浮计算单价</w:t>
      </w:r>
      <w:r>
        <w:rPr>
          <w:rFonts w:ascii="宋体"/>
          <w:color w:val="auto"/>
          <w:sz w:val="21"/>
          <w:szCs w:val="21"/>
          <w:highlight w:val="none"/>
        </w:rPr>
        <w:t>,</w:t>
      </w:r>
      <w:r>
        <w:rPr>
          <w:rFonts w:hint="eastAsia" w:ascii="宋体" w:hAnsi="宋体"/>
          <w:color w:val="auto"/>
          <w:sz w:val="21"/>
          <w:szCs w:val="21"/>
          <w:highlight w:val="none"/>
        </w:rPr>
        <w:t>下浮率为中标价相对于最高投标限价的下浮率（下浮率</w:t>
      </w:r>
      <w:r>
        <w:rPr>
          <w:rFonts w:ascii="宋体" w:hAnsi="宋体"/>
          <w:color w:val="auto"/>
          <w:sz w:val="21"/>
          <w:szCs w:val="21"/>
          <w:highlight w:val="none"/>
        </w:rPr>
        <w:t>=(</w:t>
      </w:r>
      <w:r>
        <w:rPr>
          <w:rFonts w:hint="eastAsia" w:ascii="宋体" w:hAnsi="宋体"/>
          <w:color w:val="auto"/>
          <w:sz w:val="21"/>
          <w:szCs w:val="21"/>
          <w:highlight w:val="none"/>
        </w:rPr>
        <w:t>最高投标限价</w:t>
      </w:r>
      <w:r>
        <w:rPr>
          <w:rFonts w:ascii="宋体"/>
          <w:color w:val="auto"/>
          <w:sz w:val="21"/>
          <w:szCs w:val="21"/>
          <w:highlight w:val="none"/>
        </w:rPr>
        <w:t>-</w:t>
      </w:r>
      <w:r>
        <w:rPr>
          <w:rFonts w:hint="eastAsia" w:ascii="宋体" w:hAnsi="宋体"/>
          <w:color w:val="auto"/>
          <w:sz w:val="21"/>
          <w:szCs w:val="21"/>
          <w:highlight w:val="none"/>
        </w:rPr>
        <w:t>中标价</w:t>
      </w:r>
      <w:r>
        <w:rPr>
          <w:rFonts w:ascii="宋体" w:hAnsi="宋体"/>
          <w:color w:val="auto"/>
          <w:sz w:val="21"/>
          <w:szCs w:val="21"/>
          <w:highlight w:val="none"/>
        </w:rPr>
        <w:t xml:space="preserve">)/ </w:t>
      </w:r>
      <w:r>
        <w:rPr>
          <w:rFonts w:hint="eastAsia" w:ascii="宋体" w:hAnsi="宋体"/>
          <w:color w:val="auto"/>
          <w:sz w:val="21"/>
          <w:szCs w:val="21"/>
          <w:highlight w:val="none"/>
        </w:rPr>
        <w:t>最高投标限价）。</w:t>
      </w:r>
    </w:p>
    <w:p w14:paraId="1165E1AE">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13.5.4 </w:t>
      </w:r>
      <w:r>
        <w:rPr>
          <w:rFonts w:hint="eastAsia" w:ascii="宋体" w:hAnsi="宋体"/>
          <w:color w:val="auto"/>
          <w:sz w:val="21"/>
          <w:szCs w:val="21"/>
          <w:highlight w:val="none"/>
        </w:rPr>
        <w:t>如相关定额没有相应子目的，其计价方式由招标人在本招标文件第三章中另行规定。未规定的，中标后双方协商约定。</w:t>
      </w:r>
    </w:p>
    <w:p w14:paraId="1AA0E3DF">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13.6</w:t>
      </w:r>
      <w:r>
        <w:rPr>
          <w:rFonts w:hint="eastAsia" w:ascii="宋体" w:hAnsi="宋体"/>
          <w:color w:val="auto"/>
          <w:sz w:val="21"/>
          <w:szCs w:val="21"/>
          <w:highlight w:val="none"/>
        </w:rPr>
        <w:t>暂列金额、暂估价</w:t>
      </w:r>
    </w:p>
    <w:p w14:paraId="0719EDD9">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13.6.1</w:t>
      </w:r>
      <w:r>
        <w:rPr>
          <w:rFonts w:hint="eastAsia" w:ascii="宋体" w:hAnsi="宋体"/>
          <w:color w:val="auto"/>
          <w:sz w:val="21"/>
          <w:szCs w:val="21"/>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3D1C3439">
      <w:pPr>
        <w:pStyle w:val="25"/>
        <w:spacing w:after="0"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暂估价是指招标人在工程量清单中提供的用于支付必然发生但暂时不能确定价格的材料的单价以及专业工程的金额。</w:t>
      </w:r>
    </w:p>
    <w:p w14:paraId="18A02B5B">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13.6.2</w:t>
      </w:r>
      <w:r>
        <w:rPr>
          <w:rFonts w:hint="eastAsia" w:ascii="宋体" w:hAnsi="宋体"/>
          <w:color w:val="auto"/>
          <w:sz w:val="21"/>
          <w:szCs w:val="21"/>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69016A9E">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13.6.3</w:t>
      </w:r>
      <w:r>
        <w:rPr>
          <w:rFonts w:hint="eastAsia" w:ascii="宋体" w:hAnsi="宋体"/>
          <w:color w:val="auto"/>
          <w:sz w:val="21"/>
          <w:szCs w:val="21"/>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0FEF3C3E">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13.6.4</w:t>
      </w:r>
      <w:r>
        <w:rPr>
          <w:rFonts w:hint="eastAsia" w:ascii="宋体" w:hAnsi="宋体"/>
          <w:color w:val="auto"/>
          <w:sz w:val="21"/>
          <w:szCs w:val="21"/>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1"/>
          <w:szCs w:val="21"/>
          <w:highlight w:val="none"/>
        </w:rPr>
        <w:t>13.5</w:t>
      </w:r>
      <w:r>
        <w:rPr>
          <w:rFonts w:hint="eastAsia" w:ascii="宋体" w:hAnsi="宋体"/>
          <w:color w:val="auto"/>
          <w:sz w:val="21"/>
          <w:szCs w:val="21"/>
          <w:highlight w:val="none"/>
        </w:rPr>
        <w:t>款规定确定。</w:t>
      </w:r>
    </w:p>
    <w:p w14:paraId="7357D0C2">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13.6.5</w:t>
      </w:r>
      <w:r>
        <w:rPr>
          <w:rFonts w:hint="eastAsia" w:ascii="宋体" w:hAnsi="宋体"/>
          <w:color w:val="auto"/>
          <w:sz w:val="21"/>
          <w:szCs w:val="21"/>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52D52BCE">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13.6.6 </w:t>
      </w:r>
      <w:r>
        <w:rPr>
          <w:rFonts w:hint="eastAsia" w:ascii="宋体" w:hAnsi="宋体"/>
          <w:color w:val="auto"/>
          <w:sz w:val="21"/>
          <w:szCs w:val="21"/>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5853367D">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13.7</w:t>
      </w:r>
      <w:r>
        <w:rPr>
          <w:rFonts w:hint="eastAsia" w:ascii="宋体" w:hAnsi="宋体"/>
          <w:color w:val="auto"/>
          <w:sz w:val="21"/>
          <w:szCs w:val="21"/>
          <w:highlight w:val="none"/>
        </w:rPr>
        <w:t>投标人可先到工地踏勘以充分了解工地位置、情况、道路、储存空间、装卸限制及任何其他足以影响承包价的情况，任何因忽视或误解工地情况而导致的索赔或工期延长申请将不被批准。</w:t>
      </w:r>
    </w:p>
    <w:p w14:paraId="775E9D18">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13.8</w:t>
      </w:r>
      <w:r>
        <w:rPr>
          <w:rFonts w:hint="eastAsia" w:ascii="宋体" w:hAnsi="宋体"/>
          <w:color w:val="auto"/>
          <w:sz w:val="21"/>
          <w:szCs w:val="21"/>
          <w:highlight w:val="none"/>
        </w:rPr>
        <w:t>属于承包人自行采购的主要材料、设备，招标人应当在招标文件中提出材料、设备的技术标准或者质量要求，或者提出不少于</w:t>
      </w:r>
      <w:r>
        <w:rPr>
          <w:rFonts w:ascii="宋体" w:hAnsi="宋体"/>
          <w:color w:val="auto"/>
          <w:sz w:val="21"/>
          <w:szCs w:val="21"/>
          <w:highlight w:val="none"/>
        </w:rPr>
        <w:t>3</w:t>
      </w:r>
      <w:r>
        <w:rPr>
          <w:rFonts w:hint="eastAsia" w:ascii="宋体" w:hAnsi="宋体"/>
          <w:color w:val="auto"/>
          <w:sz w:val="21"/>
          <w:szCs w:val="21"/>
          <w:highlight w:val="none"/>
        </w:rPr>
        <w:t>个同等档次品牌或分包商供投标人报价时选择</w:t>
      </w:r>
      <w:r>
        <w:rPr>
          <w:rFonts w:ascii="宋体"/>
          <w:color w:val="auto"/>
          <w:sz w:val="21"/>
          <w:szCs w:val="21"/>
          <w:highlight w:val="none"/>
        </w:rPr>
        <w:t>,</w:t>
      </w:r>
      <w:r>
        <w:rPr>
          <w:rFonts w:hint="eastAsia" w:ascii="宋体" w:hAnsi="宋体"/>
          <w:color w:val="auto"/>
          <w:sz w:val="21"/>
          <w:szCs w:val="21"/>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6A3F98A1">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13.9</w:t>
      </w:r>
      <w:r>
        <w:rPr>
          <w:rFonts w:hint="eastAsia" w:ascii="宋体"/>
          <w:color w:val="auto"/>
          <w:sz w:val="21"/>
          <w:szCs w:val="21"/>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51100E1">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14</w:t>
      </w:r>
      <w:r>
        <w:rPr>
          <w:rFonts w:hint="eastAsia" w:ascii="宋体" w:hAnsi="宋体"/>
          <w:b/>
          <w:bCs/>
          <w:color w:val="auto"/>
          <w:sz w:val="21"/>
          <w:szCs w:val="21"/>
          <w:highlight w:val="none"/>
        </w:rPr>
        <w:t>．投标货币</w:t>
      </w:r>
    </w:p>
    <w:p w14:paraId="07B96D12">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14.1 </w:t>
      </w:r>
      <w:r>
        <w:rPr>
          <w:rFonts w:hint="eastAsia" w:ascii="宋体" w:hAnsi="宋体"/>
          <w:color w:val="auto"/>
          <w:sz w:val="21"/>
          <w:szCs w:val="21"/>
          <w:highlight w:val="none"/>
        </w:rPr>
        <w:t>本工程投标报价采用的币种为人民币。</w:t>
      </w:r>
    </w:p>
    <w:p w14:paraId="7ABCD37E">
      <w:pPr>
        <w:pStyle w:val="25"/>
        <w:spacing w:after="0" w:line="360" w:lineRule="auto"/>
        <w:ind w:firstLine="422" w:firstLineChars="200"/>
        <w:rPr>
          <w:rFonts w:ascii="宋体"/>
          <w:color w:val="auto"/>
          <w:sz w:val="21"/>
          <w:szCs w:val="21"/>
          <w:highlight w:val="none"/>
        </w:rPr>
      </w:pPr>
      <w:r>
        <w:rPr>
          <w:rFonts w:ascii="宋体" w:hAnsi="宋体"/>
          <w:b/>
          <w:bCs/>
          <w:color w:val="auto"/>
          <w:sz w:val="21"/>
          <w:szCs w:val="21"/>
          <w:highlight w:val="none"/>
        </w:rPr>
        <w:t>15</w:t>
      </w:r>
      <w:r>
        <w:rPr>
          <w:rFonts w:hint="eastAsia" w:ascii="宋体" w:hAnsi="宋体"/>
          <w:b/>
          <w:bCs/>
          <w:color w:val="auto"/>
          <w:sz w:val="21"/>
          <w:szCs w:val="21"/>
          <w:highlight w:val="none"/>
        </w:rPr>
        <w:t>．投标有效期</w:t>
      </w:r>
    </w:p>
    <w:p w14:paraId="4BF87EE3">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15.1 </w:t>
      </w:r>
      <w:r>
        <w:rPr>
          <w:rFonts w:hint="eastAsia" w:ascii="宋体" w:hAnsi="宋体"/>
          <w:color w:val="auto"/>
          <w:sz w:val="21"/>
          <w:szCs w:val="21"/>
          <w:highlight w:val="none"/>
        </w:rPr>
        <w:t>投标有效期见投标须知前附表第</w:t>
      </w:r>
      <w:r>
        <w:rPr>
          <w:rFonts w:ascii="宋体" w:hAnsi="宋体"/>
          <w:color w:val="auto"/>
          <w:sz w:val="21"/>
          <w:szCs w:val="21"/>
          <w:highlight w:val="none"/>
        </w:rPr>
        <w:t>13</w:t>
      </w:r>
      <w:r>
        <w:rPr>
          <w:rFonts w:hint="eastAsia" w:ascii="宋体" w:hAnsi="宋体"/>
          <w:color w:val="auto"/>
          <w:sz w:val="21"/>
          <w:szCs w:val="21"/>
          <w:highlight w:val="none"/>
        </w:rPr>
        <w:t>项所规定的期限，在此期限内，凡符合本招标文件要求的投标文件均保持有效。</w:t>
      </w:r>
    </w:p>
    <w:p w14:paraId="5FD80B3D">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 xml:space="preserve">15.2 </w:t>
      </w:r>
      <w:r>
        <w:rPr>
          <w:rFonts w:hint="eastAsia" w:ascii="宋体" w:hAnsi="宋体"/>
          <w:color w:val="auto"/>
          <w:sz w:val="21"/>
          <w:szCs w:val="21"/>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1"/>
          <w:szCs w:val="21"/>
          <w:highlight w:val="none"/>
        </w:rPr>
        <w:t>16</w:t>
      </w:r>
      <w:r>
        <w:rPr>
          <w:rFonts w:hint="eastAsia" w:ascii="宋体" w:hAnsi="宋体"/>
          <w:color w:val="auto"/>
          <w:sz w:val="21"/>
          <w:szCs w:val="21"/>
          <w:highlight w:val="none"/>
        </w:rPr>
        <w:t>条关于投标保证金的退还与不予退还的规定仍然适用。</w:t>
      </w:r>
    </w:p>
    <w:p w14:paraId="190627B1">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16</w:t>
      </w:r>
      <w:r>
        <w:rPr>
          <w:rFonts w:hint="eastAsia" w:ascii="宋体" w:hAnsi="宋体"/>
          <w:b/>
          <w:bCs/>
          <w:color w:val="auto"/>
          <w:sz w:val="21"/>
          <w:szCs w:val="21"/>
          <w:highlight w:val="none"/>
        </w:rPr>
        <w:t>．投标保证金</w:t>
      </w:r>
    </w:p>
    <w:p w14:paraId="16524BAD">
      <w:pPr>
        <w:spacing w:line="360" w:lineRule="auto"/>
        <w:ind w:firstLine="420" w:firstLineChars="200"/>
        <w:rPr>
          <w:color w:val="auto"/>
          <w:sz w:val="21"/>
          <w:szCs w:val="21"/>
          <w:highlight w:val="none"/>
        </w:rPr>
      </w:pPr>
      <w:r>
        <w:rPr>
          <w:color w:val="auto"/>
          <w:sz w:val="21"/>
          <w:szCs w:val="21"/>
          <w:highlight w:val="none"/>
        </w:rPr>
        <w:t>16.1</w:t>
      </w:r>
      <w:r>
        <w:rPr>
          <w:rFonts w:hint="eastAsia"/>
          <w:color w:val="auto"/>
          <w:sz w:val="21"/>
          <w:szCs w:val="21"/>
          <w:highlight w:val="none"/>
        </w:rPr>
        <w:t>投标人应按投标须知前附表第</w:t>
      </w:r>
      <w:r>
        <w:rPr>
          <w:color w:val="auto"/>
          <w:sz w:val="21"/>
          <w:szCs w:val="21"/>
          <w:highlight w:val="none"/>
        </w:rPr>
        <w:t>14</w:t>
      </w:r>
      <w:r>
        <w:rPr>
          <w:rFonts w:hint="eastAsia"/>
          <w:color w:val="auto"/>
          <w:sz w:val="21"/>
          <w:szCs w:val="21"/>
          <w:highlight w:val="none"/>
        </w:rPr>
        <w:t>项所述金额和时间递交</w:t>
      </w:r>
      <w:r>
        <w:rPr>
          <w:rFonts w:hint="eastAsia"/>
          <w:bCs/>
          <w:color w:val="auto"/>
          <w:sz w:val="21"/>
          <w:szCs w:val="21"/>
          <w:highlight w:val="none"/>
        </w:rPr>
        <w:t>投标保证金</w:t>
      </w:r>
      <w:r>
        <w:rPr>
          <w:rFonts w:hint="eastAsia"/>
          <w:color w:val="auto"/>
          <w:sz w:val="21"/>
          <w:szCs w:val="21"/>
          <w:highlight w:val="none"/>
        </w:rPr>
        <w:t>。招标人应当允许投标人自主选择现金、银行保函、保证保险、专业工程担保公司担保等方式缴纳投标保证金。</w:t>
      </w:r>
    </w:p>
    <w:p w14:paraId="6325053B">
      <w:pPr>
        <w:spacing w:line="360" w:lineRule="auto"/>
        <w:ind w:firstLine="420" w:firstLineChars="200"/>
        <w:rPr>
          <w:color w:val="auto"/>
          <w:sz w:val="21"/>
          <w:szCs w:val="21"/>
          <w:highlight w:val="none"/>
        </w:rPr>
      </w:pPr>
      <w:r>
        <w:rPr>
          <w:rFonts w:hint="eastAsia"/>
          <w:color w:val="auto"/>
          <w:sz w:val="21"/>
          <w:szCs w:val="21"/>
          <w:highlight w:val="none"/>
        </w:rPr>
        <w:t>16.1.1 采用现金或者支票形式提交的，投标保证金须从投标人的银行基本账户转出。</w:t>
      </w:r>
    </w:p>
    <w:p w14:paraId="3A5C14E7">
      <w:pPr>
        <w:spacing w:line="360" w:lineRule="auto"/>
        <w:ind w:firstLine="420" w:firstLineChars="200"/>
        <w:rPr>
          <w:color w:val="auto"/>
          <w:sz w:val="21"/>
          <w:szCs w:val="21"/>
          <w:highlight w:val="none"/>
        </w:rPr>
      </w:pPr>
      <w:r>
        <w:rPr>
          <w:rFonts w:hint="eastAsia"/>
          <w:color w:val="auto"/>
          <w:sz w:val="21"/>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C5BBD1B">
      <w:pPr>
        <w:spacing w:line="360" w:lineRule="auto"/>
        <w:ind w:firstLine="420" w:firstLineChars="200"/>
        <w:rPr>
          <w:color w:val="auto"/>
          <w:sz w:val="21"/>
          <w:szCs w:val="21"/>
          <w:highlight w:val="none"/>
        </w:rPr>
      </w:pPr>
      <w:r>
        <w:rPr>
          <w:rFonts w:hint="eastAsia"/>
          <w:color w:val="auto"/>
          <w:sz w:val="21"/>
          <w:szCs w:val="21"/>
          <w:highlight w:val="none"/>
        </w:rPr>
        <w:t>16.1.3 采用电子形式的保函、担保或保证保险提交投标保证金的，应在招标文件中明确电子递交途径。</w:t>
      </w:r>
    </w:p>
    <w:p w14:paraId="30296D1B">
      <w:pPr>
        <w:spacing w:line="360" w:lineRule="auto"/>
        <w:ind w:firstLine="420" w:firstLineChars="200"/>
        <w:rPr>
          <w:color w:val="auto"/>
          <w:sz w:val="21"/>
          <w:szCs w:val="21"/>
          <w:highlight w:val="none"/>
        </w:rPr>
      </w:pPr>
      <w:r>
        <w:rPr>
          <w:rFonts w:hint="eastAsia"/>
          <w:color w:val="auto"/>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0C4348A9">
      <w:pPr>
        <w:spacing w:line="360" w:lineRule="auto"/>
        <w:ind w:firstLine="420" w:firstLineChars="200"/>
        <w:rPr>
          <w:color w:val="auto"/>
          <w:sz w:val="21"/>
          <w:szCs w:val="21"/>
          <w:highlight w:val="none"/>
        </w:rPr>
      </w:pPr>
      <w:r>
        <w:rPr>
          <w:rFonts w:hint="eastAsia"/>
          <w:color w:val="auto"/>
          <w:sz w:val="21"/>
          <w:szCs w:val="21"/>
          <w:highlight w:val="none"/>
        </w:rPr>
        <w:t>16.3投标保证金应依据法律法规的相关规定退还。</w:t>
      </w:r>
    </w:p>
    <w:p w14:paraId="2C0CE1C4">
      <w:pPr>
        <w:spacing w:line="360" w:lineRule="auto"/>
        <w:ind w:firstLine="420" w:firstLineChars="200"/>
        <w:rPr>
          <w:color w:val="auto"/>
          <w:sz w:val="21"/>
          <w:szCs w:val="21"/>
          <w:highlight w:val="none"/>
        </w:rPr>
      </w:pPr>
      <w:r>
        <w:rPr>
          <w:rFonts w:hint="eastAsia"/>
          <w:color w:val="auto"/>
          <w:sz w:val="21"/>
          <w:szCs w:val="21"/>
          <w:highlight w:val="none"/>
        </w:rPr>
        <w:t>16.4如有下列情况之一的，招标人可以不予退还投标保证金（是否退还投标保证金由招标人在招标文件中规定）：</w:t>
      </w:r>
    </w:p>
    <w:p w14:paraId="7DCDEF2E">
      <w:pPr>
        <w:spacing w:line="360" w:lineRule="auto"/>
        <w:ind w:firstLine="420" w:firstLineChars="200"/>
        <w:rPr>
          <w:color w:val="auto"/>
          <w:sz w:val="21"/>
          <w:szCs w:val="21"/>
          <w:highlight w:val="none"/>
        </w:rPr>
      </w:pPr>
      <w:r>
        <w:rPr>
          <w:rFonts w:hint="eastAsia"/>
          <w:color w:val="auto"/>
          <w:sz w:val="21"/>
          <w:szCs w:val="21"/>
          <w:highlight w:val="none"/>
        </w:rPr>
        <w:t>16.4.1因投标人原因造成投标文件未解密的；</w:t>
      </w:r>
    </w:p>
    <w:p w14:paraId="23F582D2">
      <w:pPr>
        <w:spacing w:line="360" w:lineRule="auto"/>
        <w:ind w:firstLine="420" w:firstLineChars="200"/>
        <w:rPr>
          <w:color w:val="auto"/>
          <w:sz w:val="21"/>
          <w:szCs w:val="21"/>
          <w:highlight w:val="none"/>
        </w:rPr>
      </w:pPr>
      <w:r>
        <w:rPr>
          <w:rFonts w:hint="eastAsia"/>
          <w:color w:val="auto"/>
          <w:sz w:val="21"/>
          <w:szCs w:val="21"/>
          <w:highlight w:val="none"/>
        </w:rPr>
        <w:t>16.4.2投标人在投标有效期内撤销投标文件；</w:t>
      </w:r>
    </w:p>
    <w:p w14:paraId="0D7814D2">
      <w:pPr>
        <w:spacing w:line="360" w:lineRule="auto"/>
        <w:ind w:firstLine="420" w:firstLineChars="200"/>
        <w:rPr>
          <w:color w:val="auto"/>
          <w:sz w:val="21"/>
          <w:szCs w:val="21"/>
          <w:highlight w:val="none"/>
        </w:rPr>
      </w:pPr>
      <w:r>
        <w:rPr>
          <w:rFonts w:hint="eastAsia"/>
          <w:color w:val="auto"/>
          <w:sz w:val="21"/>
          <w:szCs w:val="21"/>
          <w:highlight w:val="none"/>
        </w:rPr>
        <w:t>16.4.3中标人未能在规定期限内按要求提交履约担保；</w:t>
      </w:r>
    </w:p>
    <w:p w14:paraId="1934A7C9">
      <w:pPr>
        <w:spacing w:line="360" w:lineRule="auto"/>
        <w:ind w:firstLine="420" w:firstLineChars="200"/>
        <w:rPr>
          <w:color w:val="auto"/>
          <w:sz w:val="21"/>
          <w:szCs w:val="21"/>
          <w:highlight w:val="none"/>
        </w:rPr>
      </w:pPr>
      <w:r>
        <w:rPr>
          <w:rFonts w:hint="eastAsia"/>
          <w:color w:val="auto"/>
          <w:sz w:val="21"/>
          <w:szCs w:val="21"/>
          <w:highlight w:val="none"/>
        </w:rPr>
        <w:t>16.4.4中标人未能在规定期限内签署合同协议。</w:t>
      </w:r>
    </w:p>
    <w:p w14:paraId="4965C8CB">
      <w:pPr>
        <w:spacing w:line="360" w:lineRule="auto"/>
        <w:ind w:firstLine="420" w:firstLineChars="200"/>
        <w:rPr>
          <w:color w:val="auto"/>
          <w:sz w:val="21"/>
          <w:szCs w:val="21"/>
          <w:highlight w:val="none"/>
        </w:rPr>
      </w:pPr>
      <w:r>
        <w:rPr>
          <w:rFonts w:hint="eastAsia"/>
          <w:color w:val="auto"/>
          <w:sz w:val="21"/>
          <w:szCs w:val="21"/>
          <w:highlight w:val="none"/>
        </w:rPr>
        <w:t>16.5投标人如存在下列情况之一的，将被拒绝在一定时期内参与招标人后续工程投标（拒绝时限需在招标文件中明确）：</w:t>
      </w:r>
    </w:p>
    <w:p w14:paraId="671917E8">
      <w:pPr>
        <w:spacing w:line="360" w:lineRule="auto"/>
        <w:ind w:firstLine="420" w:firstLineChars="200"/>
        <w:rPr>
          <w:color w:val="auto"/>
          <w:sz w:val="21"/>
          <w:szCs w:val="21"/>
          <w:highlight w:val="none"/>
        </w:rPr>
      </w:pPr>
      <w:r>
        <w:rPr>
          <w:rFonts w:hint="eastAsia"/>
          <w:color w:val="auto"/>
          <w:sz w:val="21"/>
          <w:szCs w:val="21"/>
          <w:highlight w:val="none"/>
        </w:rPr>
        <w:t>16.5.1投标人存在16.4条款所列情形且投标人提交的保函、担保或保证保险无法兑付的；</w:t>
      </w:r>
    </w:p>
    <w:p w14:paraId="2242A45F">
      <w:pPr>
        <w:spacing w:line="360" w:lineRule="auto"/>
        <w:ind w:firstLine="420" w:firstLineChars="200"/>
        <w:rPr>
          <w:color w:val="auto"/>
          <w:sz w:val="21"/>
          <w:szCs w:val="21"/>
          <w:highlight w:val="none"/>
        </w:rPr>
      </w:pPr>
      <w:r>
        <w:rPr>
          <w:rFonts w:hint="eastAsia"/>
          <w:color w:val="auto"/>
          <w:sz w:val="21"/>
          <w:szCs w:val="21"/>
          <w:highlight w:val="none"/>
        </w:rPr>
        <w:t>16.5.2采用非电子形式提交投标保证金的投标人存在16.4条款所列情形，且未按招标人要求补交银行保函、专业工程担保公司担保或保证保险原件的；</w:t>
      </w:r>
    </w:p>
    <w:p w14:paraId="49640EB2">
      <w:pPr>
        <w:spacing w:line="360" w:lineRule="auto"/>
        <w:ind w:firstLine="420" w:firstLineChars="200"/>
        <w:rPr>
          <w:color w:val="auto"/>
          <w:sz w:val="21"/>
          <w:szCs w:val="21"/>
          <w:highlight w:val="none"/>
        </w:rPr>
      </w:pPr>
      <w:r>
        <w:rPr>
          <w:rFonts w:hint="eastAsia"/>
          <w:color w:val="auto"/>
          <w:sz w:val="21"/>
          <w:szCs w:val="21"/>
          <w:highlight w:val="none"/>
        </w:rPr>
        <w:t>16.5.3按招标文件要求免于提供投标保证金的投标人存在16.4条款所列情形，且未按招标人要求补交投标保证金的；</w:t>
      </w:r>
    </w:p>
    <w:p w14:paraId="0EF5480E">
      <w:pPr>
        <w:spacing w:line="360" w:lineRule="auto"/>
        <w:ind w:firstLine="420" w:firstLineChars="200"/>
        <w:rPr>
          <w:color w:val="auto"/>
          <w:sz w:val="21"/>
          <w:szCs w:val="21"/>
          <w:highlight w:val="none"/>
        </w:rPr>
      </w:pPr>
      <w:r>
        <w:rPr>
          <w:rFonts w:hint="eastAsia"/>
          <w:color w:val="auto"/>
          <w:sz w:val="21"/>
          <w:szCs w:val="21"/>
          <w:highlight w:val="none"/>
        </w:rPr>
        <w:t>16.5.3按招标文件要求免于提供投标保证金的投标人存在16.4条款所列情形的。</w:t>
      </w:r>
    </w:p>
    <w:p w14:paraId="0B035292">
      <w:pPr>
        <w:spacing w:line="360" w:lineRule="auto"/>
        <w:ind w:firstLine="420" w:firstLineChars="200"/>
        <w:rPr>
          <w:color w:val="auto"/>
          <w:sz w:val="21"/>
          <w:szCs w:val="21"/>
          <w:highlight w:val="none"/>
        </w:rPr>
      </w:pPr>
      <w:r>
        <w:rPr>
          <w:rFonts w:hint="eastAsia"/>
          <w:color w:val="auto"/>
          <w:sz w:val="21"/>
          <w:szCs w:val="21"/>
          <w:highlight w:val="none"/>
        </w:rPr>
        <w:t>注：16.5.3款由招标人二选一，需在招标文件中明确。</w:t>
      </w:r>
    </w:p>
    <w:p w14:paraId="1B4927E8">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17</w:t>
      </w:r>
      <w:r>
        <w:rPr>
          <w:rFonts w:hint="eastAsia" w:ascii="宋体" w:hAnsi="宋体"/>
          <w:b/>
          <w:bCs/>
          <w:color w:val="auto"/>
          <w:sz w:val="21"/>
          <w:szCs w:val="21"/>
          <w:highlight w:val="none"/>
        </w:rPr>
        <w:t>．投标文件的签署</w:t>
      </w:r>
    </w:p>
    <w:p w14:paraId="07FB5360">
      <w:pPr>
        <w:spacing w:line="360" w:lineRule="auto"/>
        <w:ind w:firstLine="420" w:firstLineChars="200"/>
        <w:rPr>
          <w:color w:val="auto"/>
          <w:sz w:val="21"/>
          <w:szCs w:val="21"/>
          <w:highlight w:val="none"/>
        </w:rPr>
      </w:pPr>
      <w:r>
        <w:rPr>
          <w:color w:val="auto"/>
          <w:sz w:val="21"/>
          <w:szCs w:val="21"/>
          <w:highlight w:val="none"/>
        </w:rPr>
        <w:t>17.1</w:t>
      </w:r>
      <w:r>
        <w:rPr>
          <w:rFonts w:hint="eastAsia"/>
          <w:color w:val="auto"/>
          <w:sz w:val="21"/>
          <w:szCs w:val="21"/>
          <w:highlight w:val="none"/>
        </w:rPr>
        <w:t>投标人应采用单位数字证书，</w:t>
      </w:r>
      <w:r>
        <w:rPr>
          <w:rFonts w:hint="eastAsia" w:asciiTheme="minorEastAsia" w:hAnsiTheme="minorEastAsia" w:eastAsiaTheme="minorEastAsia" w:cstheme="minorEastAsia"/>
          <w:b/>
          <w:bCs/>
          <w:color w:val="auto"/>
          <w:kern w:val="0"/>
          <w:sz w:val="21"/>
          <w:szCs w:val="21"/>
          <w:highlight w:val="none"/>
        </w:rPr>
        <w:t>对投标文件</w:t>
      </w:r>
      <w:r>
        <w:rPr>
          <w:rFonts w:hint="eastAsia"/>
          <w:color w:val="auto"/>
          <w:sz w:val="21"/>
          <w:szCs w:val="21"/>
          <w:highlight w:val="none"/>
        </w:rPr>
        <w:t>加盖电子印章。投标文件中需个人签字或盖章的，应加盖个人电子印章或在线下完成后扫描上传。按照交易平台关于全流程电子化项目的相关指南进行操作。详见：</w:t>
      </w:r>
      <w:r>
        <w:rPr>
          <w:rFonts w:hint="eastAsia"/>
          <w:color w:val="auto"/>
          <w:sz w:val="21"/>
          <w:szCs w:val="21"/>
          <w:highlight w:val="none"/>
          <w:u w:val="single"/>
        </w:rPr>
        <w:t xml:space="preserve">            </w:t>
      </w:r>
      <w:r>
        <w:rPr>
          <w:rFonts w:hint="eastAsia"/>
          <w:color w:val="auto"/>
          <w:sz w:val="21"/>
          <w:szCs w:val="21"/>
          <w:highlight w:val="none"/>
        </w:rPr>
        <w:t xml:space="preserve"> 。</w:t>
      </w:r>
    </w:p>
    <w:p w14:paraId="38F856A8">
      <w:pPr>
        <w:pStyle w:val="5"/>
        <w:spacing w:before="156" w:after="156"/>
        <w:rPr>
          <w:color w:val="auto"/>
          <w:sz w:val="21"/>
          <w:szCs w:val="21"/>
          <w:highlight w:val="none"/>
        </w:rPr>
      </w:pPr>
      <w:bookmarkStart w:id="11" w:name="_Toc431"/>
      <w:bookmarkStart w:id="12" w:name="_Toc2638"/>
      <w:r>
        <w:rPr>
          <w:rFonts w:hint="eastAsia"/>
          <w:color w:val="auto"/>
          <w:sz w:val="21"/>
          <w:szCs w:val="21"/>
          <w:highlight w:val="none"/>
        </w:rPr>
        <w:t>（四）投标文件的提交</w:t>
      </w:r>
      <w:bookmarkEnd w:id="11"/>
      <w:bookmarkEnd w:id="12"/>
    </w:p>
    <w:p w14:paraId="2D435993">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18</w:t>
      </w:r>
      <w:r>
        <w:rPr>
          <w:rFonts w:hint="eastAsia" w:ascii="宋体" w:hAnsi="宋体"/>
          <w:b/>
          <w:bCs/>
          <w:color w:val="auto"/>
          <w:sz w:val="21"/>
          <w:szCs w:val="21"/>
          <w:highlight w:val="none"/>
        </w:rPr>
        <w:t>．</w:t>
      </w:r>
      <w:r>
        <w:rPr>
          <w:rFonts w:hint="eastAsia"/>
          <w:b/>
          <w:color w:val="auto"/>
          <w:sz w:val="21"/>
          <w:szCs w:val="21"/>
          <w:highlight w:val="none"/>
        </w:rPr>
        <w:t>投标文件的密封和标记</w:t>
      </w:r>
    </w:p>
    <w:p w14:paraId="1F18128C">
      <w:pPr>
        <w:spacing w:line="360" w:lineRule="auto"/>
        <w:ind w:firstLine="420" w:firstLineChars="200"/>
        <w:rPr>
          <w:bCs/>
          <w:color w:val="auto"/>
          <w:sz w:val="21"/>
          <w:szCs w:val="21"/>
          <w:highlight w:val="none"/>
        </w:rPr>
      </w:pPr>
      <w:r>
        <w:rPr>
          <w:bCs/>
          <w:color w:val="auto"/>
          <w:sz w:val="21"/>
          <w:szCs w:val="21"/>
          <w:highlight w:val="none"/>
        </w:rPr>
        <w:t>1</w:t>
      </w:r>
      <w:r>
        <w:rPr>
          <w:rFonts w:hint="eastAsia"/>
          <w:bCs/>
          <w:color w:val="auto"/>
          <w:sz w:val="21"/>
          <w:szCs w:val="21"/>
          <w:highlight w:val="none"/>
        </w:rPr>
        <w:t>8</w:t>
      </w:r>
      <w:r>
        <w:rPr>
          <w:bCs/>
          <w:color w:val="auto"/>
          <w:sz w:val="21"/>
          <w:szCs w:val="21"/>
          <w:highlight w:val="none"/>
        </w:rPr>
        <w:t>.1</w:t>
      </w:r>
      <w:r>
        <w:rPr>
          <w:rFonts w:hint="eastAsia"/>
          <w:bCs/>
          <w:color w:val="auto"/>
          <w:sz w:val="21"/>
          <w:szCs w:val="21"/>
          <w:highlight w:val="none"/>
        </w:rPr>
        <w:t>递交的电子投标文件（不含备用光盘）必须进行加密。按照交易平台关于</w:t>
      </w:r>
      <w:r>
        <w:rPr>
          <w:rFonts w:hint="eastAsia"/>
          <w:color w:val="auto"/>
          <w:sz w:val="21"/>
          <w:szCs w:val="21"/>
          <w:highlight w:val="none"/>
        </w:rPr>
        <w:t>全流程电子化项目的相关指南进行操作。详见：</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 xml:space="preserve"> 。</w:t>
      </w:r>
    </w:p>
    <w:p w14:paraId="10F61529">
      <w:pPr>
        <w:spacing w:line="360" w:lineRule="auto"/>
        <w:ind w:firstLine="420" w:firstLineChars="200"/>
        <w:rPr>
          <w:bCs/>
          <w:color w:val="auto"/>
          <w:sz w:val="21"/>
          <w:szCs w:val="21"/>
          <w:highlight w:val="none"/>
        </w:rPr>
      </w:pPr>
      <w:r>
        <w:rPr>
          <w:bCs/>
          <w:color w:val="auto"/>
          <w:sz w:val="21"/>
          <w:szCs w:val="21"/>
          <w:highlight w:val="none"/>
        </w:rPr>
        <w:t>1</w:t>
      </w:r>
      <w:r>
        <w:rPr>
          <w:rFonts w:hint="eastAsia"/>
          <w:bCs/>
          <w:color w:val="auto"/>
          <w:sz w:val="21"/>
          <w:szCs w:val="21"/>
          <w:highlight w:val="none"/>
        </w:rPr>
        <w:t>8</w:t>
      </w:r>
      <w:r>
        <w:rPr>
          <w:bCs/>
          <w:color w:val="auto"/>
          <w:sz w:val="21"/>
          <w:szCs w:val="21"/>
          <w:highlight w:val="none"/>
        </w:rPr>
        <w:t xml:space="preserve">.2 </w:t>
      </w:r>
      <w:r>
        <w:rPr>
          <w:rFonts w:hint="eastAsia"/>
          <w:bCs/>
          <w:color w:val="auto"/>
          <w:sz w:val="21"/>
          <w:szCs w:val="21"/>
          <w:highlight w:val="none"/>
        </w:rPr>
        <w:t>未按要求加密的投标文件，</w:t>
      </w:r>
      <w:r>
        <w:rPr>
          <w:color w:val="auto"/>
          <w:sz w:val="21"/>
          <w:szCs w:val="21"/>
          <w:highlight w:val="none"/>
          <w:u w:val="single"/>
        </w:rPr>
        <w:t xml:space="preserve">        </w:t>
      </w:r>
      <w:r>
        <w:rPr>
          <w:rFonts w:hint="eastAsia"/>
          <w:color w:val="auto"/>
          <w:sz w:val="21"/>
          <w:szCs w:val="21"/>
          <w:highlight w:val="none"/>
        </w:rPr>
        <w:t>交易平台</w:t>
      </w:r>
      <w:r>
        <w:rPr>
          <w:rFonts w:hint="eastAsia"/>
          <w:bCs/>
          <w:color w:val="auto"/>
          <w:sz w:val="21"/>
          <w:szCs w:val="21"/>
          <w:highlight w:val="none"/>
        </w:rPr>
        <w:t>将予以拒收。</w:t>
      </w:r>
    </w:p>
    <w:p w14:paraId="0D41952E">
      <w:pPr>
        <w:spacing w:line="360" w:lineRule="auto"/>
        <w:ind w:firstLine="422" w:firstLineChars="200"/>
        <w:rPr>
          <w:b/>
          <w:bCs/>
          <w:color w:val="auto"/>
          <w:sz w:val="21"/>
          <w:szCs w:val="21"/>
          <w:highlight w:val="none"/>
        </w:rPr>
      </w:pPr>
      <w:r>
        <w:rPr>
          <w:b/>
          <w:bCs/>
          <w:color w:val="auto"/>
          <w:sz w:val="21"/>
          <w:szCs w:val="21"/>
          <w:highlight w:val="none"/>
        </w:rPr>
        <w:t>19</w:t>
      </w:r>
      <w:r>
        <w:rPr>
          <w:rFonts w:hint="eastAsia"/>
          <w:b/>
          <w:bCs/>
          <w:color w:val="auto"/>
          <w:sz w:val="21"/>
          <w:szCs w:val="21"/>
          <w:highlight w:val="none"/>
        </w:rPr>
        <w:t>．投标文件的递交和接收</w:t>
      </w:r>
    </w:p>
    <w:p w14:paraId="2718822F">
      <w:pPr>
        <w:spacing w:line="360" w:lineRule="auto"/>
        <w:ind w:firstLine="420" w:firstLineChars="200"/>
        <w:rPr>
          <w:bCs/>
          <w:color w:val="auto"/>
          <w:sz w:val="21"/>
          <w:szCs w:val="21"/>
          <w:highlight w:val="none"/>
        </w:rPr>
      </w:pPr>
      <w:r>
        <w:rPr>
          <w:bCs/>
          <w:color w:val="auto"/>
          <w:sz w:val="21"/>
          <w:szCs w:val="21"/>
          <w:highlight w:val="none"/>
        </w:rPr>
        <w:t>1</w:t>
      </w:r>
      <w:r>
        <w:rPr>
          <w:rFonts w:hint="eastAsia"/>
          <w:bCs/>
          <w:color w:val="auto"/>
          <w:sz w:val="21"/>
          <w:szCs w:val="21"/>
          <w:highlight w:val="none"/>
        </w:rPr>
        <w:t>9</w:t>
      </w:r>
      <w:r>
        <w:rPr>
          <w:bCs/>
          <w:color w:val="auto"/>
          <w:sz w:val="21"/>
          <w:szCs w:val="21"/>
          <w:highlight w:val="none"/>
        </w:rPr>
        <w:t>.</w:t>
      </w:r>
      <w:r>
        <w:rPr>
          <w:rFonts w:hint="eastAsia"/>
          <w:bCs/>
          <w:color w:val="auto"/>
          <w:sz w:val="21"/>
          <w:szCs w:val="21"/>
          <w:highlight w:val="none"/>
        </w:rPr>
        <w:t>1投标人通过</w:t>
      </w:r>
      <w:r>
        <w:rPr>
          <w:color w:val="auto"/>
          <w:sz w:val="21"/>
          <w:szCs w:val="21"/>
          <w:highlight w:val="none"/>
          <w:u w:val="single"/>
        </w:rPr>
        <w:t xml:space="preserve">        </w:t>
      </w:r>
      <w:r>
        <w:rPr>
          <w:rFonts w:hint="eastAsia"/>
          <w:color w:val="auto"/>
          <w:sz w:val="21"/>
          <w:szCs w:val="21"/>
          <w:highlight w:val="none"/>
        </w:rPr>
        <w:t>交易平台递交电子投标文件。</w:t>
      </w:r>
    </w:p>
    <w:p w14:paraId="3F2CE849">
      <w:pPr>
        <w:spacing w:line="360" w:lineRule="auto"/>
        <w:ind w:firstLine="420" w:firstLineChars="200"/>
        <w:rPr>
          <w:bCs/>
          <w:color w:val="auto"/>
          <w:sz w:val="21"/>
          <w:szCs w:val="21"/>
          <w:highlight w:val="none"/>
        </w:rPr>
      </w:pPr>
      <w:r>
        <w:rPr>
          <w:bCs/>
          <w:color w:val="auto"/>
          <w:sz w:val="21"/>
          <w:szCs w:val="21"/>
          <w:highlight w:val="none"/>
        </w:rPr>
        <w:t>1</w:t>
      </w:r>
      <w:r>
        <w:rPr>
          <w:rFonts w:hint="eastAsia"/>
          <w:bCs/>
          <w:color w:val="auto"/>
          <w:sz w:val="21"/>
          <w:szCs w:val="21"/>
          <w:highlight w:val="none"/>
        </w:rPr>
        <w:t>9</w:t>
      </w:r>
      <w:r>
        <w:rPr>
          <w:bCs/>
          <w:color w:val="auto"/>
          <w:sz w:val="21"/>
          <w:szCs w:val="21"/>
          <w:highlight w:val="none"/>
        </w:rPr>
        <w:t>.</w:t>
      </w:r>
      <w:r>
        <w:rPr>
          <w:rFonts w:hint="eastAsia"/>
          <w:bCs/>
          <w:color w:val="auto"/>
          <w:sz w:val="21"/>
          <w:szCs w:val="21"/>
          <w:highlight w:val="none"/>
        </w:rPr>
        <w:t>2投标人完成电子</w:t>
      </w:r>
      <w:r>
        <w:rPr>
          <w:rFonts w:hint="eastAsia"/>
          <w:color w:val="auto"/>
          <w:sz w:val="21"/>
          <w:szCs w:val="21"/>
          <w:highlight w:val="none"/>
        </w:rPr>
        <w:t>投标文件</w:t>
      </w:r>
      <w:r>
        <w:rPr>
          <w:rFonts w:hint="eastAsia"/>
          <w:bCs/>
          <w:color w:val="auto"/>
          <w:sz w:val="21"/>
          <w:szCs w:val="21"/>
          <w:highlight w:val="none"/>
        </w:rPr>
        <w:t>上传后，</w:t>
      </w:r>
      <w:r>
        <w:rPr>
          <w:color w:val="auto"/>
          <w:sz w:val="21"/>
          <w:szCs w:val="21"/>
          <w:highlight w:val="none"/>
          <w:u w:val="single"/>
        </w:rPr>
        <w:t xml:space="preserve">        </w:t>
      </w:r>
      <w:r>
        <w:rPr>
          <w:rFonts w:hint="eastAsia"/>
          <w:color w:val="auto"/>
          <w:sz w:val="21"/>
          <w:szCs w:val="21"/>
          <w:highlight w:val="none"/>
        </w:rPr>
        <w:t>交易平台即时向投标人发出递交回执通知。递交时间以递交回执通知载明的传输完成时间为准。</w:t>
      </w:r>
    </w:p>
    <w:p w14:paraId="2EE5719F">
      <w:pPr>
        <w:spacing w:line="360" w:lineRule="auto"/>
        <w:ind w:firstLine="420" w:firstLineChars="200"/>
        <w:rPr>
          <w:color w:val="auto"/>
          <w:sz w:val="21"/>
          <w:szCs w:val="21"/>
          <w:highlight w:val="none"/>
        </w:rPr>
      </w:pPr>
      <w:r>
        <w:rPr>
          <w:bCs/>
          <w:color w:val="auto"/>
          <w:sz w:val="21"/>
          <w:szCs w:val="21"/>
          <w:highlight w:val="none"/>
        </w:rPr>
        <w:t>1</w:t>
      </w:r>
      <w:r>
        <w:rPr>
          <w:rFonts w:hint="eastAsia"/>
          <w:bCs/>
          <w:color w:val="auto"/>
          <w:sz w:val="21"/>
          <w:szCs w:val="21"/>
          <w:highlight w:val="none"/>
        </w:rPr>
        <w:t>9</w:t>
      </w:r>
      <w:r>
        <w:rPr>
          <w:bCs/>
          <w:color w:val="auto"/>
          <w:sz w:val="21"/>
          <w:szCs w:val="21"/>
          <w:highlight w:val="none"/>
        </w:rPr>
        <w:t>.</w:t>
      </w:r>
      <w:r>
        <w:rPr>
          <w:rFonts w:hint="eastAsia"/>
          <w:bCs/>
          <w:color w:val="auto"/>
          <w:sz w:val="21"/>
          <w:szCs w:val="21"/>
          <w:highlight w:val="none"/>
        </w:rPr>
        <w:t>3逾期送达的电子投标文件，</w:t>
      </w:r>
      <w:r>
        <w:rPr>
          <w:color w:val="auto"/>
          <w:sz w:val="21"/>
          <w:szCs w:val="21"/>
          <w:highlight w:val="none"/>
          <w:u w:val="single"/>
        </w:rPr>
        <w:t xml:space="preserve">        </w:t>
      </w:r>
      <w:r>
        <w:rPr>
          <w:rFonts w:hint="eastAsia"/>
          <w:color w:val="auto"/>
          <w:sz w:val="21"/>
          <w:szCs w:val="21"/>
          <w:highlight w:val="none"/>
        </w:rPr>
        <w:t>交易平台将予以拒收。</w:t>
      </w:r>
    </w:p>
    <w:p w14:paraId="65086B49">
      <w:pPr>
        <w:spacing w:line="360" w:lineRule="auto"/>
        <w:ind w:firstLine="420" w:firstLineChars="200"/>
        <w:rPr>
          <w:color w:val="auto"/>
          <w:sz w:val="21"/>
          <w:szCs w:val="21"/>
          <w:highlight w:val="none"/>
        </w:rPr>
      </w:pPr>
      <w:r>
        <w:rPr>
          <w:color w:val="auto"/>
          <w:sz w:val="21"/>
          <w:szCs w:val="21"/>
          <w:highlight w:val="none"/>
        </w:rPr>
        <w:t>19.</w:t>
      </w:r>
      <w:r>
        <w:rPr>
          <w:rFonts w:hint="eastAsia"/>
          <w:color w:val="auto"/>
          <w:sz w:val="21"/>
          <w:szCs w:val="21"/>
          <w:highlight w:val="none"/>
        </w:rPr>
        <w:t>4</w:t>
      </w:r>
      <w:r>
        <w:rPr>
          <w:color w:val="auto"/>
          <w:sz w:val="21"/>
          <w:szCs w:val="21"/>
          <w:highlight w:val="none"/>
        </w:rPr>
        <w:t xml:space="preserve"> </w:t>
      </w:r>
      <w:r>
        <w:rPr>
          <w:rFonts w:hint="eastAsia"/>
          <w:color w:val="auto"/>
          <w:sz w:val="21"/>
          <w:szCs w:val="21"/>
          <w:highlight w:val="none"/>
        </w:rPr>
        <w:t>投标截止前，招标人拒绝接收符合条件的投标文件，投标人可向招标投标监督机构投诉。</w:t>
      </w:r>
    </w:p>
    <w:p w14:paraId="3439D7FC">
      <w:pPr>
        <w:spacing w:line="360" w:lineRule="auto"/>
        <w:ind w:firstLine="420" w:firstLineChars="200"/>
        <w:rPr>
          <w:color w:val="auto"/>
          <w:sz w:val="21"/>
          <w:szCs w:val="21"/>
          <w:highlight w:val="none"/>
        </w:rPr>
      </w:pPr>
      <w:r>
        <w:rPr>
          <w:color w:val="auto"/>
          <w:sz w:val="21"/>
          <w:szCs w:val="21"/>
          <w:highlight w:val="none"/>
        </w:rPr>
        <w:t>19.</w:t>
      </w:r>
      <w:r>
        <w:rPr>
          <w:rFonts w:hint="eastAsia"/>
          <w:color w:val="auto"/>
          <w:sz w:val="21"/>
          <w:szCs w:val="21"/>
          <w:highlight w:val="none"/>
        </w:rPr>
        <w:t>5如技术标和经济标先后分别开启，</w:t>
      </w:r>
      <w:r>
        <w:rPr>
          <w:color w:val="auto"/>
          <w:sz w:val="21"/>
          <w:szCs w:val="21"/>
          <w:highlight w:val="none"/>
          <w:u w:val="single"/>
        </w:rPr>
        <w:t xml:space="preserve">        </w:t>
      </w:r>
      <w:r>
        <w:rPr>
          <w:rFonts w:hint="eastAsia"/>
          <w:color w:val="auto"/>
          <w:sz w:val="21"/>
          <w:szCs w:val="21"/>
          <w:highlight w:val="none"/>
        </w:rPr>
        <w:t>交易平台将按招标文件规定的时间分别开启技术标和经济标。</w:t>
      </w:r>
    </w:p>
    <w:p w14:paraId="2947FFDD">
      <w:pPr>
        <w:spacing w:line="360" w:lineRule="auto"/>
        <w:ind w:firstLine="420" w:firstLineChars="200"/>
        <w:rPr>
          <w:color w:val="auto"/>
          <w:sz w:val="21"/>
          <w:szCs w:val="21"/>
          <w:highlight w:val="none"/>
        </w:rPr>
      </w:pPr>
      <w:r>
        <w:rPr>
          <w:color w:val="auto"/>
          <w:sz w:val="21"/>
          <w:szCs w:val="21"/>
          <w:highlight w:val="none"/>
        </w:rPr>
        <w:t>19.6</w:t>
      </w:r>
      <w:r>
        <w:rPr>
          <w:rFonts w:hint="eastAsia"/>
          <w:color w:val="auto"/>
          <w:sz w:val="21"/>
          <w:szCs w:val="21"/>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p>
    <w:p w14:paraId="4139A8FD">
      <w:pPr>
        <w:spacing w:line="360" w:lineRule="auto"/>
        <w:ind w:firstLine="422" w:firstLineChars="200"/>
        <w:rPr>
          <w:b/>
          <w:bCs/>
          <w:color w:val="auto"/>
          <w:sz w:val="21"/>
          <w:szCs w:val="21"/>
          <w:highlight w:val="none"/>
        </w:rPr>
      </w:pPr>
      <w:r>
        <w:rPr>
          <w:b/>
          <w:bCs/>
          <w:color w:val="auto"/>
          <w:sz w:val="21"/>
          <w:szCs w:val="21"/>
          <w:highlight w:val="none"/>
        </w:rPr>
        <w:t>20</w:t>
      </w:r>
      <w:r>
        <w:rPr>
          <w:rFonts w:hint="eastAsia"/>
          <w:b/>
          <w:bCs/>
          <w:color w:val="auto"/>
          <w:sz w:val="21"/>
          <w:szCs w:val="21"/>
          <w:highlight w:val="none"/>
        </w:rPr>
        <w:t>．投标文件提交的截止时间</w:t>
      </w:r>
    </w:p>
    <w:p w14:paraId="616795F8">
      <w:pPr>
        <w:spacing w:line="360" w:lineRule="auto"/>
        <w:ind w:firstLine="420" w:firstLineChars="200"/>
        <w:rPr>
          <w:b/>
          <w:bCs/>
          <w:color w:val="auto"/>
          <w:sz w:val="21"/>
          <w:szCs w:val="21"/>
          <w:highlight w:val="none"/>
        </w:rPr>
      </w:pPr>
      <w:r>
        <w:rPr>
          <w:color w:val="auto"/>
          <w:sz w:val="21"/>
          <w:szCs w:val="21"/>
          <w:highlight w:val="none"/>
        </w:rPr>
        <w:t>20.1</w:t>
      </w:r>
      <w:r>
        <w:rPr>
          <w:rFonts w:hint="eastAsia"/>
          <w:color w:val="auto"/>
          <w:sz w:val="21"/>
          <w:szCs w:val="21"/>
          <w:highlight w:val="none"/>
        </w:rPr>
        <w:t>投标人应在投标须知前附表第17项所述的时间前提交投标文件。</w:t>
      </w:r>
    </w:p>
    <w:p w14:paraId="47579EE3">
      <w:pPr>
        <w:spacing w:line="360" w:lineRule="auto"/>
        <w:ind w:firstLine="420" w:firstLineChars="200"/>
        <w:rPr>
          <w:color w:val="auto"/>
          <w:sz w:val="21"/>
          <w:szCs w:val="21"/>
          <w:highlight w:val="none"/>
        </w:rPr>
      </w:pPr>
      <w:r>
        <w:rPr>
          <w:color w:val="auto"/>
          <w:sz w:val="21"/>
          <w:szCs w:val="21"/>
          <w:highlight w:val="none"/>
        </w:rPr>
        <w:t>20.2</w:t>
      </w:r>
      <w:r>
        <w:rPr>
          <w:rFonts w:hint="eastAsia"/>
          <w:color w:val="auto"/>
          <w:sz w:val="21"/>
          <w:szCs w:val="21"/>
          <w:highlight w:val="none"/>
        </w:rPr>
        <w:t>招标人可按本须知第</w:t>
      </w:r>
      <w:r>
        <w:rPr>
          <w:color w:val="auto"/>
          <w:sz w:val="21"/>
          <w:szCs w:val="21"/>
          <w:highlight w:val="none"/>
        </w:rPr>
        <w:t>9</w:t>
      </w:r>
      <w:r>
        <w:rPr>
          <w:rFonts w:hint="eastAsia"/>
          <w:color w:val="auto"/>
          <w:sz w:val="21"/>
          <w:szCs w:val="21"/>
          <w:highlight w:val="none"/>
        </w:rPr>
        <w:t>条规定以招标文件修改的方式，酌情延长提交投标文件的截止时间。在此情况下，投标人的所有权利和义务以及投标人受制约的截止时间，均以延长后新的投标截止时间为准。</w:t>
      </w:r>
    </w:p>
    <w:p w14:paraId="4DF56778">
      <w:pPr>
        <w:spacing w:line="360" w:lineRule="auto"/>
        <w:ind w:firstLine="420" w:firstLineChars="200"/>
        <w:rPr>
          <w:color w:val="auto"/>
          <w:sz w:val="21"/>
          <w:szCs w:val="21"/>
          <w:highlight w:val="none"/>
        </w:rPr>
      </w:pPr>
      <w:r>
        <w:rPr>
          <w:color w:val="auto"/>
          <w:sz w:val="21"/>
          <w:szCs w:val="21"/>
          <w:highlight w:val="none"/>
        </w:rPr>
        <w:t xml:space="preserve">20.3 </w:t>
      </w:r>
      <w:r>
        <w:rPr>
          <w:rFonts w:hint="eastAsia"/>
          <w:color w:val="auto"/>
          <w:sz w:val="21"/>
          <w:szCs w:val="21"/>
          <w:highlight w:val="none"/>
        </w:rPr>
        <w:t>到投标截止时间止，招标人收到的投标文件少于3家的，招标人将重新组织招标（当</w:t>
      </w:r>
      <w:r>
        <w:rPr>
          <w:color w:val="auto"/>
          <w:sz w:val="21"/>
          <w:szCs w:val="21"/>
          <w:highlight w:val="none"/>
        </w:rPr>
        <w:t>N</w:t>
      </w:r>
      <w:r>
        <w:rPr>
          <w:rFonts w:hint="eastAsia"/>
          <w:color w:val="auto"/>
          <w:sz w:val="21"/>
          <w:szCs w:val="21"/>
          <w:highlight w:val="none"/>
        </w:rPr>
        <w:t>个标段同时招标且不允许兼中时，若有效投标人不足</w:t>
      </w:r>
      <w:r>
        <w:rPr>
          <w:color w:val="auto"/>
          <w:sz w:val="21"/>
          <w:szCs w:val="21"/>
          <w:highlight w:val="none"/>
        </w:rPr>
        <w:t>N+</w:t>
      </w:r>
      <w:r>
        <w:rPr>
          <w:rFonts w:hint="eastAsia"/>
          <w:color w:val="auto"/>
          <w:sz w:val="21"/>
          <w:szCs w:val="21"/>
          <w:highlight w:val="none"/>
        </w:rPr>
        <w:t>2家，则重新组织招标）。</w:t>
      </w:r>
    </w:p>
    <w:p w14:paraId="133C3AF1">
      <w:pPr>
        <w:spacing w:line="360" w:lineRule="auto"/>
        <w:ind w:firstLine="422" w:firstLineChars="200"/>
        <w:rPr>
          <w:b/>
          <w:bCs/>
          <w:color w:val="auto"/>
          <w:sz w:val="21"/>
          <w:szCs w:val="21"/>
          <w:highlight w:val="none"/>
        </w:rPr>
      </w:pPr>
      <w:r>
        <w:rPr>
          <w:b/>
          <w:bCs/>
          <w:color w:val="auto"/>
          <w:sz w:val="21"/>
          <w:szCs w:val="21"/>
          <w:highlight w:val="none"/>
        </w:rPr>
        <w:t>21</w:t>
      </w:r>
      <w:r>
        <w:rPr>
          <w:rFonts w:hint="eastAsia"/>
          <w:b/>
          <w:bCs/>
          <w:color w:val="auto"/>
          <w:sz w:val="21"/>
          <w:szCs w:val="21"/>
          <w:highlight w:val="none"/>
        </w:rPr>
        <w:t>．迟交的投标文件</w:t>
      </w:r>
    </w:p>
    <w:p w14:paraId="4A9FE9DD">
      <w:pPr>
        <w:spacing w:line="360" w:lineRule="auto"/>
        <w:ind w:firstLine="420" w:firstLineChars="200"/>
        <w:rPr>
          <w:color w:val="auto"/>
          <w:sz w:val="21"/>
          <w:szCs w:val="21"/>
          <w:highlight w:val="none"/>
        </w:rPr>
      </w:pPr>
      <w:r>
        <w:rPr>
          <w:color w:val="auto"/>
          <w:sz w:val="21"/>
          <w:szCs w:val="21"/>
          <w:highlight w:val="none"/>
        </w:rPr>
        <w:t xml:space="preserve">21.1 </w:t>
      </w:r>
      <w:r>
        <w:rPr>
          <w:rFonts w:hint="eastAsia"/>
          <w:color w:val="auto"/>
          <w:sz w:val="21"/>
          <w:szCs w:val="21"/>
          <w:highlight w:val="none"/>
        </w:rPr>
        <w:t>本须知前附表第</w:t>
      </w:r>
      <w:r>
        <w:rPr>
          <w:color w:val="auto"/>
          <w:sz w:val="21"/>
          <w:szCs w:val="21"/>
          <w:highlight w:val="none"/>
        </w:rPr>
        <w:t>1</w:t>
      </w:r>
      <w:r>
        <w:rPr>
          <w:rFonts w:hint="eastAsia"/>
          <w:color w:val="auto"/>
          <w:sz w:val="21"/>
          <w:szCs w:val="21"/>
          <w:highlight w:val="none"/>
        </w:rPr>
        <w:t>7项规定的投标截止时间</w:t>
      </w:r>
      <w:r>
        <w:rPr>
          <w:rFonts w:hint="eastAsia"/>
          <w:bCs/>
          <w:color w:val="auto"/>
          <w:sz w:val="21"/>
          <w:szCs w:val="21"/>
          <w:highlight w:val="none"/>
        </w:rPr>
        <w:t>后送达的电子投标文件，</w:t>
      </w:r>
      <w:r>
        <w:rPr>
          <w:color w:val="auto"/>
          <w:sz w:val="21"/>
          <w:szCs w:val="21"/>
          <w:highlight w:val="none"/>
          <w:u w:val="single"/>
        </w:rPr>
        <w:t xml:space="preserve">       </w:t>
      </w:r>
      <w:r>
        <w:rPr>
          <w:rFonts w:hint="eastAsia"/>
          <w:color w:val="auto"/>
          <w:sz w:val="21"/>
          <w:szCs w:val="21"/>
          <w:highlight w:val="none"/>
        </w:rPr>
        <w:t>交易平台将予以拒收。</w:t>
      </w:r>
    </w:p>
    <w:p w14:paraId="3113872C">
      <w:pPr>
        <w:spacing w:line="360" w:lineRule="auto"/>
        <w:ind w:firstLine="422" w:firstLineChars="200"/>
        <w:rPr>
          <w:b/>
          <w:bCs/>
          <w:color w:val="auto"/>
          <w:sz w:val="21"/>
          <w:szCs w:val="21"/>
          <w:highlight w:val="none"/>
        </w:rPr>
      </w:pPr>
      <w:r>
        <w:rPr>
          <w:b/>
          <w:bCs/>
          <w:color w:val="auto"/>
          <w:sz w:val="21"/>
          <w:szCs w:val="21"/>
          <w:highlight w:val="none"/>
        </w:rPr>
        <w:t>22</w:t>
      </w:r>
      <w:r>
        <w:rPr>
          <w:rFonts w:hint="eastAsia"/>
          <w:b/>
          <w:bCs/>
          <w:color w:val="auto"/>
          <w:sz w:val="21"/>
          <w:szCs w:val="21"/>
          <w:highlight w:val="none"/>
        </w:rPr>
        <w:t>．投标文件的修改与撤回</w:t>
      </w:r>
    </w:p>
    <w:p w14:paraId="1B896A8C">
      <w:pPr>
        <w:spacing w:line="360" w:lineRule="auto"/>
        <w:ind w:firstLine="420" w:firstLineChars="200"/>
        <w:rPr>
          <w:color w:val="auto"/>
          <w:sz w:val="21"/>
          <w:szCs w:val="21"/>
          <w:highlight w:val="none"/>
        </w:rPr>
      </w:pPr>
      <w:r>
        <w:rPr>
          <w:color w:val="auto"/>
          <w:sz w:val="21"/>
          <w:szCs w:val="21"/>
          <w:highlight w:val="none"/>
        </w:rPr>
        <w:t>22.1</w:t>
      </w:r>
      <w:r>
        <w:rPr>
          <w:rFonts w:hint="eastAsia"/>
          <w:color w:val="auto"/>
          <w:sz w:val="21"/>
          <w:szCs w:val="21"/>
          <w:highlight w:val="none"/>
        </w:rPr>
        <w:t>在规定的投标截止时间前，投标人可以修改或撤回已递交的投标文件，但应以书面形式通知招标人。</w:t>
      </w:r>
    </w:p>
    <w:p w14:paraId="3D927AA3">
      <w:pPr>
        <w:spacing w:line="360" w:lineRule="auto"/>
        <w:ind w:firstLine="420" w:firstLineChars="200"/>
        <w:rPr>
          <w:color w:val="auto"/>
          <w:sz w:val="21"/>
          <w:szCs w:val="21"/>
          <w:highlight w:val="none"/>
        </w:rPr>
      </w:pPr>
      <w:r>
        <w:rPr>
          <w:color w:val="auto"/>
          <w:sz w:val="21"/>
          <w:szCs w:val="21"/>
          <w:highlight w:val="none"/>
        </w:rPr>
        <w:t>22.2投标人修改或撤回已递交</w:t>
      </w:r>
      <w:r>
        <w:rPr>
          <w:rFonts w:hint="eastAsia"/>
          <w:color w:val="auto"/>
          <w:sz w:val="21"/>
          <w:szCs w:val="21"/>
          <w:highlight w:val="none"/>
        </w:rPr>
        <w:t>的</w:t>
      </w:r>
      <w:r>
        <w:rPr>
          <w:color w:val="auto"/>
          <w:sz w:val="21"/>
          <w:szCs w:val="21"/>
          <w:highlight w:val="none"/>
        </w:rPr>
        <w:t>投标文件</w:t>
      </w:r>
      <w:r>
        <w:rPr>
          <w:rFonts w:hint="eastAsia"/>
          <w:color w:val="auto"/>
          <w:sz w:val="21"/>
          <w:szCs w:val="21"/>
          <w:highlight w:val="none"/>
        </w:rPr>
        <w:t>，需在交易平台发出修改或撤回</w:t>
      </w:r>
      <w:r>
        <w:rPr>
          <w:color w:val="auto"/>
          <w:sz w:val="21"/>
          <w:szCs w:val="21"/>
          <w:highlight w:val="none"/>
        </w:rPr>
        <w:t>通知，</w:t>
      </w:r>
      <w:r>
        <w:rPr>
          <w:rFonts w:hint="eastAsia"/>
          <w:color w:val="auto"/>
          <w:sz w:val="21"/>
          <w:szCs w:val="21"/>
          <w:highlight w:val="none"/>
        </w:rPr>
        <w:t>并按</w:t>
      </w:r>
      <w:r>
        <w:rPr>
          <w:color w:val="auto"/>
          <w:sz w:val="21"/>
          <w:szCs w:val="21"/>
          <w:highlight w:val="none"/>
        </w:rPr>
        <w:t>要求加盖电子印章。</w:t>
      </w:r>
      <w:r>
        <w:rPr>
          <w:bCs/>
          <w:iCs/>
          <w:color w:val="auto"/>
          <w:sz w:val="21"/>
          <w:szCs w:val="21"/>
          <w:highlight w:val="none"/>
        </w:rPr>
        <w:t>电子招标投标交易平台收到通知后，</w:t>
      </w:r>
      <w:r>
        <w:rPr>
          <w:color w:val="auto"/>
          <w:sz w:val="21"/>
          <w:szCs w:val="21"/>
          <w:highlight w:val="none"/>
        </w:rPr>
        <w:t>即时向投标人发出确认回执通知。</w:t>
      </w:r>
    </w:p>
    <w:p w14:paraId="04268743">
      <w:pPr>
        <w:spacing w:line="360" w:lineRule="auto"/>
        <w:ind w:firstLine="420" w:firstLineChars="200"/>
        <w:rPr>
          <w:color w:val="auto"/>
          <w:sz w:val="21"/>
          <w:szCs w:val="21"/>
          <w:highlight w:val="none"/>
        </w:rPr>
      </w:pPr>
      <w:r>
        <w:rPr>
          <w:rFonts w:hint="eastAsia"/>
          <w:color w:val="auto"/>
          <w:sz w:val="21"/>
          <w:szCs w:val="21"/>
          <w:highlight w:val="none"/>
        </w:rPr>
        <w:t>22.3修改后再次递交的，按19点的规定执行。</w:t>
      </w:r>
    </w:p>
    <w:p w14:paraId="34EDED0C">
      <w:pPr>
        <w:spacing w:line="360" w:lineRule="auto"/>
        <w:ind w:firstLine="420" w:firstLineChars="200"/>
        <w:rPr>
          <w:color w:val="auto"/>
          <w:sz w:val="21"/>
          <w:szCs w:val="21"/>
          <w:highlight w:val="none"/>
        </w:rPr>
      </w:pPr>
      <w:r>
        <w:rPr>
          <w:color w:val="auto"/>
          <w:sz w:val="21"/>
          <w:szCs w:val="21"/>
          <w:highlight w:val="none"/>
        </w:rPr>
        <w:t>22.</w:t>
      </w:r>
      <w:r>
        <w:rPr>
          <w:rFonts w:hint="eastAsia"/>
          <w:color w:val="auto"/>
          <w:sz w:val="21"/>
          <w:szCs w:val="21"/>
          <w:highlight w:val="none"/>
        </w:rPr>
        <w:t>4</w:t>
      </w:r>
      <w:r>
        <w:rPr>
          <w:color w:val="auto"/>
          <w:sz w:val="21"/>
          <w:szCs w:val="21"/>
          <w:highlight w:val="none"/>
        </w:rPr>
        <w:t xml:space="preserve"> </w:t>
      </w:r>
      <w:r>
        <w:rPr>
          <w:rFonts w:hint="eastAsia"/>
          <w:color w:val="auto"/>
          <w:sz w:val="21"/>
          <w:szCs w:val="21"/>
          <w:highlight w:val="none"/>
        </w:rPr>
        <w:t>在投标截止时间之后，投标人不得补充、修改和更换投标文件。</w:t>
      </w:r>
    </w:p>
    <w:p w14:paraId="0DA3151C">
      <w:pPr>
        <w:pStyle w:val="5"/>
        <w:spacing w:before="156" w:after="156"/>
        <w:rPr>
          <w:color w:val="auto"/>
          <w:sz w:val="21"/>
          <w:szCs w:val="21"/>
          <w:highlight w:val="none"/>
        </w:rPr>
      </w:pPr>
      <w:bookmarkStart w:id="13" w:name="_Toc29693"/>
      <w:bookmarkStart w:id="14" w:name="_Toc32760"/>
      <w:r>
        <w:rPr>
          <w:rFonts w:hint="eastAsia"/>
          <w:color w:val="auto"/>
          <w:sz w:val="21"/>
          <w:szCs w:val="21"/>
          <w:highlight w:val="none"/>
        </w:rPr>
        <w:t>（五）开标、评标、定标及合同签定</w:t>
      </w:r>
      <w:bookmarkEnd w:id="13"/>
      <w:bookmarkEnd w:id="14"/>
    </w:p>
    <w:p w14:paraId="4EC17936">
      <w:pPr>
        <w:spacing w:line="360" w:lineRule="auto"/>
        <w:ind w:firstLine="422" w:firstLineChars="200"/>
        <w:rPr>
          <w:b/>
          <w:bCs/>
          <w:color w:val="auto"/>
          <w:sz w:val="21"/>
          <w:szCs w:val="21"/>
          <w:highlight w:val="none"/>
        </w:rPr>
      </w:pPr>
      <w:r>
        <w:rPr>
          <w:b/>
          <w:bCs/>
          <w:color w:val="auto"/>
          <w:sz w:val="21"/>
          <w:szCs w:val="21"/>
          <w:highlight w:val="none"/>
        </w:rPr>
        <w:t>23</w:t>
      </w:r>
      <w:r>
        <w:rPr>
          <w:rFonts w:hint="eastAsia"/>
          <w:b/>
          <w:bCs/>
          <w:color w:val="auto"/>
          <w:sz w:val="21"/>
          <w:szCs w:val="21"/>
          <w:highlight w:val="none"/>
        </w:rPr>
        <w:t>、开标。</w:t>
      </w:r>
    </w:p>
    <w:p w14:paraId="44767A5D">
      <w:pPr>
        <w:spacing w:line="360" w:lineRule="auto"/>
        <w:ind w:firstLine="420" w:firstLineChars="200"/>
        <w:rPr>
          <w:color w:val="auto"/>
          <w:sz w:val="21"/>
          <w:szCs w:val="21"/>
          <w:highlight w:val="none"/>
        </w:rPr>
      </w:pPr>
      <w:r>
        <w:rPr>
          <w:rFonts w:hint="eastAsia"/>
          <w:color w:val="auto"/>
          <w:sz w:val="21"/>
          <w:szCs w:val="21"/>
          <w:highlight w:val="none"/>
        </w:rPr>
        <w:t>详见第二章开标、评标及定标办法</w:t>
      </w:r>
    </w:p>
    <w:p w14:paraId="17168F1D">
      <w:pPr>
        <w:spacing w:line="360" w:lineRule="auto"/>
        <w:ind w:firstLine="422" w:firstLineChars="200"/>
        <w:rPr>
          <w:b/>
          <w:bCs/>
          <w:color w:val="auto"/>
          <w:sz w:val="21"/>
          <w:szCs w:val="21"/>
          <w:highlight w:val="none"/>
        </w:rPr>
      </w:pPr>
      <w:r>
        <w:rPr>
          <w:b/>
          <w:bCs/>
          <w:color w:val="auto"/>
          <w:sz w:val="21"/>
          <w:szCs w:val="21"/>
          <w:highlight w:val="none"/>
        </w:rPr>
        <w:t>24</w:t>
      </w:r>
      <w:r>
        <w:rPr>
          <w:rFonts w:hint="eastAsia"/>
          <w:b/>
          <w:bCs/>
          <w:color w:val="auto"/>
          <w:sz w:val="21"/>
          <w:szCs w:val="21"/>
          <w:highlight w:val="none"/>
        </w:rPr>
        <w:t>．评标过程的保密</w:t>
      </w:r>
    </w:p>
    <w:p w14:paraId="1E1A43D6">
      <w:pPr>
        <w:spacing w:line="360" w:lineRule="auto"/>
        <w:ind w:firstLine="420" w:firstLineChars="200"/>
        <w:rPr>
          <w:color w:val="auto"/>
          <w:sz w:val="21"/>
          <w:szCs w:val="21"/>
          <w:highlight w:val="none"/>
        </w:rPr>
      </w:pPr>
      <w:r>
        <w:rPr>
          <w:color w:val="auto"/>
          <w:sz w:val="21"/>
          <w:szCs w:val="21"/>
          <w:highlight w:val="none"/>
        </w:rPr>
        <w:t xml:space="preserve">24.1 </w:t>
      </w:r>
      <w:r>
        <w:rPr>
          <w:rFonts w:hint="eastAsia"/>
          <w:color w:val="auto"/>
          <w:sz w:val="21"/>
          <w:szCs w:val="21"/>
          <w:highlight w:val="none"/>
        </w:rPr>
        <w:t>开标后，直至中标公示为止，凡属于对投标文件的审查、澄清、评价和比较有关的资料以及中标候选人的推荐情况，与评标有关的其他任何情况均严格保密。</w:t>
      </w:r>
    </w:p>
    <w:p w14:paraId="39C5FF30">
      <w:pPr>
        <w:spacing w:line="360" w:lineRule="auto"/>
        <w:ind w:firstLine="420" w:firstLineChars="200"/>
        <w:rPr>
          <w:color w:val="auto"/>
          <w:sz w:val="21"/>
          <w:szCs w:val="21"/>
          <w:highlight w:val="none"/>
        </w:rPr>
      </w:pPr>
      <w:r>
        <w:rPr>
          <w:color w:val="auto"/>
          <w:sz w:val="21"/>
          <w:szCs w:val="21"/>
          <w:highlight w:val="none"/>
        </w:rPr>
        <w:t xml:space="preserve">24.2 </w:t>
      </w:r>
      <w:r>
        <w:rPr>
          <w:rFonts w:hint="eastAsia"/>
          <w:color w:val="auto"/>
          <w:sz w:val="21"/>
          <w:szCs w:val="21"/>
          <w:highlight w:val="none"/>
        </w:rPr>
        <w:t>在投标文件的评审和比较、中标候选人推荐以及授予合同的过程中，投标人向招标人和评标委员会施加不公正影响的任何行为，都将会导致其投标被拒绝。</w:t>
      </w:r>
    </w:p>
    <w:p w14:paraId="691FBCD7">
      <w:pPr>
        <w:spacing w:line="360" w:lineRule="auto"/>
        <w:ind w:firstLine="422" w:firstLineChars="200"/>
        <w:rPr>
          <w:b/>
          <w:bCs/>
          <w:color w:val="auto"/>
          <w:sz w:val="21"/>
          <w:szCs w:val="21"/>
          <w:highlight w:val="none"/>
        </w:rPr>
      </w:pPr>
      <w:r>
        <w:rPr>
          <w:b/>
          <w:bCs/>
          <w:color w:val="auto"/>
          <w:sz w:val="21"/>
          <w:szCs w:val="21"/>
          <w:highlight w:val="none"/>
        </w:rPr>
        <w:t>25</w:t>
      </w:r>
      <w:r>
        <w:rPr>
          <w:rFonts w:hint="eastAsia"/>
          <w:b/>
          <w:bCs/>
          <w:color w:val="auto"/>
          <w:sz w:val="21"/>
          <w:szCs w:val="21"/>
          <w:highlight w:val="none"/>
        </w:rPr>
        <w:t>．投标文件的澄清，计算错误的修正</w:t>
      </w:r>
    </w:p>
    <w:p w14:paraId="5907C37C">
      <w:pPr>
        <w:spacing w:line="360" w:lineRule="auto"/>
        <w:ind w:firstLine="420" w:firstLineChars="200"/>
        <w:rPr>
          <w:color w:val="auto"/>
          <w:sz w:val="21"/>
          <w:szCs w:val="21"/>
          <w:highlight w:val="none"/>
        </w:rPr>
      </w:pPr>
      <w:r>
        <w:rPr>
          <w:rFonts w:hint="eastAsia"/>
          <w:color w:val="auto"/>
          <w:sz w:val="21"/>
          <w:szCs w:val="21"/>
          <w:highlight w:val="none"/>
        </w:rPr>
        <w:t>详见招标文件第二章开标、评标及定标办法</w:t>
      </w:r>
    </w:p>
    <w:p w14:paraId="2293B2AF">
      <w:pPr>
        <w:spacing w:line="360" w:lineRule="auto"/>
        <w:ind w:firstLine="422" w:firstLineChars="200"/>
        <w:rPr>
          <w:b/>
          <w:bCs/>
          <w:color w:val="auto"/>
          <w:sz w:val="21"/>
          <w:szCs w:val="21"/>
          <w:highlight w:val="none"/>
        </w:rPr>
      </w:pPr>
      <w:r>
        <w:rPr>
          <w:b/>
          <w:bCs/>
          <w:color w:val="auto"/>
          <w:sz w:val="21"/>
          <w:szCs w:val="21"/>
          <w:highlight w:val="none"/>
        </w:rPr>
        <w:t>26</w:t>
      </w:r>
      <w:r>
        <w:rPr>
          <w:rFonts w:hint="eastAsia"/>
          <w:b/>
          <w:bCs/>
          <w:color w:val="auto"/>
          <w:sz w:val="21"/>
          <w:szCs w:val="21"/>
          <w:highlight w:val="none"/>
        </w:rPr>
        <w:t>．投标文件的评审、比较和否决</w:t>
      </w:r>
    </w:p>
    <w:p w14:paraId="0459F507">
      <w:pPr>
        <w:spacing w:line="360" w:lineRule="auto"/>
        <w:ind w:firstLine="420" w:firstLineChars="200"/>
        <w:rPr>
          <w:bCs/>
          <w:color w:val="auto"/>
          <w:sz w:val="21"/>
          <w:szCs w:val="21"/>
          <w:highlight w:val="none"/>
        </w:rPr>
      </w:pPr>
      <w:r>
        <w:rPr>
          <w:rFonts w:hint="eastAsia"/>
          <w:color w:val="auto"/>
          <w:sz w:val="21"/>
          <w:szCs w:val="21"/>
          <w:highlight w:val="none"/>
        </w:rPr>
        <w:t>详见招标文件第二章开标、评标及定标办法。</w:t>
      </w:r>
    </w:p>
    <w:p w14:paraId="6C7EB22C">
      <w:pPr>
        <w:spacing w:line="360" w:lineRule="auto"/>
        <w:ind w:firstLine="422" w:firstLineChars="200"/>
        <w:rPr>
          <w:b/>
          <w:bCs/>
          <w:color w:val="auto"/>
          <w:sz w:val="21"/>
          <w:szCs w:val="21"/>
          <w:highlight w:val="none"/>
        </w:rPr>
      </w:pPr>
      <w:r>
        <w:rPr>
          <w:b/>
          <w:bCs/>
          <w:color w:val="auto"/>
          <w:sz w:val="21"/>
          <w:szCs w:val="21"/>
          <w:highlight w:val="none"/>
        </w:rPr>
        <w:t>27</w:t>
      </w:r>
      <w:r>
        <w:rPr>
          <w:rFonts w:hint="eastAsia"/>
          <w:b/>
          <w:bCs/>
          <w:color w:val="auto"/>
          <w:sz w:val="21"/>
          <w:szCs w:val="21"/>
          <w:highlight w:val="none"/>
        </w:rPr>
        <w:t>．中标通知书</w:t>
      </w:r>
    </w:p>
    <w:p w14:paraId="6DB74DCD">
      <w:pPr>
        <w:spacing w:line="360" w:lineRule="auto"/>
        <w:ind w:firstLine="420" w:firstLineChars="200"/>
        <w:rPr>
          <w:color w:val="auto"/>
          <w:sz w:val="21"/>
          <w:szCs w:val="21"/>
          <w:highlight w:val="none"/>
        </w:rPr>
      </w:pPr>
      <w:r>
        <w:rPr>
          <w:color w:val="auto"/>
          <w:sz w:val="21"/>
          <w:szCs w:val="21"/>
          <w:highlight w:val="none"/>
        </w:rPr>
        <w:t>27.1</w:t>
      </w:r>
      <w:r>
        <w:rPr>
          <w:rFonts w:hint="eastAsia"/>
          <w:color w:val="auto"/>
          <w:sz w:val="21"/>
          <w:szCs w:val="21"/>
          <w:highlight w:val="none"/>
        </w:rPr>
        <w:t>招标人将在</w:t>
      </w:r>
      <w:r>
        <w:rPr>
          <w:color w:val="auto"/>
          <w:sz w:val="21"/>
          <w:szCs w:val="21"/>
          <w:highlight w:val="none"/>
          <w:u w:val="single"/>
        </w:rPr>
        <w:t xml:space="preserve">        </w:t>
      </w:r>
      <w:r>
        <w:rPr>
          <w:rFonts w:hint="eastAsia"/>
          <w:color w:val="auto"/>
          <w:sz w:val="21"/>
          <w:szCs w:val="21"/>
          <w:highlight w:val="none"/>
        </w:rPr>
        <w:t>交易平台、广东省招标投标监管网和中国招标投标公共服务平台公示中标候选人，公示期为三天。</w:t>
      </w:r>
    </w:p>
    <w:p w14:paraId="1D9984C8">
      <w:pPr>
        <w:spacing w:line="360" w:lineRule="auto"/>
        <w:ind w:firstLine="420" w:firstLineChars="200"/>
        <w:rPr>
          <w:rFonts w:ascii="仿宋_GB2312" w:eastAsia="仿宋_GB2312"/>
          <w:color w:val="auto"/>
          <w:sz w:val="21"/>
          <w:szCs w:val="21"/>
          <w:highlight w:val="none"/>
        </w:rPr>
      </w:pPr>
      <w:r>
        <w:rPr>
          <w:color w:val="auto"/>
          <w:sz w:val="21"/>
          <w:szCs w:val="21"/>
          <w:highlight w:val="none"/>
        </w:rPr>
        <w:t>27.2</w:t>
      </w:r>
      <w:r>
        <w:rPr>
          <w:rFonts w:hint="eastAsia"/>
          <w:color w:val="auto"/>
          <w:sz w:val="21"/>
          <w:szCs w:val="21"/>
          <w:highlight w:val="none"/>
        </w:rPr>
        <w:t>招标人应当自确定中标人后，向招标投标监管机构提交招标投标情况的书面报告；经招投标监管机构备案后，方可发出中标通知书。</w:t>
      </w:r>
    </w:p>
    <w:p w14:paraId="6379A542">
      <w:pPr>
        <w:spacing w:line="360" w:lineRule="auto"/>
        <w:ind w:firstLine="420" w:firstLineChars="200"/>
        <w:rPr>
          <w:color w:val="auto"/>
          <w:sz w:val="21"/>
          <w:szCs w:val="21"/>
          <w:highlight w:val="none"/>
        </w:rPr>
      </w:pPr>
      <w:r>
        <w:rPr>
          <w:color w:val="auto"/>
          <w:sz w:val="21"/>
          <w:szCs w:val="21"/>
          <w:highlight w:val="none"/>
        </w:rPr>
        <w:t>27.3</w:t>
      </w:r>
      <w:r>
        <w:rPr>
          <w:rFonts w:hint="eastAsia"/>
          <w:color w:val="auto"/>
          <w:sz w:val="21"/>
          <w:szCs w:val="21"/>
          <w:highlight w:val="none"/>
        </w:rPr>
        <w:t>中标人必须在收到中标通知书后</w:t>
      </w:r>
      <w:r>
        <w:rPr>
          <w:color w:val="auto"/>
          <w:sz w:val="21"/>
          <w:szCs w:val="21"/>
          <w:highlight w:val="none"/>
        </w:rPr>
        <w:t>24</w:t>
      </w:r>
      <w:r>
        <w:rPr>
          <w:rFonts w:hint="eastAsia"/>
          <w:color w:val="auto"/>
          <w:sz w:val="21"/>
          <w:szCs w:val="21"/>
          <w:highlight w:val="none"/>
        </w:rPr>
        <w:t>小时之内以书面形式回复招标人，确认收到。</w:t>
      </w:r>
    </w:p>
    <w:p w14:paraId="09708DEB">
      <w:pPr>
        <w:spacing w:line="360" w:lineRule="auto"/>
        <w:ind w:firstLine="420" w:firstLineChars="200"/>
        <w:rPr>
          <w:color w:val="auto"/>
          <w:sz w:val="21"/>
          <w:szCs w:val="21"/>
          <w:highlight w:val="none"/>
        </w:rPr>
      </w:pPr>
      <w:r>
        <w:rPr>
          <w:rFonts w:hint="eastAsia"/>
          <w:color w:val="auto"/>
          <w:sz w:val="21"/>
          <w:szCs w:val="21"/>
          <w:highlight w:val="none"/>
        </w:rPr>
        <w:t>27.4在产生中标候选人后，招标人将中标候选人的投标文件商务部分文件的所有内容（包括人员、业绩、奖项等资料）在</w:t>
      </w:r>
      <w:r>
        <w:rPr>
          <w:color w:val="auto"/>
          <w:sz w:val="21"/>
          <w:szCs w:val="21"/>
          <w:highlight w:val="none"/>
          <w:u w:val="single"/>
        </w:rPr>
        <w:t xml:space="preserve">        </w:t>
      </w:r>
      <w:r>
        <w:rPr>
          <w:rFonts w:hint="eastAsia"/>
          <w:color w:val="auto"/>
          <w:sz w:val="21"/>
          <w:szCs w:val="21"/>
          <w:highlight w:val="none"/>
        </w:rPr>
        <w:t>交易平台和广东省招标投标监管网公开。</w:t>
      </w:r>
    </w:p>
    <w:p w14:paraId="5E38856F">
      <w:pPr>
        <w:spacing w:line="360" w:lineRule="auto"/>
        <w:ind w:firstLine="422" w:firstLineChars="200"/>
        <w:rPr>
          <w:b/>
          <w:bCs/>
          <w:color w:val="auto"/>
          <w:sz w:val="21"/>
          <w:szCs w:val="21"/>
          <w:highlight w:val="none"/>
        </w:rPr>
      </w:pPr>
      <w:r>
        <w:rPr>
          <w:b/>
          <w:bCs/>
          <w:color w:val="auto"/>
          <w:sz w:val="21"/>
          <w:szCs w:val="21"/>
          <w:highlight w:val="none"/>
        </w:rPr>
        <w:t>28</w:t>
      </w:r>
      <w:r>
        <w:rPr>
          <w:rFonts w:hint="eastAsia"/>
          <w:b/>
          <w:bCs/>
          <w:color w:val="auto"/>
          <w:sz w:val="21"/>
          <w:szCs w:val="21"/>
          <w:highlight w:val="none"/>
        </w:rPr>
        <w:t>．合同协议书的签订</w:t>
      </w:r>
    </w:p>
    <w:p w14:paraId="54F042E1">
      <w:pPr>
        <w:spacing w:line="360" w:lineRule="auto"/>
        <w:ind w:firstLine="420" w:firstLineChars="200"/>
        <w:rPr>
          <w:color w:val="auto"/>
          <w:sz w:val="21"/>
          <w:szCs w:val="21"/>
          <w:highlight w:val="none"/>
        </w:rPr>
      </w:pPr>
      <w:r>
        <w:rPr>
          <w:color w:val="auto"/>
          <w:sz w:val="21"/>
          <w:szCs w:val="21"/>
          <w:highlight w:val="none"/>
        </w:rPr>
        <w:t xml:space="preserve">28.1 </w:t>
      </w:r>
      <w:r>
        <w:rPr>
          <w:rFonts w:hint="eastAsia"/>
          <w:color w:val="auto"/>
          <w:sz w:val="21"/>
          <w:szCs w:val="21"/>
          <w:highlight w:val="none"/>
        </w:rPr>
        <w:t>招标人与中标人将于中标通知书发出之日起</w:t>
      </w:r>
      <w:r>
        <w:rPr>
          <w:color w:val="auto"/>
          <w:sz w:val="21"/>
          <w:szCs w:val="21"/>
          <w:highlight w:val="none"/>
        </w:rPr>
        <w:t>30</w:t>
      </w:r>
      <w:r>
        <w:rPr>
          <w:rFonts w:hint="eastAsia"/>
          <w:color w:val="auto"/>
          <w:sz w:val="21"/>
          <w:szCs w:val="21"/>
          <w:highlight w:val="none"/>
        </w:rPr>
        <w:t>日内，按照招标文件和中标人的投标文件商定和签订合同，招标人和中标人不得再行订立背离合同实质性内容的其他协议。</w:t>
      </w:r>
    </w:p>
    <w:p w14:paraId="5406184B">
      <w:pPr>
        <w:spacing w:line="360" w:lineRule="auto"/>
        <w:ind w:firstLine="420" w:firstLineChars="200"/>
        <w:rPr>
          <w:color w:val="auto"/>
          <w:sz w:val="21"/>
          <w:szCs w:val="21"/>
          <w:highlight w:val="none"/>
        </w:rPr>
      </w:pPr>
      <w:r>
        <w:rPr>
          <w:color w:val="auto"/>
          <w:sz w:val="21"/>
          <w:szCs w:val="21"/>
          <w:highlight w:val="none"/>
        </w:rPr>
        <w:t>28.2</w:t>
      </w:r>
      <w:r>
        <w:rPr>
          <w:rFonts w:hint="eastAsia"/>
          <w:color w:val="auto"/>
          <w:sz w:val="21"/>
          <w:szCs w:val="21"/>
          <w:highlight w:val="none"/>
        </w:rPr>
        <w:t>中标通知书发出之日起</w:t>
      </w:r>
      <w:r>
        <w:rPr>
          <w:color w:val="auto"/>
          <w:sz w:val="21"/>
          <w:szCs w:val="21"/>
          <w:highlight w:val="none"/>
        </w:rPr>
        <w:t>30</w:t>
      </w:r>
      <w:r>
        <w:rPr>
          <w:rFonts w:hint="eastAsia"/>
          <w:color w:val="auto"/>
          <w:sz w:val="21"/>
          <w:szCs w:val="21"/>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5E41387">
      <w:pPr>
        <w:spacing w:line="360" w:lineRule="auto"/>
        <w:ind w:firstLine="420" w:firstLineChars="200"/>
        <w:rPr>
          <w:color w:val="auto"/>
          <w:sz w:val="21"/>
          <w:szCs w:val="21"/>
          <w:highlight w:val="none"/>
        </w:rPr>
      </w:pPr>
      <w:r>
        <w:rPr>
          <w:color w:val="auto"/>
          <w:sz w:val="21"/>
          <w:szCs w:val="21"/>
          <w:highlight w:val="none"/>
        </w:rPr>
        <w:t>28.3</w:t>
      </w:r>
      <w:r>
        <w:rPr>
          <w:rFonts w:hint="eastAsia"/>
          <w:color w:val="auto"/>
          <w:sz w:val="21"/>
          <w:szCs w:val="21"/>
          <w:highlight w:val="none"/>
        </w:rPr>
        <w:t>非经招标人同意，中标人在投标过程中使用的银行名称及</w:t>
      </w:r>
      <w:r>
        <w:rPr>
          <w:rFonts w:hint="eastAsia"/>
          <w:color w:val="auto"/>
          <w:sz w:val="21"/>
          <w:szCs w:val="21"/>
          <w:highlight w:val="none"/>
          <w:lang w:val="en-US" w:eastAsia="zh-CN"/>
        </w:rPr>
        <w:t>账</w:t>
      </w:r>
      <w:r>
        <w:rPr>
          <w:rFonts w:hint="eastAsia"/>
          <w:color w:val="auto"/>
          <w:sz w:val="21"/>
          <w:szCs w:val="21"/>
          <w:highlight w:val="none"/>
        </w:rPr>
        <w:t>号至完成竣工结算不得变更，否则招标人有权停止工程款项的</w:t>
      </w:r>
      <w:r>
        <w:rPr>
          <w:rFonts w:hint="eastAsia"/>
          <w:color w:val="auto"/>
          <w:sz w:val="21"/>
          <w:szCs w:val="21"/>
          <w:highlight w:val="none"/>
          <w:lang w:val="en-US" w:eastAsia="zh-CN"/>
        </w:rPr>
        <w:t>拨付</w:t>
      </w:r>
      <w:r>
        <w:rPr>
          <w:rFonts w:hint="eastAsia"/>
          <w:color w:val="auto"/>
          <w:sz w:val="21"/>
          <w:szCs w:val="21"/>
          <w:highlight w:val="none"/>
        </w:rPr>
        <w:t>及至解除合同，由此造成的一切责任由中标人承担。</w:t>
      </w:r>
    </w:p>
    <w:p w14:paraId="3977FCA4">
      <w:pPr>
        <w:spacing w:line="360" w:lineRule="auto"/>
        <w:ind w:firstLine="420" w:firstLineChars="200"/>
        <w:rPr>
          <w:rFonts w:hint="eastAsia"/>
          <w:color w:val="auto"/>
          <w:sz w:val="21"/>
          <w:szCs w:val="21"/>
          <w:highlight w:val="none"/>
        </w:rPr>
      </w:pPr>
      <w:r>
        <w:rPr>
          <w:color w:val="auto"/>
          <w:sz w:val="21"/>
          <w:szCs w:val="21"/>
          <w:highlight w:val="none"/>
        </w:rPr>
        <w:t>28.4</w:t>
      </w:r>
      <w:r>
        <w:rPr>
          <w:rFonts w:hint="eastAsia"/>
          <w:color w:val="auto"/>
          <w:sz w:val="21"/>
          <w:szCs w:val="21"/>
          <w:highlight w:val="none"/>
        </w:rPr>
        <w:t>招标人支付工程款时，中标人应按规定开具发票。</w:t>
      </w:r>
    </w:p>
    <w:p w14:paraId="1EFF28D9">
      <w:pPr>
        <w:spacing w:line="360" w:lineRule="auto"/>
        <w:ind w:firstLine="422" w:firstLineChars="200"/>
        <w:rPr>
          <w:rFonts w:hint="eastAsia"/>
          <w:b/>
          <w:bCs/>
          <w:color w:val="auto"/>
          <w:sz w:val="21"/>
          <w:szCs w:val="21"/>
          <w:highlight w:val="none"/>
        </w:rPr>
      </w:pPr>
      <w:r>
        <w:rPr>
          <w:rFonts w:hint="eastAsia"/>
          <w:b/>
          <w:bCs/>
          <w:color w:val="auto"/>
          <w:sz w:val="21"/>
          <w:szCs w:val="21"/>
          <w:highlight w:val="none"/>
        </w:rPr>
        <w:t>29．履约担保</w:t>
      </w:r>
    </w:p>
    <w:p w14:paraId="3746AEDD">
      <w:pPr>
        <w:spacing w:line="360" w:lineRule="auto"/>
        <w:ind w:firstLine="420" w:firstLineChars="200"/>
        <w:rPr>
          <w:rFonts w:hint="eastAsia"/>
          <w:color w:val="auto"/>
          <w:sz w:val="21"/>
          <w:szCs w:val="21"/>
          <w:highlight w:val="none"/>
        </w:rPr>
      </w:pPr>
      <w:r>
        <w:rPr>
          <w:rFonts w:hint="eastAsia"/>
          <w:color w:val="auto"/>
          <w:sz w:val="21"/>
          <w:szCs w:val="21"/>
          <w:highlight w:val="none"/>
        </w:rPr>
        <w:t>29.1 在收到中标通知书后的15日内，中标人应按本须知前附表第20项的规定向招标人提交履约担保。</w:t>
      </w:r>
    </w:p>
    <w:p w14:paraId="269D21AA">
      <w:pPr>
        <w:spacing w:line="360" w:lineRule="auto"/>
        <w:ind w:firstLine="420" w:firstLineChars="200"/>
        <w:rPr>
          <w:rFonts w:hint="eastAsia"/>
          <w:color w:val="auto"/>
          <w:sz w:val="21"/>
          <w:szCs w:val="21"/>
          <w:highlight w:val="none"/>
        </w:rPr>
      </w:pPr>
      <w:r>
        <w:rPr>
          <w:rFonts w:hint="eastAsia"/>
          <w:color w:val="auto"/>
          <w:sz w:val="21"/>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098719B">
      <w:pPr>
        <w:spacing w:line="360" w:lineRule="auto"/>
        <w:ind w:firstLine="422" w:firstLineChars="200"/>
        <w:rPr>
          <w:b/>
          <w:bCs/>
          <w:color w:val="auto"/>
          <w:sz w:val="21"/>
          <w:szCs w:val="21"/>
          <w:highlight w:val="none"/>
        </w:rPr>
      </w:pPr>
      <w:r>
        <w:rPr>
          <w:rFonts w:hint="eastAsia"/>
          <w:b/>
          <w:bCs/>
          <w:color w:val="auto"/>
          <w:sz w:val="21"/>
          <w:szCs w:val="21"/>
          <w:highlight w:val="none"/>
          <w:lang w:val="en-US" w:eastAsia="zh-CN"/>
        </w:rPr>
        <w:t>30</w:t>
      </w:r>
      <w:r>
        <w:rPr>
          <w:rFonts w:hint="eastAsia"/>
          <w:b/>
          <w:bCs/>
          <w:color w:val="auto"/>
          <w:sz w:val="21"/>
          <w:szCs w:val="21"/>
          <w:highlight w:val="none"/>
        </w:rPr>
        <w:t>．合同生效</w:t>
      </w:r>
    </w:p>
    <w:p w14:paraId="65B23661">
      <w:pPr>
        <w:spacing w:line="360" w:lineRule="auto"/>
        <w:ind w:firstLine="420" w:firstLineChars="200"/>
        <w:rPr>
          <w:color w:val="auto"/>
          <w:sz w:val="21"/>
          <w:szCs w:val="21"/>
          <w:highlight w:val="none"/>
        </w:rPr>
      </w:pPr>
      <w:r>
        <w:rPr>
          <w:rFonts w:hint="eastAsia"/>
          <w:color w:val="auto"/>
          <w:sz w:val="21"/>
          <w:szCs w:val="21"/>
          <w:highlight w:val="none"/>
          <w:lang w:val="en-US" w:eastAsia="zh-CN"/>
        </w:rPr>
        <w:t>30</w:t>
      </w:r>
      <w:r>
        <w:rPr>
          <w:color w:val="auto"/>
          <w:sz w:val="21"/>
          <w:szCs w:val="21"/>
          <w:highlight w:val="none"/>
        </w:rPr>
        <w:t>.1</w:t>
      </w:r>
      <w:r>
        <w:rPr>
          <w:rFonts w:hint="eastAsia"/>
          <w:color w:val="auto"/>
          <w:sz w:val="21"/>
          <w:szCs w:val="21"/>
          <w:highlight w:val="none"/>
        </w:rPr>
        <w:t>在合同双方全权代表在合同协议书上签字，并分别加盖双方单位的公章后，合同正式生效。</w:t>
      </w:r>
    </w:p>
    <w:p w14:paraId="100E94A7">
      <w:pPr>
        <w:spacing w:line="360" w:lineRule="auto"/>
        <w:ind w:firstLine="422" w:firstLineChars="200"/>
        <w:rPr>
          <w:b/>
          <w:bCs/>
          <w:color w:val="auto"/>
          <w:sz w:val="21"/>
          <w:szCs w:val="21"/>
          <w:highlight w:val="none"/>
        </w:rPr>
      </w:pPr>
      <w:r>
        <w:rPr>
          <w:rFonts w:hint="eastAsia"/>
          <w:b/>
          <w:bCs/>
          <w:color w:val="auto"/>
          <w:sz w:val="21"/>
          <w:szCs w:val="21"/>
          <w:highlight w:val="none"/>
          <w:lang w:val="en-US" w:eastAsia="zh-CN"/>
        </w:rPr>
        <w:t>31</w:t>
      </w:r>
      <w:r>
        <w:rPr>
          <w:rFonts w:hint="eastAsia"/>
          <w:b/>
          <w:bCs/>
          <w:color w:val="auto"/>
          <w:sz w:val="21"/>
          <w:szCs w:val="21"/>
          <w:highlight w:val="none"/>
        </w:rPr>
        <w:t>．其它费用</w:t>
      </w:r>
    </w:p>
    <w:p w14:paraId="22D418E5">
      <w:pPr>
        <w:pStyle w:val="25"/>
        <w:spacing w:after="0" w:line="360" w:lineRule="auto"/>
        <w:ind w:firstLine="422" w:firstLineChars="200"/>
        <w:rPr>
          <w:rFonts w:ascii="宋体"/>
          <w:b/>
          <w:bCs/>
          <w:color w:val="auto"/>
          <w:sz w:val="21"/>
          <w:szCs w:val="21"/>
          <w:highlight w:val="none"/>
        </w:rPr>
      </w:pPr>
      <w:r>
        <w:rPr>
          <w:rFonts w:ascii="宋体" w:hAnsi="宋体"/>
          <w:b/>
          <w:bCs/>
          <w:color w:val="auto"/>
          <w:sz w:val="21"/>
          <w:szCs w:val="21"/>
          <w:highlight w:val="none"/>
        </w:rPr>
        <w:t>3</w:t>
      </w:r>
      <w:r>
        <w:rPr>
          <w:rFonts w:hint="eastAsia" w:ascii="宋体" w:hAnsi="宋体"/>
          <w:b/>
          <w:bCs/>
          <w:color w:val="auto"/>
          <w:sz w:val="21"/>
          <w:szCs w:val="21"/>
          <w:highlight w:val="none"/>
          <w:lang w:val="en-US" w:eastAsia="zh-CN"/>
        </w:rPr>
        <w:t>2</w:t>
      </w:r>
      <w:r>
        <w:rPr>
          <w:rFonts w:hint="eastAsia" w:ascii="宋体" w:hAnsi="宋体"/>
          <w:b/>
          <w:bCs/>
          <w:color w:val="auto"/>
          <w:sz w:val="21"/>
          <w:szCs w:val="21"/>
          <w:highlight w:val="none"/>
        </w:rPr>
        <w:t>．腐败与欺诈行为</w:t>
      </w:r>
    </w:p>
    <w:p w14:paraId="1773D589">
      <w:pPr>
        <w:pStyle w:val="25"/>
        <w:spacing w:after="0"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在招标和合同实施期间，招标人要求投标人和承包人遵守最高的道德标准。</w:t>
      </w:r>
    </w:p>
    <w:p w14:paraId="5919EEAF">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w:t>
      </w:r>
      <w:r>
        <w:rPr>
          <w:rFonts w:ascii="宋体" w:hAnsi="宋体"/>
          <w:color w:val="auto"/>
          <w:sz w:val="21"/>
          <w:szCs w:val="21"/>
          <w:highlight w:val="none"/>
        </w:rPr>
        <w:t>1</w:t>
      </w:r>
      <w:r>
        <w:rPr>
          <w:rFonts w:hint="eastAsia" w:ascii="宋体" w:hAnsi="宋体"/>
          <w:color w:val="auto"/>
          <w:sz w:val="21"/>
          <w:szCs w:val="21"/>
          <w:highlight w:val="none"/>
        </w:rPr>
        <w:t>对本条款的规定，特定义如下词汇：</w:t>
      </w:r>
    </w:p>
    <w:p w14:paraId="7BC96556">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1</w:t>
      </w:r>
      <w:r>
        <w:rPr>
          <w:rFonts w:hint="eastAsia" w:ascii="宋体" w:hAnsi="宋体"/>
          <w:color w:val="auto"/>
          <w:sz w:val="21"/>
          <w:szCs w:val="21"/>
          <w:highlight w:val="none"/>
        </w:rPr>
        <w:t>）、“腐败行为”是指在招标或合同执行期间，通过提供、给予、接受或索要任何有价值的东西，从而影响招标人有关人员工作的行为；</w:t>
      </w:r>
    </w:p>
    <w:p w14:paraId="58AAAEFB">
      <w:pPr>
        <w:pStyle w:val="25"/>
        <w:spacing w:after="0" w:line="360" w:lineRule="auto"/>
        <w:ind w:firstLine="420" w:firstLineChars="200"/>
        <w:rPr>
          <w:rFonts w:ascii="宋体"/>
          <w:color w:val="auto"/>
          <w:sz w:val="21"/>
          <w:szCs w:val="21"/>
          <w:highlight w:val="none"/>
        </w:rPr>
      </w:pPr>
      <w:r>
        <w:rPr>
          <w:rFonts w:ascii="宋体" w:hAnsi="宋体"/>
          <w:color w:val="auto"/>
          <w:sz w:val="21"/>
          <w:szCs w:val="21"/>
          <w:highlight w:val="none"/>
        </w:rPr>
        <w:t>2</w:t>
      </w:r>
      <w:r>
        <w:rPr>
          <w:rFonts w:hint="eastAsia" w:ascii="宋体" w:hAnsi="宋体"/>
          <w:color w:val="auto"/>
          <w:sz w:val="21"/>
          <w:szCs w:val="21"/>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18BFC05">
      <w:pPr>
        <w:pStyle w:val="25"/>
        <w:spacing w:after="0"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3</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rPr>
        <w:t>．</w:t>
      </w:r>
      <w:r>
        <w:rPr>
          <w:rFonts w:ascii="宋体" w:hAnsi="宋体"/>
          <w:color w:val="auto"/>
          <w:sz w:val="21"/>
          <w:szCs w:val="21"/>
          <w:highlight w:val="none"/>
        </w:rPr>
        <w:t>2</w:t>
      </w:r>
      <w:r>
        <w:rPr>
          <w:rFonts w:hint="eastAsia" w:ascii="宋体" w:hAnsi="宋体"/>
          <w:color w:val="auto"/>
          <w:sz w:val="21"/>
          <w:szCs w:val="21"/>
          <w:highlight w:val="none"/>
        </w:rPr>
        <w:t>如果投标人被认定在本招标的竞争中有腐败或欺诈行为，则会被取消投标资格。</w:t>
      </w:r>
    </w:p>
    <w:p w14:paraId="02E34734">
      <w:pPr>
        <w:pStyle w:val="25"/>
        <w:spacing w:after="0" w:line="360" w:lineRule="auto"/>
        <w:ind w:firstLine="420" w:firstLineChars="200"/>
        <w:rPr>
          <w:rFonts w:ascii="宋体"/>
          <w:color w:val="auto"/>
          <w:sz w:val="21"/>
          <w:szCs w:val="21"/>
          <w:highlight w:val="none"/>
        </w:rPr>
      </w:pPr>
      <w:r>
        <w:rPr>
          <w:rFonts w:hint="eastAsia" w:ascii="宋体"/>
          <w:color w:val="auto"/>
          <w:sz w:val="21"/>
          <w:szCs w:val="21"/>
          <w:highlight w:val="none"/>
        </w:rPr>
        <w:t>3</w:t>
      </w:r>
      <w:r>
        <w:rPr>
          <w:rFonts w:hint="eastAsia" w:ascii="宋体"/>
          <w:color w:val="auto"/>
          <w:sz w:val="21"/>
          <w:szCs w:val="21"/>
          <w:highlight w:val="none"/>
          <w:lang w:val="en-US" w:eastAsia="zh-CN"/>
        </w:rPr>
        <w:t>2</w:t>
      </w:r>
      <w:r>
        <w:rPr>
          <w:rFonts w:hint="eastAsia" w:ascii="宋体"/>
          <w:color w:val="auto"/>
          <w:sz w:val="21"/>
          <w:szCs w:val="21"/>
          <w:highlight w:val="none"/>
        </w:rPr>
        <w:t>.3投标人如在本项目中存在串通投标、弄虚作假、行贿情形的，中标无效，行政监督部门将对其违法行为进行政处罚并通报。该投标人将被招标人列入黑名单并限制其参与招标人后续项目的投标。</w:t>
      </w:r>
    </w:p>
    <w:bookmarkEnd w:id="6"/>
    <w:p w14:paraId="553FFE9C">
      <w:pPr>
        <w:pStyle w:val="3"/>
        <w:spacing w:before="0" w:beforeAutospacing="0" w:after="0" w:afterAutospacing="0"/>
        <w:jc w:val="center"/>
        <w:rPr>
          <w:rFonts w:hint="default"/>
          <w:color w:val="auto"/>
          <w:highlight w:val="none"/>
        </w:rPr>
      </w:pPr>
      <w:r>
        <w:rPr>
          <w:color w:val="auto"/>
          <w:sz w:val="24"/>
          <w:highlight w:val="none"/>
        </w:rPr>
        <w:br w:type="page"/>
      </w:r>
      <w:bookmarkStart w:id="15" w:name="_Toc14804"/>
      <w:r>
        <w:rPr>
          <w:color w:val="auto"/>
          <w:highlight w:val="none"/>
        </w:rPr>
        <w:t>第二章  开标、评标及定标办法</w:t>
      </w:r>
      <w:bookmarkEnd w:id="15"/>
    </w:p>
    <w:p w14:paraId="1C43156E">
      <w:pPr>
        <w:pStyle w:val="4"/>
        <w:rPr>
          <w:color w:val="auto"/>
          <w:highlight w:val="none"/>
        </w:rPr>
      </w:pPr>
      <w:bookmarkStart w:id="16" w:name="_Toc12617"/>
      <w:r>
        <w:rPr>
          <w:rFonts w:hint="eastAsia"/>
          <w:color w:val="auto"/>
          <w:sz w:val="28"/>
          <w:szCs w:val="28"/>
          <w:highlight w:val="none"/>
        </w:rPr>
        <w:t>一、</w:t>
      </w:r>
      <w:r>
        <w:rPr>
          <w:rFonts w:hint="eastAsia"/>
          <w:color w:val="auto"/>
          <w:highlight w:val="none"/>
        </w:rPr>
        <w:t>开标、评标及定标办法修改表</w:t>
      </w:r>
      <w:bookmarkEnd w:id="16"/>
    </w:p>
    <w:p w14:paraId="27D9E6C1">
      <w:pPr>
        <w:pStyle w:val="25"/>
        <w:spacing w:after="0" w:line="360" w:lineRule="auto"/>
        <w:rPr>
          <w:rFonts w:ascii="宋体" w:hAnsi="宋体" w:cs="宋体"/>
          <w:b/>
          <w:color w:val="auto"/>
          <w:szCs w:val="21"/>
          <w:highlight w:val="none"/>
        </w:rPr>
      </w:pPr>
      <w:r>
        <w:rPr>
          <w:rFonts w:hint="eastAsia" w:ascii="宋体" w:hAnsi="宋体" w:cs="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7C277C8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条款号：（二）开标评标办法程序和细则       修改类型：删除</w:t>
      </w:r>
    </w:p>
    <w:p w14:paraId="07F17816">
      <w:pPr>
        <w:pBdr>
          <w:top w:val="none" w:color="auto" w:sz="0" w:space="0"/>
          <w:left w:val="none" w:color="auto" w:sz="0" w:space="0"/>
          <w:bottom w:val="none" w:color="auto" w:sz="0" w:space="1"/>
          <w:right w:val="none" w:color="auto" w:sz="0" w:space="0"/>
          <w:between w:val="none" w:color="auto" w:sz="0" w:space="0"/>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可选办法一（适合综合评分法一，技术标与经济标先后分别开启）</w:t>
      </w:r>
    </w:p>
    <w:p w14:paraId="2CA4CDE1">
      <w:pPr>
        <w:pBdr>
          <w:top w:val="none" w:color="auto" w:sz="0" w:space="0"/>
          <w:left w:val="none" w:color="auto" w:sz="0" w:space="0"/>
          <w:bottom w:val="none" w:color="auto" w:sz="0" w:space="1"/>
          <w:right w:val="none" w:color="auto" w:sz="0" w:space="0"/>
          <w:between w:val="none" w:color="auto" w:sz="0" w:space="0"/>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可选办法二（适合综合评分法一，技术标与经济标同时开启）</w:t>
      </w:r>
    </w:p>
    <w:p w14:paraId="037772B0">
      <w:pPr>
        <w:pBdr>
          <w:top w:val="none" w:color="auto" w:sz="0" w:space="0"/>
          <w:left w:val="none" w:color="auto" w:sz="0" w:space="0"/>
          <w:bottom w:val="none" w:color="auto" w:sz="0" w:space="1"/>
          <w:right w:val="none" w:color="auto" w:sz="0" w:space="0"/>
          <w:between w:val="none" w:color="auto" w:sz="0" w:space="0"/>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可选办法三（适合综合评分法二，技术标与经济标先后分别开启）</w:t>
      </w:r>
    </w:p>
    <w:p w14:paraId="65587A56">
      <w:pPr>
        <w:pBdr>
          <w:top w:val="none" w:color="auto" w:sz="0" w:space="0"/>
          <w:left w:val="none" w:color="auto" w:sz="0" w:space="0"/>
          <w:bottom w:val="none" w:color="auto" w:sz="0" w:space="1"/>
          <w:right w:val="none" w:color="auto" w:sz="0" w:space="0"/>
          <w:between w:val="none" w:color="auto" w:sz="0" w:space="0"/>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可选办法四（适合综合评分法二，技术标与经济标同时开启）</w:t>
      </w:r>
    </w:p>
    <w:p w14:paraId="336E35BD">
      <w:pPr>
        <w:pBdr>
          <w:top w:val="none" w:color="auto" w:sz="0" w:space="0"/>
          <w:left w:val="none" w:color="auto" w:sz="0" w:space="0"/>
          <w:bottom w:val="none" w:color="auto" w:sz="0" w:space="1"/>
          <w:right w:val="none" w:color="auto" w:sz="0" w:space="0"/>
          <w:between w:val="none" w:color="auto" w:sz="0" w:space="0"/>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可选办法五（适合综合评分法三，技术标与经济标先后分别开启）</w:t>
      </w:r>
    </w:p>
    <w:p w14:paraId="0F289A6E">
      <w:pPr>
        <w:pBdr>
          <w:top w:val="none" w:color="auto" w:sz="0" w:space="0"/>
          <w:left w:val="none" w:color="auto" w:sz="0" w:space="0"/>
          <w:bottom w:val="none" w:color="auto" w:sz="0" w:space="1"/>
          <w:right w:val="none" w:color="auto" w:sz="0" w:space="0"/>
          <w:between w:val="none" w:color="auto" w:sz="0" w:space="0"/>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可选办法六（适合综合评分法三，技术标与经济标同时开启）</w:t>
      </w:r>
    </w:p>
    <w:p w14:paraId="6D318DD3">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可选办法八（适合经评审的最低投标价法，技术标与经济标同时开启）</w:t>
      </w:r>
    </w:p>
    <w:p w14:paraId="2A8846B2">
      <w:pPr>
        <w:spacing w:line="360" w:lineRule="auto"/>
        <w:ind w:firstLine="422" w:firstLineChars="200"/>
        <w:rPr>
          <w:rFonts w:hint="eastAsia" w:eastAsia="宋体"/>
          <w:color w:val="auto"/>
          <w:sz w:val="21"/>
          <w:szCs w:val="21"/>
          <w:highlight w:val="none"/>
          <w:lang w:val="en-US" w:eastAsia="zh-CN"/>
        </w:rPr>
      </w:pPr>
      <w:r>
        <w:rPr>
          <w:rFonts w:hint="eastAsia" w:ascii="宋体" w:hAnsi="宋体" w:cs="宋体"/>
          <w:b/>
          <w:color w:val="auto"/>
          <w:szCs w:val="21"/>
          <w:highlight w:val="none"/>
        </w:rPr>
        <w:t>条款号：3</w:t>
      </w: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.1</w:t>
      </w:r>
      <w:r>
        <w:rPr>
          <w:rFonts w:hint="eastAsia" w:ascii="宋体" w:hAnsi="宋体" w:cs="宋体"/>
          <w:b/>
          <w:color w:val="auto"/>
          <w:szCs w:val="21"/>
          <w:highlight w:val="none"/>
          <w:lang w:val="en-US" w:eastAsia="zh-CN"/>
        </w:rPr>
        <w:t>0、35.11</w:t>
      </w:r>
      <w:r>
        <w:rPr>
          <w:rFonts w:hint="eastAsia" w:ascii="宋体" w:hAnsi="宋体" w:cs="宋体"/>
          <w:b/>
          <w:color w:val="auto"/>
          <w:szCs w:val="21"/>
          <w:highlight w:val="none"/>
        </w:rPr>
        <w:t xml:space="preserve">             修改类型：</w:t>
      </w:r>
      <w:r>
        <w:rPr>
          <w:rFonts w:hint="eastAsia" w:ascii="宋体" w:hAnsi="宋体" w:cs="宋体"/>
          <w:b/>
          <w:color w:val="auto"/>
          <w:szCs w:val="21"/>
          <w:highlight w:val="none"/>
          <w:lang w:val="en-US" w:eastAsia="zh-CN"/>
        </w:rPr>
        <w:t>删除</w:t>
      </w:r>
    </w:p>
    <w:p w14:paraId="2841F692">
      <w:pPr>
        <w:pBdr>
          <w:bottom w:val="single" w:color="auto" w:sz="4" w:space="0"/>
        </w:pBdr>
        <w:spacing w:line="360" w:lineRule="auto"/>
        <w:ind w:firstLine="420" w:firstLineChars="200"/>
        <w:rPr>
          <w:rFonts w:hint="eastAsia"/>
          <w:color w:val="auto"/>
          <w:sz w:val="21"/>
          <w:szCs w:val="21"/>
          <w:highlight w:val="none"/>
        </w:rPr>
      </w:pPr>
      <w:r>
        <w:rPr>
          <w:rFonts w:hint="eastAsia"/>
          <w:color w:val="auto"/>
          <w:sz w:val="21"/>
          <w:szCs w:val="21"/>
          <w:highlight w:val="none"/>
          <w:lang w:val="en-US" w:eastAsia="zh-CN"/>
        </w:rPr>
        <w:t>原文:</w:t>
      </w:r>
      <w:r>
        <w:rPr>
          <w:rFonts w:hint="eastAsia"/>
          <w:color w:val="auto"/>
          <w:sz w:val="21"/>
          <w:szCs w:val="21"/>
          <w:highlight w:val="none"/>
        </w:rPr>
        <w:t>35.10《广州市工程建设项目招标投标管理办法》（穗建规字〔2023〕12号）；</w:t>
      </w:r>
    </w:p>
    <w:p w14:paraId="3451C7AC">
      <w:pPr>
        <w:pBdr>
          <w:bottom w:val="single" w:color="auto" w:sz="4" w:space="0"/>
        </w:pBdr>
        <w:spacing w:line="360" w:lineRule="auto"/>
        <w:ind w:firstLine="888" w:firstLineChars="423"/>
        <w:rPr>
          <w:rFonts w:hint="eastAsia"/>
          <w:color w:val="auto"/>
          <w:sz w:val="21"/>
          <w:szCs w:val="21"/>
          <w:highlight w:val="none"/>
        </w:rPr>
      </w:pPr>
      <w:r>
        <w:rPr>
          <w:rFonts w:hint="eastAsia"/>
          <w:color w:val="auto"/>
          <w:sz w:val="21"/>
          <w:szCs w:val="21"/>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571A427F">
      <w:pPr>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Cs w:val="21"/>
          <w:highlight w:val="none"/>
        </w:rPr>
        <w:t>条款号：3</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 xml:space="preserve">             修改类型：</w:t>
      </w:r>
      <w:r>
        <w:rPr>
          <w:rFonts w:hint="eastAsia" w:ascii="宋体" w:hAnsi="宋体" w:eastAsia="宋体" w:cs="宋体"/>
          <w:b/>
          <w:color w:val="auto"/>
          <w:szCs w:val="21"/>
          <w:highlight w:val="none"/>
          <w:lang w:val="en-US" w:eastAsia="zh-CN"/>
        </w:rPr>
        <w:t>修改</w:t>
      </w:r>
    </w:p>
    <w:p w14:paraId="0249EC89">
      <w:pPr>
        <w:pStyle w:val="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原文：</w:t>
      </w:r>
      <w:r>
        <w:rPr>
          <w:rFonts w:hint="eastAsia" w:ascii="宋体" w:hAnsi="宋体" w:eastAsia="宋体" w:cs="宋体"/>
          <w:color w:val="auto"/>
          <w:sz w:val="21"/>
          <w:szCs w:val="21"/>
          <w:highlight w:val="none"/>
        </w:rPr>
        <w:t>35.12本项目招标文件。</w:t>
      </w:r>
    </w:p>
    <w:p w14:paraId="0955DF82">
      <w:pPr>
        <w:pBdr>
          <w:bottom w:val="single" w:color="auto" w:sz="4" w:space="0"/>
        </w:pBd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现文：</w:t>
      </w:r>
      <w:r>
        <w:rPr>
          <w:rFonts w:hint="eastAsia" w:ascii="宋体" w:hAnsi="宋体" w:eastAsia="宋体" w:cs="宋体"/>
          <w:color w:val="auto"/>
          <w:sz w:val="21"/>
          <w:szCs w:val="21"/>
          <w:highlight w:val="none"/>
        </w:rPr>
        <w:t>35.1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本项目招标文件。</w:t>
      </w:r>
    </w:p>
    <w:p w14:paraId="58D2D921">
      <w:pPr>
        <w:rPr>
          <w:rFonts w:hint="eastAsia"/>
          <w:color w:val="auto"/>
          <w:highlight w:val="none"/>
        </w:rPr>
      </w:pPr>
    </w:p>
    <w:p w14:paraId="1F946C72">
      <w:pPr>
        <w:pBdr>
          <w:bottom w:val="single" w:color="auto" w:sz="4" w:space="0"/>
        </w:pBd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条款号：（二）开标评标办法程序和细则     </w:t>
      </w:r>
      <w:r>
        <w:rPr>
          <w:rFonts w:hint="eastAsia" w:cs="宋体"/>
          <w:b/>
          <w:color w:val="auto"/>
          <w:szCs w:val="21"/>
          <w:highlight w:val="none"/>
          <w:lang w:val="en-US" w:eastAsia="zh-CN"/>
        </w:rPr>
        <w:t xml:space="preserve">  </w:t>
      </w:r>
      <w:r>
        <w:rPr>
          <w:rFonts w:hint="eastAsia" w:ascii="宋体" w:hAnsi="宋体" w:cs="宋体"/>
          <w:b/>
          <w:color w:val="auto"/>
          <w:szCs w:val="21"/>
          <w:highlight w:val="none"/>
        </w:rPr>
        <w:t xml:space="preserve">  修改类型：修改</w:t>
      </w:r>
    </w:p>
    <w:p w14:paraId="40A84DE6">
      <w:pPr>
        <w:pBdr>
          <w:bottom w:val="single" w:color="auto" w:sz="4" w:space="0"/>
        </w:pBd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可选办法</w:t>
      </w:r>
      <w:r>
        <w:rPr>
          <w:rFonts w:hint="eastAsia" w:cs="宋体"/>
          <w:bCs/>
          <w:color w:val="auto"/>
          <w:szCs w:val="21"/>
          <w:highlight w:val="none"/>
          <w:lang w:val="en-US" w:eastAsia="zh-CN"/>
        </w:rPr>
        <w:t>七</w:t>
      </w:r>
      <w:r>
        <w:rPr>
          <w:rFonts w:hint="eastAsia" w:ascii="宋体" w:hAnsi="宋体" w:cs="宋体"/>
          <w:bCs/>
          <w:color w:val="auto"/>
          <w:szCs w:val="21"/>
          <w:highlight w:val="none"/>
        </w:rPr>
        <w:t>（适合综合评分法</w:t>
      </w:r>
      <w:r>
        <w:rPr>
          <w:rFonts w:hint="eastAsia" w:cs="宋体"/>
          <w:bCs/>
          <w:color w:val="auto"/>
          <w:szCs w:val="21"/>
          <w:highlight w:val="none"/>
          <w:lang w:val="en-US" w:eastAsia="zh-CN"/>
        </w:rPr>
        <w:t>四</w:t>
      </w:r>
      <w:r>
        <w:rPr>
          <w:rFonts w:hint="eastAsia" w:ascii="宋体" w:hAnsi="宋体" w:cs="宋体"/>
          <w:bCs/>
          <w:color w:val="auto"/>
          <w:szCs w:val="21"/>
          <w:highlight w:val="none"/>
        </w:rPr>
        <w:t>，技术标与经济标同时开启）（原文条款详见最新版《广州市建设工程施工公开招标项目招标文件范本（适用于资格后审综合评分法、经评审的最低投标价法的施工电子招标项目）GZZB2018-3）》）</w:t>
      </w:r>
    </w:p>
    <w:p w14:paraId="24A6F966">
      <w:pPr>
        <w:pBdr>
          <w:bottom w:val="single" w:color="auto" w:sz="4" w:space="0"/>
        </w:pBdr>
        <w:spacing w:line="360" w:lineRule="auto"/>
        <w:ind w:firstLine="472" w:firstLineChars="224"/>
        <w:rPr>
          <w:rFonts w:ascii="宋体" w:hAnsi="宋体"/>
          <w:color w:val="auto"/>
          <w:szCs w:val="21"/>
          <w:highlight w:val="none"/>
          <w:u w:val="single"/>
        </w:rPr>
      </w:pPr>
      <w:r>
        <w:rPr>
          <w:rFonts w:hint="eastAsia" w:ascii="宋体" w:hAnsi="宋体"/>
          <w:b/>
          <w:bCs/>
          <w:color w:val="auto"/>
          <w:szCs w:val="21"/>
          <w:highlight w:val="none"/>
        </w:rPr>
        <w:t>现文：</w:t>
      </w:r>
      <w:r>
        <w:rPr>
          <w:rFonts w:hint="eastAsia" w:ascii="宋体" w:hAnsi="宋体"/>
          <w:color w:val="auto"/>
          <w:szCs w:val="21"/>
          <w:highlight w:val="none"/>
          <w:u w:val="single"/>
        </w:rPr>
        <w:t>评定分离评标定标办法。</w:t>
      </w:r>
    </w:p>
    <w:p w14:paraId="2717D9A1">
      <w:pPr>
        <w:pBdr>
          <w:bottom w:val="single" w:color="auto" w:sz="4" w:space="0"/>
        </w:pBdr>
        <w:spacing w:line="360" w:lineRule="auto"/>
        <w:ind w:firstLine="470" w:firstLineChars="224"/>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single"/>
        </w:rPr>
        <w:t>评标采用</w:t>
      </w:r>
      <w:r>
        <w:rPr>
          <w:rFonts w:hint="eastAsia" w:ascii="宋体" w:hAnsi="宋体"/>
          <w:b/>
          <w:bCs/>
          <w:color w:val="auto"/>
          <w:szCs w:val="21"/>
          <w:highlight w:val="none"/>
          <w:u w:val="single"/>
        </w:rPr>
        <w:t>“</w:t>
      </w:r>
      <w:r>
        <w:rPr>
          <w:rFonts w:hint="eastAsia"/>
          <w:b/>
          <w:bCs/>
          <w:color w:val="auto"/>
          <w:szCs w:val="21"/>
          <w:highlight w:val="none"/>
          <w:u w:val="single"/>
          <w:lang w:val="en-US" w:eastAsia="zh-CN"/>
        </w:rPr>
        <w:t>通过制</w:t>
      </w:r>
      <w:r>
        <w:rPr>
          <w:rFonts w:hint="eastAsia" w:ascii="宋体" w:hAnsi="宋体"/>
          <w:b/>
          <w:bCs/>
          <w:color w:val="auto"/>
          <w:szCs w:val="21"/>
          <w:highlight w:val="none"/>
          <w:u w:val="single"/>
        </w:rPr>
        <w:t>”</w:t>
      </w:r>
      <w:r>
        <w:rPr>
          <w:rFonts w:hint="eastAsia" w:ascii="宋体" w:hAnsi="宋体"/>
          <w:color w:val="auto"/>
          <w:szCs w:val="21"/>
          <w:highlight w:val="none"/>
          <w:u w:val="single"/>
        </w:rPr>
        <w:t>推荐合格</w:t>
      </w:r>
      <w:r>
        <w:rPr>
          <w:rFonts w:hint="eastAsia"/>
          <w:color w:val="auto"/>
          <w:szCs w:val="21"/>
          <w:highlight w:val="none"/>
          <w:u w:val="single"/>
          <w:lang w:val="en-US" w:eastAsia="zh-CN"/>
        </w:rPr>
        <w:t>的</w:t>
      </w:r>
      <w:r>
        <w:rPr>
          <w:rFonts w:hint="eastAsia" w:ascii="宋体" w:hAnsi="宋体"/>
          <w:color w:val="auto"/>
          <w:szCs w:val="21"/>
          <w:highlight w:val="none"/>
          <w:u w:val="single"/>
        </w:rPr>
        <w:t>中标候选人。</w:t>
      </w:r>
      <w:r>
        <w:rPr>
          <w:rFonts w:hint="eastAsia" w:ascii="宋体" w:hAnsi="宋体"/>
          <w:color w:val="auto"/>
          <w:szCs w:val="21"/>
          <w:highlight w:val="none"/>
          <w:u w:val="single"/>
          <w:lang w:val="en-US" w:eastAsia="zh-CN"/>
        </w:rPr>
        <w:t>推荐方式详见投标须知前附表19项。</w:t>
      </w:r>
    </w:p>
    <w:p w14:paraId="56240065">
      <w:pPr>
        <w:pBdr>
          <w:bottom w:val="single" w:color="auto" w:sz="4" w:space="0"/>
        </w:pBdr>
        <w:spacing w:line="360" w:lineRule="auto"/>
        <w:ind w:firstLine="470" w:firstLineChars="224"/>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single"/>
        </w:rPr>
        <w:t>定标采用</w:t>
      </w:r>
      <w:r>
        <w:rPr>
          <w:rFonts w:hint="eastAsia" w:ascii="宋体" w:hAnsi="宋体"/>
          <w:b/>
          <w:bCs/>
          <w:color w:val="auto"/>
          <w:szCs w:val="21"/>
          <w:highlight w:val="none"/>
          <w:u w:val="single"/>
        </w:rPr>
        <w:t>“评分法”</w:t>
      </w:r>
      <w:r>
        <w:rPr>
          <w:rFonts w:hint="eastAsia" w:ascii="宋体" w:hAnsi="宋体"/>
          <w:color w:val="auto"/>
          <w:szCs w:val="21"/>
          <w:highlight w:val="none"/>
          <w:u w:val="single"/>
        </w:rPr>
        <w:t>，定标委员会从评标委员会推荐的合格中标候选人中，依据评分法选出得分最高的合格中标候选人，确定为中标人。</w:t>
      </w:r>
      <w:r>
        <w:rPr>
          <w:rFonts w:hint="eastAsia" w:ascii="宋体" w:hAnsi="宋体"/>
          <w:color w:val="auto"/>
          <w:szCs w:val="21"/>
          <w:highlight w:val="none"/>
          <w:u w:val="single"/>
          <w:lang w:val="en-US" w:eastAsia="zh-CN"/>
        </w:rPr>
        <w:t>定标采用“方案因素”＋“价格因素”评定法，具体详见投标须知前附表第19项。</w:t>
      </w:r>
    </w:p>
    <w:p w14:paraId="7D04A607">
      <w:pPr>
        <w:spacing w:line="360" w:lineRule="auto"/>
        <w:ind w:firstLine="422" w:firstLineChars="200"/>
        <w:rPr>
          <w:rFonts w:hint="eastAsia" w:ascii="宋体" w:hAnsi="宋体" w:cs="宋体"/>
          <w:b/>
          <w:color w:val="auto"/>
          <w:szCs w:val="21"/>
          <w:highlight w:val="none"/>
        </w:rPr>
      </w:pPr>
    </w:p>
    <w:p w14:paraId="57BD8E81">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条款号：36.1             修改类型：修改</w:t>
      </w:r>
    </w:p>
    <w:p w14:paraId="7159D530">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14:paraId="126CA1C7">
      <w:pPr>
        <w:pBdr>
          <w:bottom w:val="single" w:color="auto" w:sz="6" w:space="0"/>
        </w:pBdr>
        <w:spacing w:line="360" w:lineRule="auto"/>
        <w:ind w:firstLine="422" w:firstLineChars="200"/>
        <w:rPr>
          <w:rFonts w:hint="eastAsia" w:ascii="宋体" w:hAnsi="宋体" w:cs="宋体"/>
          <w:b/>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14:paraId="0E3D9AA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条款号：36.3             修改类型：删除</w:t>
      </w:r>
    </w:p>
    <w:p w14:paraId="44B71B51">
      <w:pPr>
        <w:pBdr>
          <w:bottom w:val="single" w:color="auto" w:sz="6" w:space="0"/>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2573EF1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条款号：36.4</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22960EA9">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36.4若递交投标文件的投标人不足3家，则重新组织招标。（当</w:t>
      </w:r>
      <w:r>
        <w:rPr>
          <w:rFonts w:ascii="宋体" w:hAnsi="宋体"/>
          <w:color w:val="auto"/>
          <w:szCs w:val="21"/>
          <w:highlight w:val="none"/>
        </w:rPr>
        <w:t>N</w:t>
      </w:r>
      <w:r>
        <w:rPr>
          <w:rFonts w:hint="eastAsia" w:ascii="宋体" w:hAnsi="宋体"/>
          <w:color w:val="auto"/>
          <w:szCs w:val="21"/>
          <w:highlight w:val="none"/>
        </w:rPr>
        <w:t>个标段同时招标且不允许兼中时，若有效投标人不足</w:t>
      </w:r>
      <w:r>
        <w:rPr>
          <w:rFonts w:ascii="宋体" w:hAnsi="宋体"/>
          <w:color w:val="auto"/>
          <w:szCs w:val="21"/>
          <w:highlight w:val="none"/>
        </w:rPr>
        <w:t>N+</w:t>
      </w:r>
      <w:r>
        <w:rPr>
          <w:rFonts w:hint="eastAsia" w:ascii="宋体" w:hAnsi="宋体"/>
          <w:color w:val="auto"/>
          <w:szCs w:val="21"/>
          <w:highlight w:val="none"/>
        </w:rPr>
        <w:t>2家，则重新组织招标）</w:t>
      </w:r>
    </w:p>
    <w:p w14:paraId="72B82F23">
      <w:pPr>
        <w:pBdr>
          <w:bottom w:val="single" w:color="auto" w:sz="6" w:space="0"/>
        </w:pBdr>
        <w:spacing w:line="360" w:lineRule="auto"/>
        <w:ind w:firstLine="422" w:firstLineChars="200"/>
        <w:rPr>
          <w:rFonts w:hint="eastAsia" w:ascii="宋体" w:hAnsi="宋体" w:cs="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36.4</w:t>
      </w:r>
      <w:r>
        <w:rPr>
          <w:rFonts w:hint="eastAsia" w:ascii="宋体" w:hAnsi="宋体"/>
          <w:color w:val="auto"/>
          <w:szCs w:val="21"/>
          <w:highlight w:val="none"/>
          <w:u w:val="single"/>
        </w:rPr>
        <w:t>若递交投标文件的投标人不足3家，则重新组织招标</w:t>
      </w:r>
    </w:p>
    <w:p w14:paraId="6F0BCC5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条款号：36.5.1            修改类型：修改</w:t>
      </w:r>
    </w:p>
    <w:p w14:paraId="5F0995E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36.5.1在投标截止时间后一小时内，投标人通过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14:paraId="679DCADC">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w:t>
      </w:r>
      <w:r>
        <w:rPr>
          <w:rFonts w:hint="eastAsia" w:ascii="宋体" w:hAnsi="宋体" w:cs="宋体"/>
          <w:b/>
          <w:bCs/>
          <w:color w:val="auto"/>
          <w:szCs w:val="21"/>
          <w:highlight w:val="none"/>
        </w:rPr>
        <w:t>一小时</w:t>
      </w:r>
      <w:r>
        <w:rPr>
          <w:rFonts w:hint="eastAsia" w:ascii="宋体" w:hAnsi="宋体" w:cs="宋体"/>
          <w:color w:val="auto"/>
          <w:szCs w:val="21"/>
          <w:highlight w:val="none"/>
        </w:rPr>
        <w:t>内，投标人通过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交易平台对已递交的电子投标文件进行解密。投标人完成解密后，再由</w:t>
      </w:r>
      <w:r>
        <w:rPr>
          <w:rFonts w:hint="eastAsia" w:ascii="宋体" w:hAnsi="宋体" w:cs="宋体"/>
          <w:color w:val="auto"/>
          <w:szCs w:val="21"/>
          <w:highlight w:val="none"/>
          <w:u w:val="single"/>
        </w:rPr>
        <w:t>招标人或招标代理机构</w:t>
      </w:r>
      <w:r>
        <w:rPr>
          <w:rFonts w:hint="eastAsia" w:ascii="宋体" w:hAnsi="宋体" w:cs="宋体"/>
          <w:color w:val="auto"/>
          <w:szCs w:val="21"/>
          <w:highlight w:val="none"/>
        </w:rPr>
        <w:t>进行解密。解密完成后，公布招标项目名称、投标人名称、投标保证金的递交情况、投标报价、工期及其他内容；</w:t>
      </w:r>
    </w:p>
    <w:p w14:paraId="0BCFCEC2">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  36.5.3          修改类型：修改</w:t>
      </w:r>
    </w:p>
    <w:p w14:paraId="3A0D5B3F">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原文： </w:t>
      </w:r>
      <w:r>
        <w:rPr>
          <w:rFonts w:hint="eastAsia" w:ascii="宋体" w:hAnsi="宋体" w:cs="宋体"/>
          <w:color w:val="auto"/>
          <w:szCs w:val="21"/>
          <w:highlight w:val="none"/>
        </w:rPr>
        <w:t>36.5.3</w:t>
      </w:r>
      <w:r>
        <w:rPr>
          <w:rFonts w:hint="eastAsia" w:ascii="宋体" w:hAnsi="宋体" w:cs="宋体"/>
          <w:b/>
          <w:color w:val="auto"/>
          <w:szCs w:val="21"/>
          <w:highlight w:val="none"/>
        </w:rPr>
        <w:t xml:space="preserve"> </w:t>
      </w:r>
      <w:r>
        <w:rPr>
          <w:rFonts w:hint="eastAsia" w:ascii="宋体" w:hAnsi="宋体" w:cs="宋体"/>
          <w:color w:val="auto"/>
          <w:szCs w:val="21"/>
          <w:highlight w:val="none"/>
        </w:rPr>
        <w:t>投标人代表、招标人代表、监标人、记录人等有关人员在开标记录上签字确认；若有关人员不签字的，不影响开标程序；</w:t>
      </w:r>
    </w:p>
    <w:p w14:paraId="4A53D4A3">
      <w:pPr>
        <w:pBdr>
          <w:bottom w:val="single" w:color="auto" w:sz="6"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 xml:space="preserve"> 36.5.3</w:t>
      </w:r>
      <w:r>
        <w:rPr>
          <w:rFonts w:hint="eastAsia" w:ascii="宋体" w:hAnsi="宋体" w:cs="宋体"/>
          <w:b/>
          <w:color w:val="auto"/>
          <w:szCs w:val="21"/>
          <w:highlight w:val="none"/>
        </w:rPr>
        <w:t xml:space="preserve"> </w:t>
      </w:r>
      <w:r>
        <w:rPr>
          <w:rFonts w:hint="eastAsia" w:ascii="宋体" w:hAnsi="宋体" w:cs="宋体"/>
          <w:color w:val="auto"/>
          <w:szCs w:val="21"/>
          <w:highlight w:val="none"/>
        </w:rPr>
        <w:t>投标人代表、招标人代表、监标人、记录人等有关人员在开标记录上签字确认；若有关人员不签字的，不影响开标程序；</w:t>
      </w:r>
      <w:r>
        <w:rPr>
          <w:rFonts w:hint="eastAsia" w:ascii="宋体" w:hAnsi="宋体" w:cs="宋体"/>
          <w:color w:val="auto"/>
          <w:szCs w:val="21"/>
          <w:highlight w:val="none"/>
          <w:u w:val="single"/>
        </w:rPr>
        <w:t>若投标人不参加开标会的，或不签字确认的，视同该投标人认可开标结果。</w:t>
      </w:r>
    </w:p>
    <w:p w14:paraId="0E82485C">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条款号：条款号：37.3.2</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5891C872">
      <w:pP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37.3.2向招标人报告评审意见，推荐合格的中标候选人。</w:t>
      </w:r>
    </w:p>
    <w:p w14:paraId="6EEEAA5D">
      <w:pPr>
        <w:pBdr>
          <w:bottom w:val="single" w:color="auto" w:sz="4" w:space="0"/>
        </w:pBdr>
        <w:spacing w:line="360" w:lineRule="auto"/>
        <w:ind w:firstLine="422" w:firstLineChars="200"/>
        <w:rPr>
          <w:rFonts w:hint="eastAsia" w:ascii="宋体" w:hAnsi="宋体" w:cs="宋体"/>
          <w:b/>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37.3.2向招标人报告评审意见，</w:t>
      </w:r>
      <w:r>
        <w:rPr>
          <w:rFonts w:hint="eastAsia" w:ascii="宋体" w:hAnsi="宋体"/>
          <w:bCs/>
          <w:color w:val="auto"/>
          <w:szCs w:val="21"/>
          <w:highlight w:val="none"/>
          <w:u w:val="single"/>
        </w:rPr>
        <w:t>推荐合格</w:t>
      </w:r>
      <w:r>
        <w:rPr>
          <w:rFonts w:hint="eastAsia"/>
          <w:bCs/>
          <w:color w:val="auto"/>
          <w:szCs w:val="21"/>
          <w:highlight w:val="none"/>
          <w:u w:val="single"/>
          <w:lang w:val="en-US" w:eastAsia="zh-CN"/>
        </w:rPr>
        <w:t>的</w:t>
      </w:r>
      <w:r>
        <w:rPr>
          <w:rFonts w:hint="eastAsia" w:ascii="宋体" w:hAnsi="宋体"/>
          <w:bCs/>
          <w:color w:val="auto"/>
          <w:szCs w:val="21"/>
          <w:highlight w:val="none"/>
          <w:u w:val="single"/>
        </w:rPr>
        <w:t>中标候选人，推荐方式</w:t>
      </w:r>
      <w:r>
        <w:rPr>
          <w:rFonts w:hint="eastAsia" w:ascii="宋体" w:hAnsi="宋体"/>
          <w:bCs/>
          <w:color w:val="auto"/>
          <w:szCs w:val="21"/>
          <w:highlight w:val="none"/>
          <w:u w:val="single"/>
          <w:lang w:val="en-US" w:eastAsia="zh-CN"/>
        </w:rPr>
        <w:t>详见投标须知前附表第19项</w:t>
      </w:r>
      <w:r>
        <w:rPr>
          <w:rFonts w:hint="eastAsia" w:ascii="宋体" w:hAnsi="宋体"/>
          <w:bCs/>
          <w:color w:val="auto"/>
          <w:szCs w:val="21"/>
          <w:highlight w:val="none"/>
          <w:u w:val="single"/>
          <w:lang w:eastAsia="zh-CN"/>
        </w:rPr>
        <w:t>。</w:t>
      </w:r>
    </w:p>
    <w:p w14:paraId="1584E20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条款号：37.5</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2340F26F">
      <w:pP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37.5评标结束后，评标委员会递交评标报告并依法推荐中标候选人。</w:t>
      </w:r>
    </w:p>
    <w:p w14:paraId="60C510A0">
      <w:pPr>
        <w:pBdr>
          <w:bottom w:val="single" w:color="auto" w:sz="4" w:space="0"/>
        </w:pBd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37.5评标结束后，评标委员会递交</w:t>
      </w:r>
      <w:r>
        <w:rPr>
          <w:rFonts w:hint="eastAsia" w:ascii="宋体" w:hAnsi="宋体"/>
          <w:bCs/>
          <w:color w:val="auto"/>
          <w:szCs w:val="21"/>
          <w:highlight w:val="none"/>
          <w:u w:val="single"/>
        </w:rPr>
        <w:t>资格审查报告和评标报告并依法推荐合格</w:t>
      </w:r>
      <w:r>
        <w:rPr>
          <w:rFonts w:hint="eastAsia"/>
          <w:bCs/>
          <w:color w:val="auto"/>
          <w:szCs w:val="21"/>
          <w:highlight w:val="none"/>
          <w:u w:val="single"/>
          <w:lang w:val="en-US" w:eastAsia="zh-CN"/>
        </w:rPr>
        <w:t>的</w:t>
      </w:r>
      <w:r>
        <w:rPr>
          <w:rFonts w:hint="eastAsia" w:ascii="宋体" w:hAnsi="宋体"/>
          <w:bCs/>
          <w:color w:val="auto"/>
          <w:szCs w:val="21"/>
          <w:highlight w:val="none"/>
          <w:u w:val="single"/>
        </w:rPr>
        <w:t>中标候选人进入定标阶段。</w:t>
      </w:r>
    </w:p>
    <w:p w14:paraId="3DF7C47A">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条款号：38.1            修改类型：修改</w:t>
      </w:r>
    </w:p>
    <w:p w14:paraId="76D99806">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lang w:bidi="ar"/>
        </w:rPr>
        <w:t>原文：</w:t>
      </w:r>
      <w:r>
        <w:rPr>
          <w:rFonts w:hint="eastAsia" w:ascii="宋体" w:hAnsi="宋体" w:cs="宋体"/>
          <w:color w:val="auto"/>
          <w:szCs w:val="21"/>
          <w:highlight w:val="none"/>
          <w:lang w:bidi="ar"/>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3CB435CD">
      <w:pPr>
        <w:pBdr>
          <w:bottom w:val="single" w:color="auto" w:sz="4" w:space="1"/>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现文：</w:t>
      </w:r>
      <w:r>
        <w:rPr>
          <w:rFonts w:hint="eastAsia" w:ascii="宋体" w:hAnsi="宋体" w:cs="宋体"/>
          <w:color w:val="auto"/>
          <w:szCs w:val="21"/>
          <w:highlight w:val="none"/>
          <w:lang w:bidi="ar"/>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cs="宋体"/>
          <w:color w:val="auto"/>
          <w:szCs w:val="21"/>
          <w:highlight w:val="none"/>
          <w:u w:val="single"/>
          <w:lang w:bidi="ar"/>
        </w:rPr>
        <w:t>对投标文件含义不明确、对同类问题表述不一致、有明显文字和计算错误的内容以及细微偏差的</w:t>
      </w:r>
      <w:r>
        <w:rPr>
          <w:rFonts w:hint="eastAsia" w:ascii="宋体" w:hAnsi="宋体" w:cs="宋体"/>
          <w:color w:val="auto"/>
          <w:szCs w:val="21"/>
          <w:highlight w:val="none"/>
          <w:lang w:bidi="ar"/>
        </w:rPr>
        <w:t>内容作出澄清。</w:t>
      </w:r>
    </w:p>
    <w:p w14:paraId="246D9EA5">
      <w:pPr>
        <w:pBdr>
          <w:bottom w:val="single" w:color="auto" w:sz="4" w:space="0"/>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条款号：38.5</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10AB8421">
      <w:pPr>
        <w:pBdr>
          <w:bottom w:val="single" w:color="auto" w:sz="4" w:space="0"/>
        </w:pBd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152B81F4">
      <w:pPr>
        <w:pBdr>
          <w:bottom w:val="single" w:color="auto" w:sz="4" w:space="0"/>
        </w:pBdr>
        <w:spacing w:line="360" w:lineRule="auto"/>
        <w:ind w:firstLine="422" w:firstLineChars="200"/>
        <w:rPr>
          <w:rFonts w:ascii="宋体" w:hAnsi="宋体"/>
          <w:bCs/>
          <w:color w:val="auto"/>
          <w:szCs w:val="21"/>
          <w:highlight w:val="none"/>
          <w:u w:val="single"/>
        </w:rPr>
      </w:pPr>
      <w:r>
        <w:rPr>
          <w:rFonts w:hint="eastAsia" w:ascii="宋体" w:hAnsi="宋体"/>
          <w:b/>
          <w:color w:val="auto"/>
          <w:szCs w:val="21"/>
          <w:highlight w:val="none"/>
        </w:rPr>
        <w:t>现文：</w:t>
      </w:r>
      <w:r>
        <w:rPr>
          <w:rFonts w:hint="eastAsia" w:ascii="宋体" w:hAnsi="宋体"/>
          <w:bCs/>
          <w:color w:val="auto"/>
          <w:szCs w:val="21"/>
          <w:highlight w:val="none"/>
        </w:rPr>
        <w:t>38.5投标人如在本项目中存在串通投标、弄虚作假、行贿情形且在评标或定标过程中未被发现的，该投标不改变本项目评标结果排序，</w:t>
      </w:r>
      <w:r>
        <w:rPr>
          <w:rFonts w:hint="eastAsia" w:ascii="宋体" w:hAnsi="宋体"/>
          <w:bCs/>
          <w:color w:val="auto"/>
          <w:szCs w:val="21"/>
          <w:highlight w:val="none"/>
          <w:u w:val="single"/>
        </w:rPr>
        <w:t>若在定标过程中被确定为中标人，其中标无效，招标人可从其他合格的中标候选人中采用原定标办法，由原定标委员会重新确定中标人，也可以重新招标。</w:t>
      </w:r>
    </w:p>
    <w:p w14:paraId="4737B782">
      <w:pPr>
        <w:spacing w:line="360" w:lineRule="auto"/>
        <w:ind w:firstLine="422" w:firstLineChars="200"/>
        <w:rPr>
          <w:rFonts w:hint="eastAsia" w:ascii="宋体" w:hAnsi="宋体" w:cs="宋体"/>
          <w:b/>
          <w:bCs/>
          <w:color w:val="auto"/>
          <w:szCs w:val="21"/>
          <w:highlight w:val="none"/>
        </w:rPr>
      </w:pPr>
    </w:p>
    <w:p w14:paraId="102046AA">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条款号：</w:t>
      </w:r>
      <w:r>
        <w:rPr>
          <w:rFonts w:hint="eastAsia" w:ascii="宋体" w:hAnsi="宋体" w:cs="宋体"/>
          <w:b/>
          <w:color w:val="auto"/>
          <w:szCs w:val="21"/>
          <w:highlight w:val="none"/>
        </w:rPr>
        <w:t xml:space="preserve">39 </w:t>
      </w:r>
      <w:r>
        <w:rPr>
          <w:rFonts w:hint="eastAsia" w:ascii="宋体" w:hAnsi="宋体" w:cs="宋体"/>
          <w:b/>
          <w:bCs/>
          <w:color w:val="auto"/>
          <w:szCs w:val="21"/>
          <w:highlight w:val="none"/>
        </w:rPr>
        <w:t xml:space="preserve">      </w:t>
      </w:r>
      <w:r>
        <w:rPr>
          <w:rFonts w:hint="eastAsia" w:cs="宋体"/>
          <w:b/>
          <w:bCs/>
          <w:color w:val="auto"/>
          <w:szCs w:val="21"/>
          <w:highlight w:val="none"/>
          <w:lang w:val="en-US" w:eastAsia="zh-CN"/>
        </w:rPr>
        <w:t xml:space="preserve">  </w:t>
      </w:r>
      <w:r>
        <w:rPr>
          <w:rFonts w:hint="eastAsia" w:ascii="宋体" w:hAnsi="宋体" w:cs="宋体"/>
          <w:b/>
          <w:bCs/>
          <w:color w:val="auto"/>
          <w:szCs w:val="21"/>
          <w:highlight w:val="none"/>
        </w:rPr>
        <w:t xml:space="preserve">   </w:t>
      </w:r>
      <w:r>
        <w:rPr>
          <w:rFonts w:ascii="宋体" w:hAnsi="宋体" w:cs="宋体"/>
          <w:b/>
          <w:bCs/>
          <w:color w:val="auto"/>
          <w:szCs w:val="21"/>
          <w:highlight w:val="none"/>
        </w:rPr>
        <w:t xml:space="preserve">  </w:t>
      </w:r>
      <w:r>
        <w:rPr>
          <w:rFonts w:hint="eastAsia" w:ascii="宋体" w:hAnsi="宋体" w:cs="宋体"/>
          <w:b/>
          <w:bCs/>
          <w:color w:val="auto"/>
          <w:szCs w:val="21"/>
          <w:highlight w:val="none"/>
        </w:rPr>
        <w:t>修改类型：修改</w:t>
      </w:r>
    </w:p>
    <w:p w14:paraId="748EB345">
      <w:pPr>
        <w:spacing w:line="360" w:lineRule="auto"/>
        <w:ind w:firstLine="422" w:firstLineChars="200"/>
        <w:rPr>
          <w:rFonts w:ascii="宋体" w:hAnsi="宋体"/>
          <w:bCs/>
          <w:color w:val="auto"/>
          <w:szCs w:val="21"/>
          <w:highlight w:val="none"/>
        </w:rPr>
      </w:pPr>
      <w:r>
        <w:rPr>
          <w:rFonts w:hint="eastAsia" w:ascii="宋体" w:hAnsi="宋体" w:cs="宋体"/>
          <w:b/>
          <w:bCs/>
          <w:color w:val="auto"/>
          <w:szCs w:val="21"/>
          <w:highlight w:val="none"/>
        </w:rPr>
        <w:t>原文：</w:t>
      </w:r>
      <w:r>
        <w:rPr>
          <w:rFonts w:hint="eastAsia" w:ascii="宋体" w:hAnsi="宋体"/>
          <w:bCs/>
          <w:color w:val="auto"/>
          <w:szCs w:val="21"/>
          <w:highlight w:val="none"/>
        </w:rPr>
        <w:t>39．定标</w:t>
      </w:r>
    </w:p>
    <w:p w14:paraId="0CB8686A">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39.1 招标人根据评标委员会递交的评标报告，最终审定中标人。</w:t>
      </w:r>
    </w:p>
    <w:p w14:paraId="312BB9F2">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39.2 依法必须进行公开招标的项目，招标人应当确定排名第一的中标候选人为中标人。</w:t>
      </w:r>
    </w:p>
    <w:p w14:paraId="6DE494A9">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75E75205">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1392FBC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p>
    <w:p w14:paraId="5343CE69">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b/>
          <w:color w:val="auto"/>
          <w:szCs w:val="21"/>
          <w:highlight w:val="none"/>
        </w:rPr>
        <w:t>现文：</w:t>
      </w:r>
      <w:r>
        <w:rPr>
          <w:rFonts w:hint="eastAsia" w:ascii="宋体" w:hAnsi="宋体"/>
          <w:bCs/>
          <w:color w:val="auto"/>
          <w:szCs w:val="21"/>
          <w:highlight w:val="none"/>
        </w:rPr>
        <w:t>39.</w:t>
      </w:r>
      <w:r>
        <w:rPr>
          <w:rFonts w:hint="eastAsia" w:ascii="宋体" w:hAnsi="宋体"/>
          <w:b/>
          <w:bCs/>
          <w:color w:val="auto"/>
          <w:szCs w:val="21"/>
          <w:highlight w:val="none"/>
          <w:u w:val="single"/>
        </w:rPr>
        <w:t>定标详细规定条款详见本章</w:t>
      </w:r>
      <w:r>
        <w:rPr>
          <w:rFonts w:hint="eastAsia"/>
          <w:b/>
          <w:color w:val="auto"/>
          <w:szCs w:val="21"/>
          <w:highlight w:val="none"/>
          <w:u w:val="single"/>
          <w:lang w:val="en-US" w:eastAsia="zh-CN"/>
        </w:rPr>
        <w:t>50</w:t>
      </w:r>
      <w:r>
        <w:rPr>
          <w:rFonts w:hint="eastAsia" w:ascii="宋体" w:hAnsi="宋体"/>
          <w:b/>
          <w:color w:val="auto"/>
          <w:szCs w:val="21"/>
          <w:highlight w:val="none"/>
          <w:u w:val="single"/>
        </w:rPr>
        <w:t>.定标</w:t>
      </w:r>
      <w:r>
        <w:rPr>
          <w:rFonts w:hint="eastAsia" w:cs="宋体"/>
          <w:color w:val="auto"/>
          <w:szCs w:val="21"/>
          <w:highlight w:val="none"/>
          <w:lang w:eastAsia="zh-CN"/>
        </w:rPr>
        <w:t>。</w:t>
      </w:r>
    </w:p>
    <w:p w14:paraId="2F69DB00">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条款号：40</w:t>
      </w:r>
      <w:r>
        <w:rPr>
          <w:rFonts w:ascii="宋体" w:hAnsi="宋体"/>
          <w:b/>
          <w:color w:val="auto"/>
          <w:szCs w:val="21"/>
          <w:highlight w:val="none"/>
        </w:rPr>
        <w:t xml:space="preserve"> </w:t>
      </w:r>
      <w:r>
        <w:rPr>
          <w:rFonts w:hint="eastAsia"/>
          <w:b/>
          <w:color w:val="auto"/>
          <w:szCs w:val="21"/>
          <w:highlight w:val="none"/>
          <w:lang w:val="en-US" w:eastAsia="zh-CN"/>
        </w:rPr>
        <w:t>开标和评标程序</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3311E667">
      <w:pPr>
        <w:snapToGrid w:val="0"/>
        <w:spacing w:line="360" w:lineRule="auto"/>
        <w:ind w:firstLine="422" w:firstLineChars="200"/>
        <w:rPr>
          <w:rFonts w:ascii="宋体"/>
          <w:color w:val="auto"/>
          <w:sz w:val="21"/>
          <w:szCs w:val="21"/>
          <w:highlight w:val="none"/>
        </w:rPr>
      </w:pPr>
      <w:r>
        <w:rPr>
          <w:rFonts w:hint="eastAsia" w:ascii="宋体" w:hAnsi="宋体"/>
          <w:b/>
          <w:color w:val="auto"/>
          <w:szCs w:val="21"/>
          <w:highlight w:val="none"/>
        </w:rPr>
        <w:t>原文：</w:t>
      </w:r>
      <w:r>
        <w:rPr>
          <w:rFonts w:hint="eastAsia" w:ascii="宋体"/>
          <w:color w:val="auto"/>
          <w:sz w:val="21"/>
          <w:szCs w:val="21"/>
          <w:highlight w:val="none"/>
        </w:rPr>
        <w:t>40.1技术标（含资格审查文件）与经济标投标文件同时公开开标；</w:t>
      </w:r>
    </w:p>
    <w:p w14:paraId="117DC4B7">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40.2由评标委员会对所有已公开开标的投标人进行资格审查；</w:t>
      </w:r>
    </w:p>
    <w:p w14:paraId="37B9AAC5">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40.3技术标投标文件有效性审查；</w:t>
      </w:r>
    </w:p>
    <w:p w14:paraId="298B0F5A">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40.4技术标详细审查评分；</w:t>
      </w:r>
    </w:p>
    <w:p w14:paraId="7E6D5001">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40.5经济标详细审查评分；</w:t>
      </w:r>
      <w:r>
        <w:rPr>
          <w:rFonts w:ascii="宋体"/>
          <w:color w:val="auto"/>
          <w:sz w:val="21"/>
          <w:szCs w:val="21"/>
          <w:highlight w:val="none"/>
        </w:rPr>
        <w:t xml:space="preserve"> </w:t>
      </w:r>
    </w:p>
    <w:p w14:paraId="6E196DD4">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40.6评标委员会按照投标人总得分由高至低排序；</w:t>
      </w:r>
    </w:p>
    <w:p w14:paraId="0E2D85E9">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40.7经济标投标文件有效性审查；</w:t>
      </w:r>
    </w:p>
    <w:p w14:paraId="2846E72F">
      <w:pPr>
        <w:spacing w:line="360" w:lineRule="auto"/>
        <w:ind w:firstLine="470" w:firstLineChars="224"/>
        <w:rPr>
          <w:rFonts w:ascii="宋体" w:hAnsi="宋体"/>
          <w:bCs/>
          <w:color w:val="auto"/>
          <w:szCs w:val="21"/>
          <w:highlight w:val="none"/>
        </w:rPr>
      </w:pPr>
      <w:r>
        <w:rPr>
          <w:rFonts w:hint="eastAsia" w:ascii="宋体"/>
          <w:color w:val="auto"/>
          <w:sz w:val="21"/>
          <w:szCs w:val="21"/>
          <w:highlight w:val="none"/>
        </w:rPr>
        <w:t>40.8评标委员会按排序向招标人推荐中标候选人名单，并递交资格审查报告及评标报告</w:t>
      </w:r>
      <w:r>
        <w:rPr>
          <w:rFonts w:hint="eastAsia" w:ascii="宋体" w:hAnsi="宋体"/>
          <w:bCs/>
          <w:color w:val="auto"/>
          <w:szCs w:val="21"/>
          <w:highlight w:val="none"/>
        </w:rPr>
        <w:t>。</w:t>
      </w:r>
    </w:p>
    <w:p w14:paraId="118E1238">
      <w:pPr>
        <w:pBdr>
          <w:bottom w:val="single" w:color="auto" w:sz="4" w:space="0"/>
        </w:pBdr>
        <w:spacing w:line="360" w:lineRule="auto"/>
        <w:ind w:firstLine="472" w:firstLineChars="224"/>
        <w:rPr>
          <w:rFonts w:ascii="宋体" w:hAnsi="宋体"/>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40.1投标人递交</w:t>
      </w:r>
      <w:r>
        <w:rPr>
          <w:rFonts w:hint="eastAsia" w:ascii="宋体" w:hAnsi="宋体"/>
          <w:bCs/>
          <w:color w:val="auto"/>
          <w:szCs w:val="21"/>
          <w:highlight w:val="none"/>
          <w:u w:val="single"/>
        </w:rPr>
        <w:t>技术标（含资格审查文件）投标文件、经济标投标文件、定标文件</w:t>
      </w:r>
      <w:r>
        <w:rPr>
          <w:rFonts w:hint="eastAsia" w:ascii="宋体" w:hAnsi="宋体"/>
          <w:bCs/>
          <w:color w:val="auto"/>
          <w:szCs w:val="21"/>
          <w:highlight w:val="none"/>
        </w:rPr>
        <w:t>；</w:t>
      </w:r>
    </w:p>
    <w:p w14:paraId="7ABD6F3B">
      <w:pPr>
        <w:pBdr>
          <w:bottom w:val="single" w:color="auto" w:sz="4" w:space="0"/>
        </w:pBd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40.2技术标</w:t>
      </w:r>
      <w:r>
        <w:rPr>
          <w:rFonts w:hint="eastAsia" w:ascii="宋体" w:hAnsi="宋体"/>
          <w:bCs/>
          <w:color w:val="auto"/>
          <w:szCs w:val="21"/>
          <w:highlight w:val="none"/>
          <w:u w:val="single"/>
        </w:rPr>
        <w:t>（含资格审查文件）投标文件</w:t>
      </w:r>
      <w:r>
        <w:rPr>
          <w:rFonts w:hint="eastAsia" w:ascii="宋体" w:hAnsi="宋体"/>
          <w:bCs/>
          <w:color w:val="auto"/>
          <w:szCs w:val="21"/>
          <w:highlight w:val="none"/>
        </w:rPr>
        <w:t>、经济标投标文件同时公开开标；</w:t>
      </w:r>
    </w:p>
    <w:p w14:paraId="2CFB617F">
      <w:pPr>
        <w:pBdr>
          <w:bottom w:val="single" w:color="auto" w:sz="4" w:space="0"/>
        </w:pBd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40.3由评标委员会对所有已公开开标的投标人进行资格审查</w:t>
      </w:r>
      <w:r>
        <w:rPr>
          <w:rFonts w:hint="eastAsia" w:ascii="宋体" w:hAnsi="宋体" w:cs="宋体"/>
          <w:bCs/>
          <w:color w:val="auto"/>
          <w:szCs w:val="21"/>
          <w:highlight w:val="none"/>
          <w:u w:val="single"/>
        </w:rPr>
        <w:t>，并编写资格审查报告</w:t>
      </w:r>
      <w:r>
        <w:rPr>
          <w:rFonts w:hint="eastAsia" w:ascii="宋体" w:hAnsi="宋体"/>
          <w:bCs/>
          <w:color w:val="auto"/>
          <w:szCs w:val="21"/>
          <w:highlight w:val="none"/>
        </w:rPr>
        <w:t>；</w:t>
      </w:r>
    </w:p>
    <w:p w14:paraId="4D58ABD2">
      <w:pPr>
        <w:pBdr>
          <w:bottom w:val="single" w:color="auto" w:sz="4" w:space="0"/>
        </w:pBd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40.4技术标投标文件有效性审查</w:t>
      </w:r>
      <w:r>
        <w:rPr>
          <w:rFonts w:hint="eastAsia"/>
          <w:bCs/>
          <w:color w:val="auto"/>
          <w:szCs w:val="21"/>
          <w:highlight w:val="none"/>
          <w:lang w:eastAsia="zh-CN"/>
        </w:rPr>
        <w:t>、综合技术服务方案评审</w:t>
      </w:r>
      <w:r>
        <w:rPr>
          <w:rFonts w:hint="eastAsia" w:ascii="宋体" w:hAnsi="宋体"/>
          <w:bCs/>
          <w:color w:val="auto"/>
          <w:szCs w:val="21"/>
          <w:highlight w:val="none"/>
        </w:rPr>
        <w:t>；</w:t>
      </w:r>
    </w:p>
    <w:p w14:paraId="3C467787">
      <w:pPr>
        <w:pBdr>
          <w:bottom w:val="single" w:color="auto" w:sz="4" w:space="0"/>
        </w:pBdr>
        <w:spacing w:line="360" w:lineRule="auto"/>
        <w:ind w:firstLine="470" w:firstLineChars="224"/>
        <w:rPr>
          <w:rFonts w:ascii="宋体" w:hAnsi="宋体"/>
          <w:bCs/>
          <w:color w:val="auto"/>
          <w:szCs w:val="21"/>
          <w:highlight w:val="none"/>
        </w:rPr>
      </w:pPr>
      <w:r>
        <w:rPr>
          <w:rFonts w:hint="eastAsia" w:ascii="宋体" w:hAnsi="宋体"/>
          <w:bCs/>
          <w:color w:val="auto"/>
          <w:szCs w:val="21"/>
          <w:highlight w:val="none"/>
        </w:rPr>
        <w:t>40.</w:t>
      </w:r>
      <w:r>
        <w:rPr>
          <w:rFonts w:hint="eastAsia"/>
          <w:bCs/>
          <w:color w:val="auto"/>
          <w:szCs w:val="21"/>
          <w:highlight w:val="none"/>
          <w:lang w:val="en-US" w:eastAsia="zh-CN"/>
        </w:rPr>
        <w:t>5</w:t>
      </w:r>
      <w:r>
        <w:rPr>
          <w:rFonts w:hint="eastAsia" w:ascii="宋体" w:hAnsi="宋体"/>
          <w:bCs/>
          <w:color w:val="auto"/>
          <w:szCs w:val="21"/>
          <w:highlight w:val="none"/>
        </w:rPr>
        <w:t>经济标投标文件进行有效性审查（含投标报价算术校核）；</w:t>
      </w:r>
    </w:p>
    <w:p w14:paraId="7D2013D5">
      <w:pPr>
        <w:spacing w:line="360" w:lineRule="auto"/>
        <w:ind w:firstLine="420" w:firstLineChars="200"/>
        <w:rPr>
          <w:rFonts w:hint="eastAsia" w:ascii="宋体" w:hAnsi="宋体" w:cs="宋体"/>
          <w:b/>
          <w:color w:val="auto"/>
          <w:szCs w:val="21"/>
          <w:highlight w:val="none"/>
        </w:rPr>
      </w:pPr>
      <w:r>
        <w:rPr>
          <w:rFonts w:hint="eastAsia" w:ascii="宋体" w:hAnsi="宋体"/>
          <w:bCs/>
          <w:color w:val="auto"/>
          <w:szCs w:val="21"/>
          <w:highlight w:val="none"/>
        </w:rPr>
        <w:t>40.</w:t>
      </w:r>
      <w:r>
        <w:rPr>
          <w:rFonts w:hint="eastAsia"/>
          <w:bCs/>
          <w:color w:val="auto"/>
          <w:szCs w:val="21"/>
          <w:highlight w:val="none"/>
          <w:lang w:val="en-US" w:eastAsia="zh-CN"/>
        </w:rPr>
        <w:t>6</w:t>
      </w:r>
      <w:r>
        <w:rPr>
          <w:rFonts w:hint="eastAsia" w:ascii="宋体" w:hAnsi="宋体"/>
          <w:bCs/>
          <w:color w:val="auto"/>
          <w:szCs w:val="21"/>
          <w:highlight w:val="none"/>
        </w:rPr>
        <w:t>评标委员会编写评标报告，</w:t>
      </w:r>
      <w:r>
        <w:rPr>
          <w:rFonts w:hint="eastAsia" w:ascii="宋体" w:hAnsi="宋体"/>
          <w:bCs/>
          <w:color w:val="auto"/>
          <w:szCs w:val="21"/>
          <w:highlight w:val="none"/>
          <w:u w:val="single"/>
        </w:rPr>
        <w:t>按投标须知前附表第19项规定向招标人推荐合格中标候选人进入定标阶段。合格中标候选人不排序，按统一社会信用代码后4位（除校验码外）大小排位，如统一社会信用代码后4位出现字母情况的，字母以“0”进行代替大小排位；如出现后4位（除校验码外）大小一致的，则随机排位。</w:t>
      </w:r>
    </w:p>
    <w:p w14:paraId="19B9F604">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条款号：41.1             修改类型：修改</w:t>
      </w:r>
    </w:p>
    <w:p w14:paraId="744B8BED">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14:paraId="6669CC87">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14:paraId="5A5F307D">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条款号：41.2.1           修改类型：修改</w:t>
      </w:r>
    </w:p>
    <w:p w14:paraId="4E3D7FC7">
      <w:pPr>
        <w:pBdr>
          <w:bottom w:val="single" w:color="auto" w:sz="6" w:space="1"/>
        </w:pBdr>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交易平台。有关投标文件提交的事项详见第一章投标须知。</w:t>
      </w:r>
    </w:p>
    <w:p w14:paraId="163BFC48">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41.2.1投标截止期前，各投标人递交投标文件（包括技术标投标文件</w:t>
      </w:r>
      <w:r>
        <w:rPr>
          <w:rFonts w:hint="eastAsia" w:cs="宋体"/>
          <w:color w:val="auto"/>
          <w:szCs w:val="21"/>
          <w:highlight w:val="none"/>
          <w:lang w:eastAsia="zh-CN"/>
        </w:rPr>
        <w:t>（</w:t>
      </w:r>
      <w:r>
        <w:rPr>
          <w:rFonts w:hint="eastAsia" w:cs="宋体"/>
          <w:color w:val="auto"/>
          <w:szCs w:val="21"/>
          <w:highlight w:val="none"/>
          <w:lang w:val="en-US" w:eastAsia="zh-CN"/>
        </w:rPr>
        <w:t>含资格审查文件）</w:t>
      </w:r>
      <w:r>
        <w:rPr>
          <w:rFonts w:hint="eastAsia" w:ascii="宋体" w:hAnsi="宋体" w:cs="宋体"/>
          <w:color w:val="auto"/>
          <w:szCs w:val="21"/>
          <w:highlight w:val="none"/>
        </w:rPr>
        <w:t>、经济标投标文件</w:t>
      </w:r>
      <w:r>
        <w:rPr>
          <w:rFonts w:hint="eastAsia" w:cs="宋体"/>
          <w:color w:val="auto"/>
          <w:szCs w:val="21"/>
          <w:highlight w:val="none"/>
          <w:lang w:eastAsia="zh-CN"/>
        </w:rPr>
        <w:t>、</w:t>
      </w:r>
      <w:r>
        <w:rPr>
          <w:rFonts w:hint="eastAsia" w:cs="宋体"/>
          <w:color w:val="auto"/>
          <w:szCs w:val="21"/>
          <w:highlight w:val="none"/>
          <w:lang w:val="en-US" w:eastAsia="zh-CN"/>
        </w:rPr>
        <w:t>定标文件</w:t>
      </w:r>
      <w:r>
        <w:rPr>
          <w:rFonts w:hint="eastAsia" w:ascii="宋体" w:hAnsi="宋体" w:cs="宋体"/>
          <w:color w:val="auto"/>
          <w:szCs w:val="21"/>
          <w:highlight w:val="none"/>
        </w:rPr>
        <w:t>）至</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14:paraId="79192959">
      <w:pPr>
        <w:pBdr>
          <w:bottom w:val="single" w:color="auto" w:sz="4" w:space="0"/>
        </w:pBd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条款号：41.</w:t>
      </w:r>
      <w:r>
        <w:rPr>
          <w:rFonts w:hint="eastAsia"/>
          <w:b/>
          <w:color w:val="auto"/>
          <w:szCs w:val="21"/>
          <w:highlight w:val="none"/>
          <w:lang w:val="en-US" w:eastAsia="zh-CN"/>
        </w:rPr>
        <w:t>3</w:t>
      </w:r>
      <w:r>
        <w:rPr>
          <w:rFonts w:hint="eastAsia" w:ascii="宋体" w:hAnsi="宋体" w:cs="宋体"/>
          <w:color w:val="auto"/>
          <w:szCs w:val="21"/>
          <w:highlight w:val="none"/>
        </w:rPr>
        <w:t xml:space="preserve">            </w:t>
      </w:r>
      <w:r>
        <w:rPr>
          <w:rFonts w:hint="eastAsia" w:ascii="宋体" w:hAnsi="宋体"/>
          <w:b/>
          <w:color w:val="auto"/>
          <w:szCs w:val="21"/>
          <w:highlight w:val="none"/>
        </w:rPr>
        <w:t>修改类型：修改</w:t>
      </w:r>
    </w:p>
    <w:p w14:paraId="61F15FF9">
      <w:pPr>
        <w:pBdr>
          <w:bottom w:val="single" w:color="auto" w:sz="4" w:space="0"/>
        </w:pBdr>
        <w:spacing w:line="360" w:lineRule="auto"/>
        <w:ind w:firstLine="422" w:firstLineChars="200"/>
        <w:rPr>
          <w:rFonts w:ascii="宋体" w:hAnsi="宋体"/>
          <w:bCs/>
          <w:color w:val="auto"/>
          <w:szCs w:val="21"/>
          <w:highlight w:val="none"/>
        </w:rPr>
      </w:pPr>
      <w:r>
        <w:rPr>
          <w:rFonts w:hint="eastAsia" w:ascii="宋体" w:hAnsi="宋体"/>
          <w:b/>
          <w:color w:val="auto"/>
          <w:szCs w:val="21"/>
          <w:highlight w:val="none"/>
        </w:rPr>
        <w:t>原文：</w:t>
      </w:r>
      <w:r>
        <w:rPr>
          <w:rFonts w:hint="eastAsia" w:ascii="宋体" w:hAnsi="宋体"/>
          <w:bCs/>
          <w:color w:val="auto"/>
          <w:szCs w:val="21"/>
          <w:highlight w:val="none"/>
        </w:rPr>
        <w:t>41.</w:t>
      </w:r>
      <w:r>
        <w:rPr>
          <w:rFonts w:hint="eastAsia"/>
          <w:bCs/>
          <w:color w:val="auto"/>
          <w:szCs w:val="21"/>
          <w:highlight w:val="none"/>
          <w:lang w:val="en-US" w:eastAsia="zh-CN"/>
        </w:rPr>
        <w:t>3</w:t>
      </w:r>
      <w:r>
        <w:rPr>
          <w:rFonts w:hint="eastAsia" w:ascii="宋体" w:hAnsi="宋体"/>
          <w:bCs/>
          <w:color w:val="auto"/>
          <w:szCs w:val="21"/>
          <w:highlight w:val="none"/>
        </w:rPr>
        <w:t>招标人对开标过程进行记录，并存档备查，投标人在开标记录上签字。</w:t>
      </w:r>
    </w:p>
    <w:p w14:paraId="78D0AFC4">
      <w:pPr>
        <w:pBdr>
          <w:top w:val="none" w:color="auto" w:sz="0" w:space="0"/>
          <w:left w:val="none" w:color="auto" w:sz="0" w:space="0"/>
          <w:bottom w:val="single" w:color="auto" w:sz="4" w:space="1"/>
          <w:right w:val="none" w:color="auto" w:sz="0" w:space="0"/>
          <w:between w:val="none" w:color="auto" w:sz="0" w:space="0"/>
        </w:pBdr>
        <w:spacing w:line="360" w:lineRule="auto"/>
        <w:ind w:firstLine="422" w:firstLineChars="200"/>
        <w:rPr>
          <w:rFonts w:hint="eastAsia" w:ascii="宋体" w:hAnsi="宋体"/>
          <w:bCs/>
          <w:color w:val="auto"/>
          <w:szCs w:val="21"/>
          <w:highlight w:val="none"/>
        </w:rPr>
      </w:pPr>
      <w:r>
        <w:rPr>
          <w:rFonts w:hint="eastAsia" w:ascii="宋体" w:hAnsi="宋体"/>
          <w:b/>
          <w:color w:val="auto"/>
          <w:szCs w:val="21"/>
          <w:highlight w:val="none"/>
        </w:rPr>
        <w:t>现文：</w:t>
      </w:r>
      <w:r>
        <w:rPr>
          <w:rFonts w:hint="eastAsia" w:ascii="宋体" w:hAnsi="宋体"/>
          <w:bCs/>
          <w:color w:val="auto"/>
          <w:szCs w:val="21"/>
          <w:highlight w:val="none"/>
        </w:rPr>
        <w:t>41.</w:t>
      </w:r>
      <w:r>
        <w:rPr>
          <w:rFonts w:hint="eastAsia"/>
          <w:bCs/>
          <w:color w:val="auto"/>
          <w:szCs w:val="21"/>
          <w:highlight w:val="none"/>
          <w:lang w:val="en-US" w:eastAsia="zh-CN"/>
        </w:rPr>
        <w:t>3</w:t>
      </w:r>
      <w:r>
        <w:rPr>
          <w:rFonts w:hint="eastAsia" w:ascii="宋体" w:hAnsi="宋体"/>
          <w:bCs/>
          <w:color w:val="auto"/>
          <w:szCs w:val="21"/>
          <w:highlight w:val="none"/>
        </w:rPr>
        <w:t>招标人</w:t>
      </w:r>
      <w:r>
        <w:rPr>
          <w:rFonts w:hint="eastAsia" w:ascii="宋体" w:hAnsi="宋体"/>
          <w:bCs/>
          <w:color w:val="auto"/>
          <w:szCs w:val="21"/>
          <w:highlight w:val="none"/>
          <w:u w:val="single"/>
        </w:rPr>
        <w:t>或招标代理机构</w:t>
      </w:r>
      <w:r>
        <w:rPr>
          <w:rFonts w:hint="eastAsia" w:ascii="宋体" w:hAnsi="宋体"/>
          <w:bCs/>
          <w:color w:val="auto"/>
          <w:szCs w:val="21"/>
          <w:highlight w:val="none"/>
        </w:rPr>
        <w:t>对开标过程进行记录，并存档备查，</w:t>
      </w:r>
      <w:r>
        <w:rPr>
          <w:rFonts w:hint="eastAsia" w:ascii="宋体" w:hAnsi="宋体"/>
          <w:bCs/>
          <w:color w:val="auto"/>
          <w:szCs w:val="21"/>
          <w:highlight w:val="none"/>
          <w:u w:val="single"/>
        </w:rPr>
        <w:t>参加现场开标会的</w:t>
      </w:r>
      <w:r>
        <w:rPr>
          <w:rFonts w:hint="eastAsia" w:ascii="宋体" w:hAnsi="宋体"/>
          <w:bCs/>
          <w:color w:val="auto"/>
          <w:szCs w:val="21"/>
          <w:highlight w:val="none"/>
        </w:rPr>
        <w:t>投标人在开标记录上签字。</w:t>
      </w:r>
    </w:p>
    <w:p w14:paraId="6F1F08E9">
      <w:pPr>
        <w:pBdr>
          <w:top w:val="none" w:color="auto" w:sz="0" w:space="0"/>
          <w:left w:val="none" w:color="auto" w:sz="0" w:space="0"/>
          <w:bottom w:val="none" w:color="auto" w:sz="0" w:space="1"/>
          <w:right w:val="none" w:color="auto" w:sz="0" w:space="0"/>
          <w:between w:val="none" w:color="auto" w:sz="0" w:space="0"/>
        </w:pBd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 42.2            修改类型：修改</w:t>
      </w:r>
    </w:p>
    <w:p w14:paraId="60770951">
      <w:pPr>
        <w:tabs>
          <w:tab w:val="left" w:pos="7380"/>
        </w:tabs>
        <w:spacing w:line="360" w:lineRule="auto"/>
        <w:ind w:firstLine="422" w:firstLineChars="200"/>
        <w:rPr>
          <w:rFonts w:hint="eastAsia" w:ascii="宋体" w:hAnsi="宋体" w:cs="宋体"/>
          <w:color w:val="auto"/>
          <w:kern w:val="0"/>
          <w:szCs w:val="21"/>
          <w:highlight w:val="none"/>
        </w:rPr>
      </w:pPr>
      <w:r>
        <w:rPr>
          <w:rFonts w:hint="eastAsia" w:ascii="宋体" w:hAnsi="宋体" w:cs="宋体"/>
          <w:b/>
          <w:color w:val="auto"/>
          <w:kern w:val="0"/>
          <w:szCs w:val="21"/>
          <w:highlight w:val="none"/>
        </w:rPr>
        <w:t>原文：</w:t>
      </w:r>
      <w:r>
        <w:rPr>
          <w:rFonts w:hint="eastAsia" w:ascii="宋体" w:hAnsi="宋体" w:cs="宋体"/>
          <w:color w:val="auto"/>
          <w:kern w:val="0"/>
          <w:szCs w:val="21"/>
          <w:highlight w:val="none"/>
        </w:rPr>
        <w:t>42.2评标委员会的组成：方式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5F2C86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14:paraId="1178A7B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14:paraId="6B179926">
      <w:pPr>
        <w:tabs>
          <w:tab w:val="left" w:pos="7380"/>
        </w:tabs>
        <w:spacing w:line="360" w:lineRule="auto"/>
        <w:ind w:firstLine="422" w:firstLineChars="200"/>
        <w:rPr>
          <w:rFonts w:hint="eastAsia" w:ascii="宋体" w:hAnsi="宋体" w:cs="宋体"/>
          <w:color w:val="auto"/>
          <w:kern w:val="0"/>
          <w:szCs w:val="21"/>
          <w:highlight w:val="none"/>
        </w:rPr>
      </w:pPr>
      <w:r>
        <w:rPr>
          <w:rFonts w:hint="eastAsia" w:ascii="宋体" w:hAnsi="宋体" w:cs="宋体"/>
          <w:b/>
          <w:color w:val="auto"/>
          <w:kern w:val="0"/>
          <w:szCs w:val="21"/>
          <w:highlight w:val="none"/>
        </w:rPr>
        <w:t>现文：</w:t>
      </w:r>
      <w:r>
        <w:rPr>
          <w:rFonts w:hint="eastAsia" w:ascii="宋体" w:hAnsi="宋体" w:cs="宋体"/>
          <w:color w:val="auto"/>
          <w:kern w:val="0"/>
          <w:szCs w:val="21"/>
          <w:highlight w:val="none"/>
        </w:rPr>
        <w:t>42.2评标委员会的组成：方式</w:t>
      </w:r>
      <w:r>
        <w:rPr>
          <w:rFonts w:hint="eastAsia" w:ascii="宋体" w:hAnsi="宋体" w:cs="宋体"/>
          <w:color w:val="auto"/>
          <w:kern w:val="0"/>
          <w:szCs w:val="21"/>
          <w:highlight w:val="none"/>
          <w:u w:val="single"/>
        </w:rPr>
        <w:t xml:space="preserve">  一  </w:t>
      </w:r>
      <w:r>
        <w:rPr>
          <w:rFonts w:hint="eastAsia" w:ascii="宋体" w:hAnsi="宋体" w:cs="宋体"/>
          <w:color w:val="auto"/>
          <w:kern w:val="0"/>
          <w:szCs w:val="21"/>
          <w:highlight w:val="none"/>
        </w:rPr>
        <w:t>。</w:t>
      </w:r>
    </w:p>
    <w:p w14:paraId="7AAA3915">
      <w:pPr>
        <w:pBdr>
          <w:bottom w:val="single" w:color="auto" w:sz="4"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w:t>
      </w:r>
      <w:r>
        <w:rPr>
          <w:rFonts w:hint="eastAsia" w:ascii="宋体" w:hAnsi="宋体"/>
          <w:color w:val="auto"/>
          <w:szCs w:val="21"/>
          <w:highlight w:val="none"/>
          <w:u w:val="single"/>
        </w:rPr>
        <w:t>评标委员会组成：由招标人依法组建。</w:t>
      </w:r>
    </w:p>
    <w:p w14:paraId="5FCCA3B1">
      <w:pPr>
        <w:pBdr>
          <w:bottom w:val="single" w:color="auto" w:sz="6" w:space="1"/>
        </w:pBd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条款号：43.6</w:t>
      </w:r>
      <w:r>
        <w:rPr>
          <w:rFonts w:ascii="宋体" w:hAnsi="宋体"/>
          <w:b/>
          <w:color w:val="auto"/>
          <w:szCs w:val="21"/>
          <w:highlight w:val="none"/>
        </w:rPr>
        <w:t xml:space="preserve">             </w:t>
      </w:r>
      <w:r>
        <w:rPr>
          <w:rFonts w:hint="eastAsia" w:ascii="宋体" w:hAnsi="宋体"/>
          <w:b/>
          <w:color w:val="auto"/>
          <w:szCs w:val="21"/>
          <w:highlight w:val="none"/>
        </w:rPr>
        <w:t xml:space="preserve">  修改类型：修改</w:t>
      </w:r>
    </w:p>
    <w:p w14:paraId="52D3A726">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原文：43.6</w:t>
      </w:r>
      <w:r>
        <w:rPr>
          <w:rFonts w:hint="eastAsia" w:ascii="宋体" w:hAnsi="宋体"/>
          <w:color w:val="auto"/>
          <w:szCs w:val="21"/>
          <w:highlight w:val="none"/>
        </w:rPr>
        <w:t>资格审查合格的投标人少于3名的（当N个标段同时招标且不允许兼中时，资格审查合格的投标人少于N+2名），则本项目招标失败。</w:t>
      </w:r>
    </w:p>
    <w:p w14:paraId="5C6460AB">
      <w:pPr>
        <w:pBdr>
          <w:bottom w:val="single" w:color="auto" w:sz="4"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现文：43.6</w:t>
      </w:r>
      <w:r>
        <w:rPr>
          <w:rFonts w:hint="eastAsia" w:ascii="宋体" w:hAnsi="宋体"/>
          <w:color w:val="auto"/>
          <w:szCs w:val="21"/>
          <w:highlight w:val="none"/>
          <w:u w:val="single"/>
        </w:rPr>
        <w:t>资格审查合格的投标人少于3名的，则本项目招标失败。</w:t>
      </w:r>
    </w:p>
    <w:p w14:paraId="2FE1E565">
      <w:pPr>
        <w:pBdr>
          <w:top w:val="none" w:color="auto" w:sz="0" w:space="0"/>
          <w:left w:val="none" w:color="auto" w:sz="0" w:space="0"/>
          <w:bottom w:val="none" w:color="auto" w:sz="0" w:space="1"/>
          <w:right w:val="none" w:color="auto" w:sz="0" w:space="0"/>
          <w:between w:val="none" w:color="auto" w:sz="0" w:space="0"/>
        </w:pBdr>
        <w:spacing w:line="360" w:lineRule="auto"/>
        <w:ind w:firstLine="422" w:firstLineChars="200"/>
        <w:rPr>
          <w:rFonts w:hint="eastAsia" w:ascii="宋体" w:hAnsi="宋体" w:eastAsia="宋体"/>
          <w:b/>
          <w:color w:val="auto"/>
          <w:szCs w:val="21"/>
          <w:highlight w:val="none"/>
          <w:lang w:val="en-US" w:eastAsia="zh-CN"/>
        </w:rPr>
      </w:pPr>
      <w:r>
        <w:rPr>
          <w:rFonts w:hint="eastAsia" w:ascii="宋体"/>
          <w:b/>
          <w:bCs/>
          <w:color w:val="auto"/>
          <w:sz w:val="21"/>
          <w:szCs w:val="21"/>
          <w:highlight w:val="none"/>
          <w:lang w:val="en-US" w:eastAsia="zh-CN"/>
        </w:rPr>
        <w:t xml:space="preserve">条款号:44.2                   </w:t>
      </w:r>
      <w:r>
        <w:rPr>
          <w:rFonts w:hint="eastAsia" w:ascii="宋体" w:hAnsi="宋体"/>
          <w:b/>
          <w:bCs/>
          <w:color w:val="auto"/>
          <w:szCs w:val="21"/>
          <w:highlight w:val="none"/>
        </w:rPr>
        <w:t>修改类型</w:t>
      </w:r>
      <w:r>
        <w:rPr>
          <w:rFonts w:hint="eastAsia" w:ascii="宋体" w:hAnsi="宋体"/>
          <w:b/>
          <w:color w:val="auto"/>
          <w:szCs w:val="21"/>
          <w:highlight w:val="none"/>
        </w:rPr>
        <w:t>：</w:t>
      </w:r>
      <w:r>
        <w:rPr>
          <w:rFonts w:hint="eastAsia" w:ascii="宋体" w:hAnsi="宋体"/>
          <w:b/>
          <w:color w:val="auto"/>
          <w:szCs w:val="21"/>
          <w:highlight w:val="none"/>
          <w:lang w:val="en-US" w:eastAsia="zh-CN"/>
        </w:rPr>
        <w:t>删除</w:t>
      </w:r>
    </w:p>
    <w:p w14:paraId="176DBC08">
      <w:pPr>
        <w:pStyle w:val="25"/>
        <w:pBdr>
          <w:bottom w:val="single" w:color="auto" w:sz="4" w:space="0"/>
        </w:pBdr>
        <w:tabs>
          <w:tab w:val="left" w:pos="7380"/>
        </w:tabs>
        <w:snapToGrid w:val="0"/>
        <w:spacing w:after="0" w:line="360" w:lineRule="auto"/>
        <w:ind w:firstLine="420" w:firstLineChars="200"/>
        <w:rPr>
          <w:rFonts w:hint="eastAsia" w:ascii="宋体"/>
          <w:color w:val="auto"/>
          <w:sz w:val="21"/>
          <w:szCs w:val="21"/>
          <w:highlight w:val="none"/>
        </w:rPr>
      </w:pPr>
      <w:r>
        <w:rPr>
          <w:rFonts w:hint="eastAsia" w:ascii="宋体"/>
          <w:color w:val="auto"/>
          <w:sz w:val="21"/>
          <w:szCs w:val="21"/>
          <w:highlight w:val="none"/>
          <w:lang w:val="en-US" w:eastAsia="zh-CN"/>
        </w:rPr>
        <w:t>原文：</w:t>
      </w:r>
      <w:r>
        <w:rPr>
          <w:rFonts w:hint="eastAsia" w:ascii="宋体"/>
          <w:color w:val="auto"/>
          <w:sz w:val="21"/>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4387D2A5">
      <w:pPr>
        <w:spacing w:line="360" w:lineRule="auto"/>
        <w:ind w:firstLine="445" w:firstLineChars="211"/>
        <w:rPr>
          <w:rFonts w:hint="eastAsia"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4</w:t>
      </w:r>
      <w:r>
        <w:rPr>
          <w:rFonts w:hint="eastAsia" w:ascii="宋体" w:hAnsi="宋体"/>
          <w:b/>
          <w:color w:val="auto"/>
          <w:szCs w:val="21"/>
          <w:highlight w:val="none"/>
        </w:rPr>
        <w:t>5            修改类型：修改</w:t>
      </w:r>
    </w:p>
    <w:p w14:paraId="7E876618">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45．经济标评审和得分汇总</w:t>
      </w:r>
    </w:p>
    <w:p w14:paraId="10020D24">
      <w:pPr>
        <w:tabs>
          <w:tab w:val="left" w:pos="73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45.1若通过技术标有效性审查的投标人中所有投标报价均大于等于最高投标限价，则本项目招标失败，由招标人依法重新招标。</w:t>
      </w:r>
    </w:p>
    <w:p w14:paraId="7D58B61D">
      <w:pPr>
        <w:tabs>
          <w:tab w:val="left" w:pos="73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45.2计算评标参考价：</w:t>
      </w:r>
    </w:p>
    <w:p w14:paraId="438BDDA6">
      <w:pPr>
        <w:widowControl/>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区间抽取法</w:t>
      </w:r>
    </w:p>
    <w:p w14:paraId="3E2BEF7B">
      <w:pPr>
        <w:pStyle w:val="20"/>
        <w:rPr>
          <w:rFonts w:hint="eastAsia"/>
          <w:color w:val="auto"/>
          <w:highlight w:val="none"/>
        </w:rPr>
      </w:pPr>
    </w:p>
    <w:p w14:paraId="3F2914F1">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设立入围合格分数线（</w:t>
      </w:r>
      <w:r>
        <w:rPr>
          <w:rFonts w:hint="eastAsia" w:ascii="宋体" w:hAnsi="宋体" w:cs="宋体"/>
          <w:color w:val="auto"/>
          <w:kern w:val="0"/>
          <w:szCs w:val="21"/>
          <w:highlight w:val="none"/>
        </w:rPr>
        <w:t>技术标或技术标加诚信得分，具体数值由招标人在招标文件中确定</w:t>
      </w:r>
      <w:r>
        <w:rPr>
          <w:rFonts w:hint="eastAsia" w:ascii="宋体" w:hAnsi="宋体" w:cs="宋体"/>
          <w:color w:val="auto"/>
          <w:szCs w:val="21"/>
          <w:highlight w:val="none"/>
        </w:rPr>
        <w:t>），达到或超过及格线的投标人的报价方能参与评标参考价的计算。将达到或超过技术标及格分数线的投标报价由低至高进行排列，按以下公式计算评标参考价，计算公式如下：</w:t>
      </w:r>
    </w:p>
    <w:p w14:paraId="0D264F1C">
      <w:pPr>
        <w:widowControl/>
        <w:spacing w:line="360" w:lineRule="auto"/>
        <w:ind w:firstLine="420" w:firstLineChars="200"/>
        <w:rPr>
          <w:rFonts w:hint="eastAsia"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14:paraId="2F0C36E3">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14:paraId="2976C6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w:t>
      </w:r>
    </w:p>
    <w:p w14:paraId="29C7D5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14:paraId="10BE3AB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14:paraId="219AD17F">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30DDD176">
      <w:pPr>
        <w:widowControl/>
        <w:spacing w:line="360" w:lineRule="auto"/>
        <w:ind w:firstLine="422" w:firstLineChars="200"/>
        <w:rPr>
          <w:rFonts w:hint="eastAsia" w:ascii="宋体" w:hAnsi="宋体" w:cs="宋体"/>
          <w:b/>
          <w:bCs/>
          <w:color w:val="auto"/>
          <w:kern w:val="0"/>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 xml:space="preserve"> </w:t>
      </w:r>
      <w:r>
        <w:rPr>
          <w:rFonts w:hint="eastAsia" w:ascii="宋体" w:hAnsi="宋体" w:cs="宋体"/>
          <w:b/>
          <w:bCs/>
          <w:color w:val="auto"/>
          <w:kern w:val="0"/>
          <w:szCs w:val="21"/>
          <w:highlight w:val="none"/>
        </w:rPr>
        <w:t>45．经济标评审和得分汇总</w:t>
      </w:r>
    </w:p>
    <w:p w14:paraId="41F4D40B">
      <w:pPr>
        <w:pStyle w:val="25"/>
        <w:tabs>
          <w:tab w:val="left" w:pos="7380"/>
        </w:tabs>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45.1</w:t>
      </w:r>
      <w:r>
        <w:rPr>
          <w:rFonts w:hint="eastAsia" w:ascii="宋体" w:hAnsi="宋体" w:cs="宋体"/>
          <w:bCs/>
          <w:color w:val="auto"/>
          <w:sz w:val="21"/>
          <w:szCs w:val="21"/>
          <w:highlight w:val="none"/>
          <w:u w:val="single"/>
        </w:rPr>
        <w:t>若</w:t>
      </w:r>
      <w:r>
        <w:rPr>
          <w:rFonts w:hint="eastAsia" w:ascii="宋体" w:hAnsi="宋体"/>
          <w:color w:val="auto"/>
          <w:highlight w:val="none"/>
        </w:rPr>
        <w:t>评标委员会推荐的合格中标候选人</w:t>
      </w:r>
      <w:r>
        <w:rPr>
          <w:rFonts w:hint="eastAsia" w:ascii="宋体" w:hAnsi="宋体" w:cs="宋体"/>
          <w:bCs/>
          <w:color w:val="auto"/>
          <w:sz w:val="21"/>
          <w:szCs w:val="21"/>
          <w:highlight w:val="none"/>
          <w:u w:val="single"/>
          <w:lang w:val="en-US" w:eastAsia="zh-CN"/>
        </w:rPr>
        <w:t>少于3家</w:t>
      </w:r>
      <w:r>
        <w:rPr>
          <w:rFonts w:hint="eastAsia" w:ascii="宋体" w:hAnsi="宋体" w:cs="宋体"/>
          <w:bCs/>
          <w:color w:val="auto"/>
          <w:sz w:val="21"/>
          <w:szCs w:val="21"/>
          <w:highlight w:val="none"/>
          <w:u w:val="single"/>
        </w:rPr>
        <w:t>，则本项目招标失败，由招标人依法重新招标</w:t>
      </w:r>
      <w:r>
        <w:rPr>
          <w:rFonts w:hint="eastAsia" w:ascii="宋体" w:hAnsi="宋体" w:cs="宋体"/>
          <w:color w:val="auto"/>
          <w:sz w:val="21"/>
          <w:szCs w:val="21"/>
          <w:highlight w:val="none"/>
        </w:rPr>
        <w:t>。</w:t>
      </w:r>
    </w:p>
    <w:p w14:paraId="5E96FF96">
      <w:pPr>
        <w:pStyle w:val="25"/>
        <w:tabs>
          <w:tab w:val="left" w:pos="7380"/>
        </w:tabs>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45.2计算评标参考价：</w:t>
      </w:r>
    </w:p>
    <w:p w14:paraId="06E6CC4F">
      <w:pPr>
        <w:spacing w:line="312" w:lineRule="auto"/>
        <w:ind w:firstLine="420" w:firstLineChars="200"/>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评</w:t>
      </w:r>
      <w:r>
        <w:rPr>
          <w:rFonts w:hint="eastAsia" w:ascii="宋体" w:hAnsi="宋体" w:eastAsia="宋体" w:cs="宋体"/>
          <w:color w:val="auto"/>
          <w:kern w:val="0"/>
          <w:szCs w:val="21"/>
          <w:highlight w:val="none"/>
          <w:u w:val="none"/>
          <w:lang w:val="en-US" w:eastAsia="zh-CN"/>
        </w:rPr>
        <w:t>标参考</w:t>
      </w:r>
      <w:r>
        <w:rPr>
          <w:rFonts w:hint="eastAsia" w:ascii="宋体" w:hAnsi="宋体" w:eastAsia="宋体" w:cs="宋体"/>
          <w:color w:val="auto"/>
          <w:kern w:val="0"/>
          <w:szCs w:val="21"/>
          <w:highlight w:val="none"/>
          <w:u w:val="none"/>
        </w:rPr>
        <w:t>价：当所有</w:t>
      </w:r>
      <w:r>
        <w:rPr>
          <w:rFonts w:hint="eastAsia" w:ascii="宋体" w:hAnsi="宋体" w:eastAsia="宋体" w:cs="宋体"/>
          <w:color w:val="auto"/>
          <w:kern w:val="0"/>
          <w:szCs w:val="21"/>
          <w:highlight w:val="none"/>
          <w:u w:val="none"/>
          <w:lang w:eastAsia="zh-CN"/>
        </w:rPr>
        <w:t>合格的中标候选人</w:t>
      </w:r>
      <w:r>
        <w:rPr>
          <w:rFonts w:hint="eastAsia" w:ascii="宋体" w:hAnsi="宋体" w:eastAsia="宋体" w:cs="宋体"/>
          <w:color w:val="auto"/>
          <w:kern w:val="0"/>
          <w:szCs w:val="21"/>
          <w:highlight w:val="none"/>
          <w:u w:val="none"/>
        </w:rPr>
        <w:t>家数小于5家时，取所有</w:t>
      </w:r>
      <w:r>
        <w:rPr>
          <w:rFonts w:hint="eastAsia" w:ascii="宋体" w:hAnsi="宋体" w:eastAsia="宋体" w:cs="宋体"/>
          <w:color w:val="auto"/>
          <w:kern w:val="0"/>
          <w:szCs w:val="21"/>
          <w:highlight w:val="none"/>
          <w:u w:val="none"/>
          <w:lang w:val="en-US" w:eastAsia="zh-CN"/>
        </w:rPr>
        <w:t>投标</w:t>
      </w:r>
      <w:r>
        <w:rPr>
          <w:rFonts w:hint="eastAsia" w:ascii="宋体" w:hAnsi="宋体" w:eastAsia="宋体" w:cs="宋体"/>
          <w:color w:val="auto"/>
          <w:kern w:val="0"/>
          <w:szCs w:val="21"/>
          <w:highlight w:val="none"/>
          <w:u w:val="none"/>
        </w:rPr>
        <w:t>报价平均值为评</w:t>
      </w:r>
      <w:r>
        <w:rPr>
          <w:rFonts w:hint="eastAsia" w:ascii="宋体" w:hAnsi="宋体" w:eastAsia="宋体" w:cs="宋体"/>
          <w:color w:val="auto"/>
          <w:kern w:val="0"/>
          <w:szCs w:val="21"/>
          <w:highlight w:val="none"/>
          <w:u w:val="none"/>
          <w:lang w:val="en-US" w:eastAsia="zh-CN"/>
        </w:rPr>
        <w:t>标参考</w:t>
      </w:r>
      <w:r>
        <w:rPr>
          <w:rFonts w:hint="eastAsia" w:ascii="宋体" w:hAnsi="宋体" w:eastAsia="宋体" w:cs="宋体"/>
          <w:color w:val="auto"/>
          <w:kern w:val="0"/>
          <w:szCs w:val="21"/>
          <w:highlight w:val="none"/>
          <w:u w:val="none"/>
        </w:rPr>
        <w:t>价；当所有</w:t>
      </w:r>
      <w:r>
        <w:rPr>
          <w:rFonts w:hint="eastAsia" w:ascii="宋体" w:hAnsi="宋体" w:eastAsia="宋体" w:cs="宋体"/>
          <w:color w:val="auto"/>
          <w:kern w:val="0"/>
          <w:szCs w:val="21"/>
          <w:highlight w:val="none"/>
          <w:u w:val="none"/>
          <w:lang w:eastAsia="zh-CN"/>
        </w:rPr>
        <w:t>合格的中标候选人</w:t>
      </w:r>
      <w:r>
        <w:rPr>
          <w:rFonts w:hint="eastAsia" w:ascii="宋体" w:hAnsi="宋体" w:eastAsia="宋体" w:cs="宋体"/>
          <w:color w:val="auto"/>
          <w:kern w:val="0"/>
          <w:szCs w:val="21"/>
          <w:highlight w:val="none"/>
          <w:u w:val="none"/>
        </w:rPr>
        <w:t>家数大于等于5家小于10家时，去掉一个最高价和一个最低价后，取剩余所有</w:t>
      </w:r>
      <w:r>
        <w:rPr>
          <w:rFonts w:hint="eastAsia" w:ascii="宋体" w:hAnsi="宋体" w:eastAsia="宋体" w:cs="宋体"/>
          <w:color w:val="auto"/>
          <w:kern w:val="0"/>
          <w:szCs w:val="21"/>
          <w:highlight w:val="none"/>
          <w:u w:val="none"/>
          <w:lang w:val="en-US" w:eastAsia="zh-CN"/>
        </w:rPr>
        <w:t>投标</w:t>
      </w:r>
      <w:r>
        <w:rPr>
          <w:rFonts w:hint="eastAsia" w:ascii="宋体" w:hAnsi="宋体" w:eastAsia="宋体" w:cs="宋体"/>
          <w:color w:val="auto"/>
          <w:kern w:val="0"/>
          <w:szCs w:val="21"/>
          <w:highlight w:val="none"/>
          <w:u w:val="none"/>
        </w:rPr>
        <w:t>报价平均值为</w:t>
      </w:r>
      <w:r>
        <w:rPr>
          <w:rFonts w:hint="eastAsia" w:ascii="宋体" w:hAnsi="宋体" w:eastAsia="宋体" w:cs="宋体"/>
          <w:color w:val="auto"/>
          <w:kern w:val="0"/>
          <w:szCs w:val="21"/>
          <w:highlight w:val="none"/>
          <w:u w:val="none"/>
          <w:lang w:val="en-US" w:eastAsia="zh-CN"/>
        </w:rPr>
        <w:t>评标参考</w:t>
      </w:r>
      <w:r>
        <w:rPr>
          <w:rFonts w:hint="eastAsia" w:ascii="宋体" w:hAnsi="宋体" w:eastAsia="宋体" w:cs="宋体"/>
          <w:color w:val="auto"/>
          <w:kern w:val="0"/>
          <w:szCs w:val="21"/>
          <w:highlight w:val="none"/>
          <w:u w:val="none"/>
        </w:rPr>
        <w:t>价；当所有</w:t>
      </w:r>
      <w:r>
        <w:rPr>
          <w:rFonts w:hint="eastAsia" w:ascii="宋体" w:hAnsi="宋体" w:eastAsia="宋体" w:cs="宋体"/>
          <w:color w:val="auto"/>
          <w:kern w:val="0"/>
          <w:szCs w:val="21"/>
          <w:highlight w:val="none"/>
          <w:u w:val="none"/>
          <w:lang w:eastAsia="zh-CN"/>
        </w:rPr>
        <w:t>合格的中标候选人</w:t>
      </w:r>
      <w:r>
        <w:rPr>
          <w:rFonts w:hint="eastAsia" w:ascii="宋体" w:hAnsi="宋体" w:eastAsia="宋体" w:cs="宋体"/>
          <w:color w:val="auto"/>
          <w:kern w:val="0"/>
          <w:szCs w:val="21"/>
          <w:highlight w:val="none"/>
          <w:u w:val="none"/>
        </w:rPr>
        <w:t>家数大于等于10家时，去掉两个最高价和两个最低价后，取剩余所有</w:t>
      </w:r>
      <w:r>
        <w:rPr>
          <w:rFonts w:hint="eastAsia" w:ascii="宋体" w:hAnsi="宋体" w:eastAsia="宋体" w:cs="宋体"/>
          <w:color w:val="auto"/>
          <w:kern w:val="0"/>
          <w:szCs w:val="21"/>
          <w:highlight w:val="none"/>
          <w:u w:val="none"/>
          <w:lang w:val="en-US" w:eastAsia="zh-CN"/>
        </w:rPr>
        <w:t>投标</w:t>
      </w:r>
      <w:r>
        <w:rPr>
          <w:rFonts w:hint="eastAsia" w:ascii="宋体" w:hAnsi="宋体" w:eastAsia="宋体" w:cs="宋体"/>
          <w:color w:val="auto"/>
          <w:kern w:val="0"/>
          <w:szCs w:val="21"/>
          <w:highlight w:val="none"/>
          <w:u w:val="none"/>
        </w:rPr>
        <w:t>报价平均值为评</w:t>
      </w:r>
      <w:r>
        <w:rPr>
          <w:rFonts w:hint="eastAsia" w:ascii="宋体" w:hAnsi="宋体" w:eastAsia="宋体" w:cs="宋体"/>
          <w:color w:val="auto"/>
          <w:kern w:val="0"/>
          <w:szCs w:val="21"/>
          <w:highlight w:val="none"/>
          <w:u w:val="none"/>
          <w:lang w:val="en-US" w:eastAsia="zh-CN"/>
        </w:rPr>
        <w:t>标参考</w:t>
      </w:r>
      <w:r>
        <w:rPr>
          <w:rFonts w:hint="eastAsia" w:ascii="宋体" w:hAnsi="宋体" w:eastAsia="宋体" w:cs="宋体"/>
          <w:color w:val="auto"/>
          <w:kern w:val="0"/>
          <w:szCs w:val="21"/>
          <w:highlight w:val="none"/>
          <w:u w:val="none"/>
        </w:rPr>
        <w:t>价。按以上方式计算出的评</w:t>
      </w:r>
      <w:r>
        <w:rPr>
          <w:rFonts w:hint="eastAsia" w:ascii="宋体" w:hAnsi="宋体" w:eastAsia="宋体" w:cs="宋体"/>
          <w:color w:val="auto"/>
          <w:kern w:val="0"/>
          <w:szCs w:val="21"/>
          <w:highlight w:val="none"/>
          <w:u w:val="none"/>
          <w:lang w:val="en-US" w:eastAsia="zh-CN"/>
        </w:rPr>
        <w:t>标参考</w:t>
      </w:r>
      <w:r>
        <w:rPr>
          <w:rFonts w:hint="eastAsia" w:ascii="宋体" w:hAnsi="宋体" w:eastAsia="宋体" w:cs="宋体"/>
          <w:color w:val="auto"/>
          <w:kern w:val="0"/>
          <w:szCs w:val="21"/>
          <w:highlight w:val="none"/>
          <w:u w:val="none"/>
        </w:rPr>
        <w:t>价高于最高投标限价的95%时，以最高投标限价的95%作为评</w:t>
      </w:r>
      <w:r>
        <w:rPr>
          <w:rFonts w:hint="eastAsia" w:ascii="宋体" w:hAnsi="宋体" w:eastAsia="宋体" w:cs="宋体"/>
          <w:color w:val="auto"/>
          <w:kern w:val="0"/>
          <w:szCs w:val="21"/>
          <w:highlight w:val="none"/>
          <w:u w:val="none"/>
          <w:lang w:val="en-US" w:eastAsia="zh-CN"/>
        </w:rPr>
        <w:t>标参考</w:t>
      </w:r>
      <w:r>
        <w:rPr>
          <w:rFonts w:hint="eastAsia" w:ascii="宋体" w:hAnsi="宋体" w:eastAsia="宋体" w:cs="宋体"/>
          <w:color w:val="auto"/>
          <w:kern w:val="0"/>
          <w:szCs w:val="21"/>
          <w:highlight w:val="none"/>
          <w:u w:val="none"/>
        </w:rPr>
        <w:t>价。</w:t>
      </w:r>
    </w:p>
    <w:p w14:paraId="2D01537E">
      <w:pPr>
        <w:spacing w:line="312" w:lineRule="auto"/>
        <w:ind w:firstLine="420" w:firstLineChars="200"/>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（1）如果</w:t>
      </w:r>
      <w:r>
        <w:rPr>
          <w:rFonts w:hint="eastAsia" w:ascii="宋体" w:hAnsi="宋体" w:eastAsia="宋体" w:cs="宋体"/>
          <w:color w:val="auto"/>
          <w:kern w:val="0"/>
          <w:szCs w:val="21"/>
          <w:highlight w:val="none"/>
          <w:u w:val="none"/>
          <w:lang w:eastAsia="zh-CN"/>
        </w:rPr>
        <w:t>投标人</w:t>
      </w:r>
      <w:r>
        <w:rPr>
          <w:rFonts w:hint="eastAsia" w:ascii="宋体" w:hAnsi="宋体" w:eastAsia="宋体" w:cs="宋体"/>
          <w:color w:val="auto"/>
          <w:kern w:val="0"/>
          <w:szCs w:val="21"/>
          <w:highlight w:val="none"/>
          <w:u w:val="none"/>
        </w:rPr>
        <w:t>的</w:t>
      </w:r>
      <w:r>
        <w:rPr>
          <w:rFonts w:hint="eastAsia" w:ascii="宋体" w:hAnsi="宋体" w:eastAsia="宋体" w:cs="宋体"/>
          <w:color w:val="auto"/>
          <w:kern w:val="0"/>
          <w:szCs w:val="21"/>
          <w:highlight w:val="none"/>
          <w:u w:val="none"/>
          <w:lang w:val="en-US" w:eastAsia="zh-CN"/>
        </w:rPr>
        <w:t>投标</w:t>
      </w:r>
      <w:r>
        <w:rPr>
          <w:rFonts w:hint="eastAsia" w:ascii="宋体" w:hAnsi="宋体" w:eastAsia="宋体" w:cs="宋体"/>
          <w:color w:val="auto"/>
          <w:kern w:val="0"/>
          <w:szCs w:val="21"/>
          <w:highlight w:val="none"/>
          <w:u w:val="none"/>
        </w:rPr>
        <w:t>报价&gt;评</w:t>
      </w:r>
      <w:r>
        <w:rPr>
          <w:rFonts w:hint="eastAsia" w:ascii="宋体" w:hAnsi="宋体" w:eastAsia="宋体" w:cs="宋体"/>
          <w:color w:val="auto"/>
          <w:kern w:val="0"/>
          <w:szCs w:val="21"/>
          <w:highlight w:val="none"/>
          <w:u w:val="none"/>
          <w:lang w:val="en-US" w:eastAsia="zh-CN"/>
        </w:rPr>
        <w:t>标参考</w:t>
      </w:r>
      <w:r>
        <w:rPr>
          <w:rFonts w:hint="eastAsia" w:ascii="宋体" w:hAnsi="宋体" w:eastAsia="宋体" w:cs="宋体"/>
          <w:color w:val="auto"/>
          <w:kern w:val="0"/>
          <w:szCs w:val="21"/>
          <w:highlight w:val="none"/>
          <w:u w:val="none"/>
        </w:rPr>
        <w:t>价，则报价得分＝20-偏差率×100×1；</w:t>
      </w:r>
    </w:p>
    <w:p w14:paraId="4F542163">
      <w:pPr>
        <w:spacing w:line="312" w:lineRule="auto"/>
        <w:ind w:firstLine="420" w:firstLineChars="200"/>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（2）如果</w:t>
      </w:r>
      <w:r>
        <w:rPr>
          <w:rFonts w:hint="eastAsia" w:ascii="宋体" w:hAnsi="宋体" w:eastAsia="宋体" w:cs="宋体"/>
          <w:color w:val="auto"/>
          <w:kern w:val="0"/>
          <w:szCs w:val="21"/>
          <w:highlight w:val="none"/>
          <w:u w:val="none"/>
          <w:lang w:eastAsia="zh-CN"/>
        </w:rPr>
        <w:t>投标人</w:t>
      </w:r>
      <w:r>
        <w:rPr>
          <w:rFonts w:hint="eastAsia" w:ascii="宋体" w:hAnsi="宋体" w:eastAsia="宋体" w:cs="宋体"/>
          <w:color w:val="auto"/>
          <w:kern w:val="0"/>
          <w:szCs w:val="21"/>
          <w:highlight w:val="none"/>
          <w:u w:val="none"/>
        </w:rPr>
        <w:t>的</w:t>
      </w:r>
      <w:r>
        <w:rPr>
          <w:rFonts w:hint="eastAsia" w:ascii="宋体" w:hAnsi="宋体" w:eastAsia="宋体" w:cs="宋体"/>
          <w:color w:val="auto"/>
          <w:kern w:val="0"/>
          <w:szCs w:val="21"/>
          <w:highlight w:val="none"/>
          <w:u w:val="none"/>
          <w:lang w:val="en-US" w:eastAsia="zh-CN"/>
        </w:rPr>
        <w:t>投标</w:t>
      </w:r>
      <w:r>
        <w:rPr>
          <w:rFonts w:hint="eastAsia" w:ascii="宋体" w:hAnsi="宋体" w:eastAsia="宋体" w:cs="宋体"/>
          <w:color w:val="auto"/>
          <w:kern w:val="0"/>
          <w:szCs w:val="21"/>
          <w:highlight w:val="none"/>
          <w:u w:val="none"/>
        </w:rPr>
        <w:t>报价≤评</w:t>
      </w:r>
      <w:r>
        <w:rPr>
          <w:rFonts w:hint="eastAsia" w:ascii="宋体" w:hAnsi="宋体" w:eastAsia="宋体" w:cs="宋体"/>
          <w:color w:val="auto"/>
          <w:kern w:val="0"/>
          <w:szCs w:val="21"/>
          <w:highlight w:val="none"/>
          <w:u w:val="none"/>
          <w:lang w:val="en-US" w:eastAsia="zh-CN"/>
        </w:rPr>
        <w:t>标参考</w:t>
      </w:r>
      <w:r>
        <w:rPr>
          <w:rFonts w:hint="eastAsia" w:ascii="宋体" w:hAnsi="宋体" w:eastAsia="宋体" w:cs="宋体"/>
          <w:color w:val="auto"/>
          <w:kern w:val="0"/>
          <w:szCs w:val="21"/>
          <w:highlight w:val="none"/>
          <w:u w:val="none"/>
        </w:rPr>
        <w:t>价，则报价得分＝20-偏差率×100×0.5。</w:t>
      </w:r>
    </w:p>
    <w:p w14:paraId="2B8BE622">
      <w:pPr>
        <w:spacing w:line="312" w:lineRule="auto"/>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备注：</w:t>
      </w:r>
    </w:p>
    <w:p w14:paraId="3E0EB071">
      <w:pPr>
        <w:spacing w:line="312" w:lineRule="auto"/>
        <w:ind w:firstLine="420" w:firstLineChars="200"/>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①偏差率=|（</w:t>
      </w:r>
      <w:r>
        <w:rPr>
          <w:rFonts w:hint="eastAsia" w:ascii="宋体" w:hAnsi="宋体" w:eastAsia="宋体" w:cs="宋体"/>
          <w:color w:val="auto"/>
          <w:kern w:val="0"/>
          <w:szCs w:val="21"/>
          <w:highlight w:val="none"/>
          <w:u w:val="none"/>
          <w:lang w:eastAsia="zh-CN"/>
        </w:rPr>
        <w:t>投标人</w:t>
      </w:r>
      <w:r>
        <w:rPr>
          <w:rFonts w:hint="eastAsia" w:ascii="宋体" w:hAnsi="宋体" w:eastAsia="宋体" w:cs="宋体"/>
          <w:color w:val="auto"/>
          <w:kern w:val="0"/>
          <w:szCs w:val="21"/>
          <w:highlight w:val="none"/>
          <w:u w:val="none"/>
          <w:lang w:val="en-US" w:eastAsia="zh-CN"/>
        </w:rPr>
        <w:t>投标</w:t>
      </w:r>
      <w:r>
        <w:rPr>
          <w:rFonts w:hint="eastAsia" w:ascii="宋体" w:hAnsi="宋体" w:eastAsia="宋体" w:cs="宋体"/>
          <w:color w:val="auto"/>
          <w:kern w:val="0"/>
          <w:szCs w:val="21"/>
          <w:highlight w:val="none"/>
          <w:u w:val="none"/>
        </w:rPr>
        <w:t>报价-</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|（取绝对值），偏差率保留2位小数。</w:t>
      </w:r>
    </w:p>
    <w:p w14:paraId="2BF9CCA4">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kern w:val="0"/>
          <w:szCs w:val="21"/>
          <w:highlight w:val="none"/>
          <w:u w:val="none"/>
          <w:lang w:eastAsia="zh-CN"/>
        </w:rPr>
        <w:t>②</w:t>
      </w:r>
      <w:r>
        <w:rPr>
          <w:rFonts w:hint="eastAsia" w:ascii="宋体" w:hAnsi="宋体" w:eastAsia="宋体" w:cs="宋体"/>
          <w:color w:val="auto"/>
          <w:kern w:val="0"/>
          <w:szCs w:val="21"/>
          <w:highlight w:val="none"/>
          <w:u w:val="none"/>
        </w:rPr>
        <w:t>按上述公式计算的得分小于0时，按0分计算</w:t>
      </w:r>
      <w:r>
        <w:rPr>
          <w:rFonts w:hint="eastAsia" w:ascii="宋体" w:hAnsi="宋体" w:cs="宋体"/>
          <w:color w:val="auto"/>
          <w:szCs w:val="21"/>
          <w:highlight w:val="none"/>
          <w:u w:val="single"/>
        </w:rPr>
        <w:t>。</w:t>
      </w:r>
    </w:p>
    <w:p w14:paraId="7CBB534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 46.1           修改类型：修改</w:t>
      </w:r>
    </w:p>
    <w:p w14:paraId="5C22858E">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B230380">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46.1经济标的有效性审查：</w:t>
      </w:r>
      <w:r>
        <w:rPr>
          <w:rFonts w:hint="eastAsia" w:ascii="宋体" w:hAnsi="宋体" w:cs="宋体"/>
          <w:color w:val="auto"/>
          <w:szCs w:val="21"/>
          <w:highlight w:val="none"/>
          <w:u w:val="single"/>
        </w:rPr>
        <w:t>对投标文件进行经济标有效性审查，</w:t>
      </w:r>
      <w:r>
        <w:rPr>
          <w:rFonts w:hint="eastAsia" w:ascii="宋体" w:hAnsi="宋体" w:cs="宋体"/>
          <w:color w:val="auto"/>
          <w:szCs w:val="21"/>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AECA79C">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条款号：4</w:t>
      </w:r>
      <w:r>
        <w:rPr>
          <w:rFonts w:hint="eastAsia" w:ascii="宋体" w:hAnsi="宋体"/>
          <w:b/>
          <w:color w:val="auto"/>
          <w:szCs w:val="21"/>
          <w:highlight w:val="none"/>
          <w:lang w:val="en-US" w:eastAsia="zh-CN"/>
        </w:rPr>
        <w:t>7</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20B6FC0B">
      <w:pPr>
        <w:spacing w:line="360" w:lineRule="auto"/>
        <w:ind w:firstLine="420" w:firstLine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424F7F37">
      <w:pPr>
        <w:pStyle w:val="20"/>
        <w:pBdr>
          <w:bottom w:val="single" w:color="auto" w:sz="4" w:space="0"/>
        </w:pBdr>
        <w:ind w:left="0" w:leftChars="0" w:firstLine="420" w:firstLineChars="200"/>
        <w:rPr>
          <w:rFonts w:hint="eastAsia" w:ascii="宋体" w:hAnsi="宋体" w:eastAsia="宋体" w:cs="Times New Roman"/>
          <w:color w:val="auto"/>
          <w:sz w:val="21"/>
          <w:szCs w:val="21"/>
          <w:highlight w:val="none"/>
          <w:lang w:val="en-US" w:eastAsia="zh-CN"/>
        </w:rPr>
      </w:pPr>
      <w:r>
        <w:rPr>
          <w:rFonts w:hint="eastAsia" w:ascii="宋体" w:hAnsi="宋体"/>
          <w:color w:val="auto"/>
          <w:sz w:val="21"/>
          <w:szCs w:val="21"/>
          <w:highlight w:val="none"/>
          <w:lang w:val="en-US" w:eastAsia="zh-CN"/>
        </w:rPr>
        <w:t>现文：47</w:t>
      </w:r>
      <w:r>
        <w:rPr>
          <w:rFonts w:hint="eastAsia" w:ascii="宋体" w:hAnsi="宋体" w:eastAsia="宋体" w:cs="Times New Roman"/>
          <w:bCs w:val="0"/>
          <w:color w:val="auto"/>
          <w:sz w:val="21"/>
          <w:szCs w:val="21"/>
          <w:highlight w:val="none"/>
        </w:rPr>
        <w:t>评标委员会按只有通过有效性审查的投标人的投标文件方可进入下一阶段评审的评审原则，根据有效性审查结果，</w:t>
      </w:r>
      <w:r>
        <w:rPr>
          <w:rFonts w:hint="eastAsia" w:ascii="宋体" w:hAnsi="宋体" w:eastAsia="宋体" w:cs="Times New Roman"/>
          <w:bCs w:val="0"/>
          <w:color w:val="auto"/>
          <w:sz w:val="21"/>
          <w:szCs w:val="21"/>
          <w:highlight w:val="none"/>
          <w:u w:val="none"/>
        </w:rPr>
        <w:t>取消被否决投标的投标人，直至经济标有效性审查结束。</w:t>
      </w:r>
    </w:p>
    <w:p w14:paraId="2F3A99FF">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条款号：4</w:t>
      </w:r>
      <w:r>
        <w:rPr>
          <w:rFonts w:hint="eastAsia" w:ascii="宋体" w:hAnsi="宋体"/>
          <w:b/>
          <w:color w:val="auto"/>
          <w:szCs w:val="21"/>
          <w:highlight w:val="none"/>
          <w:lang w:val="en-US" w:eastAsia="zh-CN"/>
        </w:rPr>
        <w:t>8</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070E0582">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原文：</w:t>
      </w:r>
      <w:r>
        <w:rPr>
          <w:rFonts w:ascii="宋体" w:hAnsi="宋体"/>
          <w:color w:val="auto"/>
          <w:sz w:val="21"/>
          <w:szCs w:val="21"/>
          <w:highlight w:val="none"/>
        </w:rPr>
        <w:t>4</w:t>
      </w:r>
      <w:r>
        <w:rPr>
          <w:rFonts w:hint="eastAsia" w:ascii="宋体" w:hAnsi="宋体"/>
          <w:color w:val="auto"/>
          <w:sz w:val="21"/>
          <w:szCs w:val="21"/>
          <w:highlight w:val="none"/>
        </w:rPr>
        <w:t>8.评标委员会应在通过投标文件经济标有效性审查的投标人中，按步骤45.4确定的投标人第二阶段排序，推荐前</w:t>
      </w:r>
      <w:r>
        <w:rPr>
          <w:rFonts w:ascii="宋体" w:hAnsi="宋体"/>
          <w:color w:val="auto"/>
          <w:sz w:val="21"/>
          <w:szCs w:val="21"/>
          <w:highlight w:val="none"/>
        </w:rPr>
        <w:t>3</w:t>
      </w:r>
      <w:r>
        <w:rPr>
          <w:rFonts w:hint="eastAsia" w:ascii="宋体" w:hAnsi="宋体"/>
          <w:color w:val="auto"/>
          <w:sz w:val="21"/>
          <w:szCs w:val="21"/>
          <w:highlight w:val="none"/>
        </w:rPr>
        <w:t>名依次为第一中标候选人至第三中标候选人，并编制评标报告。</w:t>
      </w:r>
    </w:p>
    <w:p w14:paraId="734632CB">
      <w:pPr>
        <w:pBdr>
          <w:bottom w:val="single" w:color="auto" w:sz="4" w:space="0"/>
        </w:pBdr>
        <w:spacing w:line="360" w:lineRule="auto"/>
        <w:ind w:firstLine="420" w:firstLineChars="200"/>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现文：48.</w:t>
      </w:r>
      <w:r>
        <w:rPr>
          <w:rFonts w:hint="eastAsia" w:ascii="宋体" w:hAnsi="宋体"/>
          <w:color w:val="auto"/>
          <w:sz w:val="21"/>
          <w:szCs w:val="21"/>
          <w:highlight w:val="none"/>
        </w:rPr>
        <w:t>评标委员会</w:t>
      </w:r>
      <w:r>
        <w:rPr>
          <w:rFonts w:hint="eastAsia" w:ascii="宋体" w:hAnsi="宋体"/>
          <w:color w:val="auto"/>
          <w:sz w:val="21"/>
          <w:szCs w:val="21"/>
          <w:highlight w:val="none"/>
          <w:lang w:val="en-US" w:eastAsia="zh-CN"/>
        </w:rPr>
        <w:t>按照招标文件规定，在通过资格审查、技术标有效性审核、经济标有效性审核（包括算术复核)</w:t>
      </w:r>
      <w:r>
        <w:rPr>
          <w:rFonts w:hint="eastAsia" w:ascii="宋体" w:hAnsi="宋体"/>
          <w:color w:val="auto"/>
          <w:sz w:val="21"/>
          <w:szCs w:val="21"/>
          <w:highlight w:val="none"/>
        </w:rPr>
        <w:t>的投标人中，</w:t>
      </w:r>
      <w:r>
        <w:rPr>
          <w:rFonts w:hint="eastAsia" w:ascii="宋体" w:hAnsi="宋体"/>
          <w:color w:val="auto"/>
          <w:sz w:val="21"/>
          <w:szCs w:val="21"/>
          <w:highlight w:val="none"/>
          <w:lang w:val="en-US" w:eastAsia="zh-CN"/>
        </w:rPr>
        <w:t>按投标须知前附表第19项规定推荐合格的中标候选人进入定标阶段，并编制评标报告。</w:t>
      </w:r>
    </w:p>
    <w:p w14:paraId="26CE0187">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条款号：49</w:t>
      </w:r>
      <w:r>
        <w:rPr>
          <w:rFonts w:ascii="宋体" w:hAnsi="宋体"/>
          <w:b/>
          <w:color w:val="auto"/>
          <w:szCs w:val="21"/>
          <w:highlight w:val="none"/>
        </w:rPr>
        <w:t xml:space="preserve">             </w:t>
      </w:r>
      <w:r>
        <w:rPr>
          <w:rFonts w:hint="eastAsia" w:ascii="宋体" w:hAnsi="宋体"/>
          <w:b/>
          <w:color w:val="auto"/>
          <w:szCs w:val="21"/>
          <w:highlight w:val="none"/>
        </w:rPr>
        <w:t>修改类型：修改</w:t>
      </w:r>
    </w:p>
    <w:p w14:paraId="74AC5795">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49若通过经济标有效性审查的投标人不足三家，应当依法重新招标。（当N个标段同时招标且不允许兼中时，若有效投标人不足N+2家，应当依法重新招标）</w:t>
      </w:r>
    </w:p>
    <w:p w14:paraId="5E915A09">
      <w:pPr>
        <w:pBdr>
          <w:bottom w:val="single" w:color="auto" w:sz="6" w:space="1"/>
        </w:pBd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49 若通过经济标有效性审查的投标人不足三家，应当依法重新招标。</w:t>
      </w:r>
    </w:p>
    <w:p w14:paraId="6F3665CA">
      <w:pPr>
        <w:spacing w:line="360" w:lineRule="auto"/>
        <w:ind w:firstLine="472" w:firstLineChars="224"/>
        <w:rPr>
          <w:rFonts w:ascii="宋体" w:hAnsi="宋体" w:cs="宋体"/>
          <w:b/>
          <w:color w:val="auto"/>
          <w:szCs w:val="21"/>
          <w:highlight w:val="none"/>
        </w:rPr>
      </w:pPr>
      <w:r>
        <w:rPr>
          <w:rFonts w:hint="eastAsia" w:ascii="宋体" w:hAnsi="宋体"/>
          <w:b/>
          <w:color w:val="auto"/>
          <w:szCs w:val="21"/>
          <w:highlight w:val="none"/>
        </w:rPr>
        <w:t>条款号：</w:t>
      </w:r>
      <w:r>
        <w:rPr>
          <w:rFonts w:hint="eastAsia"/>
          <w:b/>
          <w:color w:val="auto"/>
          <w:szCs w:val="21"/>
          <w:highlight w:val="none"/>
          <w:lang w:val="en-US" w:eastAsia="zh-CN"/>
        </w:rPr>
        <w:t>50</w:t>
      </w:r>
      <w:r>
        <w:rPr>
          <w:rFonts w:hint="eastAsia" w:ascii="宋体" w:hAnsi="宋体"/>
          <w:b/>
          <w:color w:val="auto"/>
          <w:szCs w:val="21"/>
          <w:highlight w:val="none"/>
        </w:rPr>
        <w:t xml:space="preserve"> </w:t>
      </w:r>
      <w:r>
        <w:rPr>
          <w:rFonts w:hint="eastAsia" w:ascii="宋体" w:hAnsi="宋体" w:cs="宋体"/>
          <w:bCs/>
          <w:color w:val="auto"/>
          <w:szCs w:val="21"/>
          <w:highlight w:val="none"/>
        </w:rPr>
        <w:t xml:space="preserve"> </w:t>
      </w:r>
      <w:r>
        <w:rPr>
          <w:rFonts w:hint="eastAsia" w:ascii="宋体" w:hAnsi="宋体" w:cs="宋体"/>
          <w:color w:val="auto"/>
          <w:szCs w:val="21"/>
          <w:highlight w:val="none"/>
        </w:rPr>
        <w:t xml:space="preserve">             </w:t>
      </w:r>
      <w:r>
        <w:rPr>
          <w:rFonts w:hint="eastAsia" w:ascii="宋体" w:hAnsi="宋体" w:cs="宋体"/>
          <w:b/>
          <w:color w:val="auto"/>
          <w:szCs w:val="21"/>
          <w:highlight w:val="none"/>
        </w:rPr>
        <w:t>修改类型：增加</w:t>
      </w:r>
    </w:p>
    <w:p w14:paraId="50594FB7">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cs="宋体"/>
          <w:b/>
          <w:color w:val="auto"/>
          <w:szCs w:val="21"/>
          <w:highlight w:val="none"/>
          <w:lang w:val="en-US" w:eastAsia="zh-CN"/>
        </w:rPr>
        <w:t>50</w:t>
      </w:r>
      <w:r>
        <w:rPr>
          <w:rFonts w:hint="eastAsia" w:ascii="宋体" w:hAnsi="宋体" w:cs="宋体"/>
          <w:b/>
          <w:color w:val="auto"/>
          <w:szCs w:val="21"/>
          <w:highlight w:val="none"/>
        </w:rPr>
        <w:t>.定标</w:t>
      </w:r>
    </w:p>
    <w:p w14:paraId="763BF153">
      <w:pPr>
        <w:spacing w:line="360" w:lineRule="exact"/>
        <w:ind w:firstLine="420" w:firstLineChars="200"/>
        <w:rPr>
          <w:rFonts w:hint="eastAsia" w:ascii="宋体" w:hAnsi="宋体" w:eastAsia="宋体" w:cs="宋体"/>
          <w:color w:val="auto"/>
          <w:szCs w:val="21"/>
          <w:highlight w:val="none"/>
          <w:u w:val="single"/>
        </w:rPr>
      </w:pPr>
    </w:p>
    <w:p w14:paraId="28DEB515">
      <w:pPr>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50</w:t>
      </w:r>
      <w:r>
        <w:rPr>
          <w:rFonts w:hint="eastAsia" w:ascii="宋体" w:hAnsi="宋体" w:eastAsia="宋体" w:cs="宋体"/>
          <w:color w:val="auto"/>
          <w:szCs w:val="21"/>
          <w:highlight w:val="none"/>
          <w:u w:val="single"/>
        </w:rPr>
        <w:t>.1本项目定标办法采用“</w:t>
      </w:r>
      <w:r>
        <w:rPr>
          <w:rFonts w:hint="eastAsia" w:ascii="宋体" w:hAnsi="宋体" w:eastAsia="宋体" w:cs="宋体"/>
          <w:color w:val="auto"/>
          <w:szCs w:val="21"/>
          <w:highlight w:val="none"/>
          <w:u w:val="single"/>
          <w:lang w:eastAsia="zh-CN"/>
        </w:rPr>
        <w:t>评分法</w:t>
      </w:r>
      <w:r>
        <w:rPr>
          <w:rFonts w:hint="eastAsia" w:ascii="宋体" w:hAnsi="宋体" w:eastAsia="宋体" w:cs="宋体"/>
          <w:color w:val="auto"/>
          <w:szCs w:val="21"/>
          <w:highlight w:val="none"/>
          <w:u w:val="single"/>
        </w:rPr>
        <w:t>”。定标委员会成员根据评标过程资料，对比合格的中标候选人的投标文件等情况，综合考虑各中标候选人的情况，根据定标因素（详见《定标因素表》）对各合格的中标候选人进行</w:t>
      </w:r>
      <w:r>
        <w:rPr>
          <w:rFonts w:hint="eastAsia" w:ascii="宋体" w:hAnsi="宋体" w:eastAsia="宋体" w:cs="宋体"/>
          <w:color w:val="auto"/>
          <w:szCs w:val="21"/>
          <w:highlight w:val="none"/>
          <w:u w:val="single"/>
          <w:lang w:eastAsia="zh-CN"/>
        </w:rPr>
        <w:t>评分汇总</w:t>
      </w:r>
      <w:r>
        <w:rPr>
          <w:rFonts w:hint="eastAsia" w:ascii="宋体" w:hAnsi="宋体" w:eastAsia="宋体" w:cs="宋体"/>
          <w:color w:val="auto"/>
          <w:szCs w:val="21"/>
          <w:highlight w:val="none"/>
          <w:u w:val="single"/>
        </w:rPr>
        <w:t>后，确定</w:t>
      </w:r>
      <w:r>
        <w:rPr>
          <w:rFonts w:hint="eastAsia" w:ascii="宋体" w:hAnsi="宋体" w:eastAsia="宋体" w:cs="宋体"/>
          <w:color w:val="auto"/>
          <w:szCs w:val="21"/>
          <w:highlight w:val="none"/>
          <w:u w:val="single"/>
          <w:lang w:eastAsia="zh-CN"/>
        </w:rPr>
        <w:t>得分总高</w:t>
      </w:r>
      <w:r>
        <w:rPr>
          <w:rFonts w:hint="eastAsia" w:ascii="宋体" w:hAnsi="宋体" w:eastAsia="宋体" w:cs="宋体"/>
          <w:color w:val="auto"/>
          <w:kern w:val="2"/>
          <w:sz w:val="21"/>
          <w:szCs w:val="21"/>
          <w:highlight w:val="none"/>
          <w:u w:val="single"/>
          <w:shd w:val="clear" w:color="auto" w:fill="auto"/>
        </w:rPr>
        <w:t>合格</w:t>
      </w:r>
      <w:r>
        <w:rPr>
          <w:rFonts w:hint="eastAsia" w:ascii="宋体" w:hAnsi="宋体" w:eastAsia="宋体" w:cs="宋体"/>
          <w:color w:val="auto"/>
          <w:szCs w:val="21"/>
          <w:highlight w:val="none"/>
          <w:u w:val="single"/>
        </w:rPr>
        <w:t>的</w:t>
      </w:r>
      <w:r>
        <w:rPr>
          <w:rFonts w:hint="eastAsia" w:ascii="宋体" w:hAnsi="宋体" w:eastAsia="宋体" w:cs="宋体"/>
          <w:color w:val="auto"/>
          <w:kern w:val="2"/>
          <w:sz w:val="21"/>
          <w:szCs w:val="21"/>
          <w:highlight w:val="none"/>
          <w:u w:val="single"/>
          <w:shd w:val="clear" w:color="auto" w:fill="auto"/>
        </w:rPr>
        <w:t>中标候选人</w:t>
      </w:r>
      <w:r>
        <w:rPr>
          <w:rFonts w:hint="eastAsia" w:ascii="宋体" w:hAnsi="宋体" w:eastAsia="宋体" w:cs="宋体"/>
          <w:color w:val="auto"/>
          <w:kern w:val="2"/>
          <w:sz w:val="21"/>
          <w:szCs w:val="21"/>
          <w:highlight w:val="none"/>
          <w:u w:val="single"/>
          <w:shd w:val="clear" w:color="auto" w:fill="auto"/>
          <w:lang w:eastAsia="zh-CN"/>
        </w:rPr>
        <w:t>为</w:t>
      </w:r>
      <w:r>
        <w:rPr>
          <w:rFonts w:hint="eastAsia" w:ascii="宋体" w:hAnsi="宋体" w:eastAsia="宋体" w:cs="宋体"/>
          <w:color w:val="auto"/>
          <w:szCs w:val="21"/>
          <w:highlight w:val="none"/>
          <w:u w:val="single"/>
        </w:rPr>
        <w:t>中标人。</w:t>
      </w:r>
    </w:p>
    <w:p w14:paraId="19DB3D2E">
      <w:pPr>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50</w:t>
      </w:r>
      <w:r>
        <w:rPr>
          <w:rFonts w:hint="eastAsia" w:ascii="宋体" w:hAnsi="宋体" w:eastAsia="宋体" w:cs="宋体"/>
          <w:color w:val="auto"/>
          <w:szCs w:val="21"/>
          <w:highlight w:val="none"/>
          <w:u w:val="single"/>
        </w:rPr>
        <w:t>.2定标细则</w:t>
      </w:r>
    </w:p>
    <w:p w14:paraId="067AE440">
      <w:pPr>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定标工作开始后，定标委员会应推荐一人为定标委员会组长，主持当次定标会议。</w:t>
      </w:r>
    </w:p>
    <w:p w14:paraId="6697AA9C">
      <w:pPr>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定标辅助资料为评标阶段的评标报告、投标人提交的投标文件（含评标部分文件和定标部分文件）。</w:t>
      </w:r>
    </w:p>
    <w:p w14:paraId="1F71C1B0">
      <w:pPr>
        <w:spacing w:line="36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定标委员会根据定标辅助资料，</w:t>
      </w:r>
      <w:r>
        <w:rPr>
          <w:rFonts w:hint="eastAsia" w:ascii="宋体" w:hAnsi="宋体" w:eastAsia="宋体" w:cs="宋体"/>
          <w:color w:val="auto"/>
          <w:szCs w:val="21"/>
          <w:highlight w:val="none"/>
          <w:u w:val="single"/>
          <w:lang w:eastAsia="zh-CN"/>
        </w:rPr>
        <w:t>按</w:t>
      </w:r>
      <w:r>
        <w:rPr>
          <w:rFonts w:hint="eastAsia" w:ascii="宋体" w:hAnsi="宋体" w:eastAsia="宋体" w:cs="宋体"/>
          <w:color w:val="auto"/>
          <w:szCs w:val="21"/>
          <w:highlight w:val="none"/>
          <w:u w:val="single"/>
        </w:rPr>
        <w:t>《定标因素表》</w:t>
      </w:r>
      <w:r>
        <w:rPr>
          <w:rFonts w:hint="eastAsia" w:ascii="宋体" w:hAnsi="宋体" w:eastAsia="宋体" w:cs="宋体"/>
          <w:color w:val="auto"/>
          <w:szCs w:val="21"/>
          <w:highlight w:val="none"/>
          <w:u w:val="single"/>
          <w:lang w:eastAsia="zh-CN"/>
        </w:rPr>
        <w:t>进行评分。</w:t>
      </w:r>
    </w:p>
    <w:p w14:paraId="22DEDC75">
      <w:pPr>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将所有定标委员会成员对同一投标人的评分进行相加，计算算术平均值，保留两位小数，第三位小数四舍五入。按总得分由高至低</w:t>
      </w:r>
      <w:r>
        <w:rPr>
          <w:rFonts w:hint="eastAsia" w:ascii="宋体" w:hAnsi="宋体" w:eastAsia="宋体" w:cs="宋体"/>
          <w:color w:val="auto"/>
          <w:szCs w:val="21"/>
          <w:highlight w:val="none"/>
          <w:u w:val="single"/>
          <w:lang w:eastAsia="zh-CN"/>
        </w:rPr>
        <w:t>进行</w:t>
      </w:r>
      <w:r>
        <w:rPr>
          <w:rFonts w:hint="eastAsia" w:ascii="宋体" w:hAnsi="宋体" w:eastAsia="宋体" w:cs="宋体"/>
          <w:color w:val="auto"/>
          <w:szCs w:val="21"/>
          <w:highlight w:val="none"/>
          <w:u w:val="single"/>
        </w:rPr>
        <w:t>排序，总得分最高的为中标人。</w:t>
      </w:r>
    </w:p>
    <w:p w14:paraId="002E4BE0">
      <w:pPr>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注：若合格的中标候选人总得分相同且影响定标排序的，以投标报价较低者排前，若投标报价相同的，由定标委员会记名投票确定排序。</w:t>
      </w:r>
    </w:p>
    <w:p w14:paraId="252CCE06">
      <w:pPr>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定标委员会根据评分情况向招标人</w:t>
      </w:r>
      <w:r>
        <w:rPr>
          <w:rFonts w:hint="eastAsia" w:ascii="宋体" w:hAnsi="宋体" w:eastAsia="宋体" w:cs="宋体"/>
          <w:color w:val="auto"/>
          <w:szCs w:val="21"/>
          <w:highlight w:val="none"/>
          <w:u w:val="single"/>
          <w:lang w:eastAsia="zh-CN"/>
        </w:rPr>
        <w:t>出具定标报告并</w:t>
      </w:r>
      <w:r>
        <w:rPr>
          <w:rFonts w:hint="eastAsia" w:ascii="宋体" w:hAnsi="宋体" w:eastAsia="宋体" w:cs="宋体"/>
          <w:color w:val="auto"/>
          <w:szCs w:val="21"/>
          <w:highlight w:val="none"/>
          <w:u w:val="single"/>
        </w:rPr>
        <w:t>推荐中标人。</w:t>
      </w:r>
    </w:p>
    <w:p w14:paraId="3C37A324">
      <w:pPr>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）定标委员会向招标人提交书面定标报告后即解散，定标过程中使用的文件、表格以及其他资料不得私自带离。</w:t>
      </w:r>
    </w:p>
    <w:p w14:paraId="5A22BA49">
      <w:pPr>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50</w:t>
      </w:r>
      <w:r>
        <w:rPr>
          <w:rFonts w:hint="eastAsia" w:ascii="宋体" w:hAnsi="宋体" w:eastAsia="宋体" w:cs="宋体"/>
          <w:color w:val="auto"/>
          <w:szCs w:val="21"/>
          <w:highlight w:val="none"/>
          <w:u w:val="single"/>
        </w:rPr>
        <w:t>.3定标后出现中标人不符合法定情形的，招标人可从其他合格的中标候选人中采用原定标办法，由原定标委员会确定中标人，也可以重新招标。</w:t>
      </w:r>
    </w:p>
    <w:p w14:paraId="52DB71BF">
      <w:pPr>
        <w:spacing w:line="36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因质疑或投诉生效，需要重新评标或定标的，评标、定标信息（含业绩、奖项等）仍以投标截止时投标人的信息为准。因特殊原因需要延长投标有效期，投标人拒绝延长投标有效期的，仍参与评标、定标，但不被推荐为中标人。</w:t>
      </w:r>
    </w:p>
    <w:p w14:paraId="570AA58F">
      <w:pPr>
        <w:pBdr>
          <w:bottom w:val="single" w:color="auto" w:sz="4" w:space="0"/>
        </w:pBdr>
        <w:spacing w:line="360" w:lineRule="auto"/>
        <w:ind w:firstLine="420" w:firstLineChars="200"/>
        <w:rPr>
          <w:rFonts w:hint="eastAsia" w:ascii="宋体" w:hAnsi="宋体" w:cs="宋体"/>
          <w:b/>
          <w:color w:val="auto"/>
          <w:szCs w:val="21"/>
          <w:highlight w:val="none"/>
        </w:rPr>
      </w:pPr>
      <w:r>
        <w:rPr>
          <w:rFonts w:hint="eastAsia" w:ascii="宋体" w:hAnsi="宋体" w:eastAsia="宋体" w:cs="宋体"/>
          <w:color w:val="auto"/>
          <w:szCs w:val="21"/>
          <w:highlight w:val="none"/>
          <w:u w:val="single"/>
        </w:rPr>
        <w:t>投标人如在本项目中存在串通投标、弄虚作假、行贿情形且在评标过程中未被发现的，其投标不改变本项目评标结果。招标人按照《中华人民共和国招标投标法实施条例》第五十五条的规定确定中标人或重新招标</w:t>
      </w:r>
    </w:p>
    <w:p w14:paraId="552F1229">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条款号：附表一 《资格审查表》            </w:t>
      </w:r>
      <w:r>
        <w:rPr>
          <w:rFonts w:ascii="宋体" w:hAnsi="宋体" w:cs="宋体"/>
          <w:b/>
          <w:color w:val="auto"/>
          <w:szCs w:val="21"/>
          <w:highlight w:val="none"/>
        </w:rPr>
        <w:t xml:space="preserve"> </w:t>
      </w:r>
      <w:r>
        <w:rPr>
          <w:rFonts w:hint="eastAsia" w:ascii="宋体" w:hAnsi="宋体" w:cs="宋体"/>
          <w:b/>
          <w:color w:val="auto"/>
          <w:szCs w:val="21"/>
          <w:highlight w:val="none"/>
        </w:rPr>
        <w:t>修改类型：修改</w:t>
      </w:r>
    </w:p>
    <w:p w14:paraId="728E8EC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14:paraId="592D84A6">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见后附（现文：附表一《资格审查表》）</w:t>
      </w:r>
    </w:p>
    <w:p w14:paraId="1279169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条款号：附表二 《技术标有效性审查表》     修改类型：修改</w:t>
      </w:r>
    </w:p>
    <w:p w14:paraId="33C82CFF">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14:paraId="0ED5B1F5">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见后附（现文：附表二《技术标有效性审查表》）</w:t>
      </w:r>
    </w:p>
    <w:p w14:paraId="6F0A7E1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条款号：附表三 《经济标有效性审查表》     修改类型：修改</w:t>
      </w:r>
    </w:p>
    <w:p w14:paraId="488AB14C">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14:paraId="56EF4C21">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见后附（现文：附表三《经济标有效性审查表》）</w:t>
      </w:r>
    </w:p>
    <w:p w14:paraId="30A965D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条款号：附表四《技术标详细审查评分表》    修改类型：修改</w:t>
      </w:r>
    </w:p>
    <w:p w14:paraId="042F73F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见范本</w:t>
      </w:r>
    </w:p>
    <w:p w14:paraId="6B365026">
      <w:pPr>
        <w:pBdr>
          <w:bottom w:val="single" w:color="auto" w:sz="6" w:space="1"/>
        </w:pBd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见后附（现文：附表四《</w:t>
      </w:r>
      <w:r>
        <w:rPr>
          <w:rFonts w:hint="eastAsia" w:cs="宋体"/>
          <w:color w:val="auto"/>
          <w:szCs w:val="21"/>
          <w:highlight w:val="none"/>
          <w:lang w:val="en-US" w:eastAsia="zh-CN"/>
        </w:rPr>
        <w:t>定标因素表</w:t>
      </w:r>
      <w:r>
        <w:rPr>
          <w:rFonts w:hint="eastAsia" w:ascii="宋体" w:hAnsi="宋体" w:cs="宋体"/>
          <w:color w:val="auto"/>
          <w:szCs w:val="21"/>
          <w:highlight w:val="none"/>
        </w:rPr>
        <w:t>》）</w:t>
      </w:r>
    </w:p>
    <w:p w14:paraId="2167CAE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14:paraId="1C9B9420">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（以下无正文）</w:t>
      </w:r>
    </w:p>
    <w:p w14:paraId="4E675805">
      <w:pPr>
        <w:spacing w:line="240" w:lineRule="auto"/>
        <w:ind w:firstLine="0" w:firstLineChars="0"/>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4CB94677">
      <w:pPr>
        <w:spacing w:line="360" w:lineRule="auto"/>
        <w:ind w:firstLine="422" w:firstLineChars="200"/>
        <w:jc w:val="center"/>
        <w:rPr>
          <w:b/>
          <w:bCs/>
          <w:color w:val="auto"/>
          <w:sz w:val="21"/>
          <w:szCs w:val="21"/>
          <w:highlight w:val="none"/>
        </w:rPr>
      </w:pPr>
      <w:r>
        <w:rPr>
          <w:rFonts w:hint="eastAsia"/>
          <w:b/>
          <w:bCs/>
          <w:color w:val="auto"/>
          <w:sz w:val="21"/>
          <w:szCs w:val="21"/>
          <w:highlight w:val="none"/>
        </w:rPr>
        <w:t>二、开标、评标及定标办法通用条款</w:t>
      </w:r>
    </w:p>
    <w:p w14:paraId="708A3EF4">
      <w:pPr>
        <w:pStyle w:val="5"/>
        <w:spacing w:before="156" w:after="156"/>
        <w:ind w:firstLine="420" w:firstLineChars="200"/>
        <w:rPr>
          <w:color w:val="auto"/>
          <w:sz w:val="21"/>
          <w:szCs w:val="21"/>
          <w:highlight w:val="none"/>
        </w:rPr>
      </w:pPr>
      <w:bookmarkStart w:id="17" w:name="_Toc21050"/>
      <w:r>
        <w:rPr>
          <w:rFonts w:hint="eastAsia"/>
          <w:color w:val="auto"/>
          <w:sz w:val="21"/>
          <w:szCs w:val="21"/>
          <w:highlight w:val="none"/>
        </w:rPr>
        <w:t>（一）总则</w:t>
      </w:r>
      <w:bookmarkEnd w:id="17"/>
    </w:p>
    <w:p w14:paraId="233352AC">
      <w:pPr>
        <w:spacing w:line="360" w:lineRule="auto"/>
        <w:ind w:firstLine="420" w:firstLineChars="200"/>
        <w:rPr>
          <w:rFonts w:hint="eastAsia"/>
          <w:color w:val="auto"/>
          <w:sz w:val="21"/>
          <w:szCs w:val="21"/>
          <w:highlight w:val="none"/>
        </w:rPr>
      </w:pPr>
      <w:r>
        <w:rPr>
          <w:rFonts w:hint="eastAsia"/>
          <w:color w:val="auto"/>
          <w:sz w:val="21"/>
          <w:szCs w:val="21"/>
          <w:highlight w:val="none"/>
        </w:rPr>
        <w:t>35.1《中华人民共和国招标投标法》；</w:t>
      </w:r>
    </w:p>
    <w:p w14:paraId="555603A5">
      <w:pPr>
        <w:spacing w:line="360" w:lineRule="auto"/>
        <w:ind w:firstLine="420" w:firstLineChars="200"/>
        <w:rPr>
          <w:rFonts w:hint="eastAsia"/>
          <w:color w:val="auto"/>
          <w:sz w:val="21"/>
          <w:szCs w:val="21"/>
          <w:highlight w:val="none"/>
        </w:rPr>
      </w:pPr>
      <w:r>
        <w:rPr>
          <w:rFonts w:hint="eastAsia"/>
          <w:color w:val="auto"/>
          <w:sz w:val="21"/>
          <w:szCs w:val="21"/>
          <w:highlight w:val="none"/>
        </w:rPr>
        <w:t>35.2《中华人民共和国招标投标法实施条例》；</w:t>
      </w:r>
    </w:p>
    <w:p w14:paraId="3CA6BD77">
      <w:pPr>
        <w:spacing w:line="360" w:lineRule="auto"/>
        <w:ind w:firstLine="420" w:firstLineChars="200"/>
        <w:rPr>
          <w:rFonts w:hint="eastAsia"/>
          <w:color w:val="auto"/>
          <w:sz w:val="21"/>
          <w:szCs w:val="21"/>
          <w:highlight w:val="none"/>
        </w:rPr>
      </w:pPr>
      <w:r>
        <w:rPr>
          <w:rFonts w:hint="eastAsia"/>
          <w:color w:val="auto"/>
          <w:sz w:val="21"/>
          <w:szCs w:val="21"/>
          <w:highlight w:val="none"/>
        </w:rPr>
        <w:t>35.3《评标委员会和评标方法暂行规定》（七部委第12号令）</w:t>
      </w:r>
    </w:p>
    <w:p w14:paraId="47C14337">
      <w:pPr>
        <w:spacing w:line="360" w:lineRule="auto"/>
        <w:ind w:firstLine="420" w:firstLineChars="200"/>
        <w:rPr>
          <w:rFonts w:hint="eastAsia"/>
          <w:color w:val="auto"/>
          <w:sz w:val="21"/>
          <w:szCs w:val="21"/>
          <w:highlight w:val="none"/>
        </w:rPr>
      </w:pPr>
      <w:r>
        <w:rPr>
          <w:rFonts w:hint="eastAsia"/>
          <w:color w:val="auto"/>
          <w:sz w:val="21"/>
          <w:szCs w:val="21"/>
          <w:highlight w:val="none"/>
        </w:rPr>
        <w:t>35.4《工程建设项目施工招标投标办法》（七部委2003年第30号令）</w:t>
      </w:r>
    </w:p>
    <w:p w14:paraId="7F24E1CD">
      <w:pPr>
        <w:spacing w:line="360" w:lineRule="auto"/>
        <w:ind w:firstLine="420" w:firstLineChars="200"/>
        <w:rPr>
          <w:rFonts w:hint="eastAsia"/>
          <w:color w:val="auto"/>
          <w:sz w:val="21"/>
          <w:szCs w:val="21"/>
          <w:highlight w:val="none"/>
        </w:rPr>
      </w:pPr>
      <w:r>
        <w:rPr>
          <w:rFonts w:hint="eastAsia"/>
          <w:color w:val="auto"/>
          <w:sz w:val="21"/>
          <w:szCs w:val="21"/>
          <w:highlight w:val="none"/>
        </w:rPr>
        <w:t>35.5《广东省实施〈中华人民共和国招标投标法〉办法》；</w:t>
      </w:r>
    </w:p>
    <w:p w14:paraId="10D23D06">
      <w:pPr>
        <w:spacing w:line="360" w:lineRule="auto"/>
        <w:ind w:firstLine="420" w:firstLineChars="200"/>
        <w:rPr>
          <w:rFonts w:hint="eastAsia"/>
          <w:color w:val="auto"/>
          <w:sz w:val="21"/>
          <w:szCs w:val="21"/>
          <w:highlight w:val="none"/>
        </w:rPr>
      </w:pPr>
      <w:r>
        <w:rPr>
          <w:rFonts w:hint="eastAsia"/>
          <w:color w:val="auto"/>
          <w:sz w:val="21"/>
          <w:szCs w:val="21"/>
          <w:highlight w:val="none"/>
        </w:rPr>
        <w:t>35.6《房屋建筑和市政基础设施工程施工招标投标管理办法》（建设部令第89号）</w:t>
      </w:r>
    </w:p>
    <w:p w14:paraId="57B62F8C">
      <w:pPr>
        <w:spacing w:line="360" w:lineRule="auto"/>
        <w:ind w:firstLine="420" w:firstLineChars="200"/>
        <w:rPr>
          <w:rFonts w:hint="eastAsia"/>
          <w:color w:val="auto"/>
          <w:sz w:val="21"/>
          <w:szCs w:val="21"/>
          <w:highlight w:val="none"/>
        </w:rPr>
      </w:pPr>
      <w:r>
        <w:rPr>
          <w:rFonts w:hint="eastAsia"/>
          <w:color w:val="auto"/>
          <w:sz w:val="21"/>
          <w:szCs w:val="21"/>
          <w:highlight w:val="none"/>
        </w:rPr>
        <w:t>35.7《财政部工业和信息化部关于印发〈政府采购促进中小企业发展管理办法〉的通知》（财库〔2020〕46号）</w:t>
      </w:r>
    </w:p>
    <w:p w14:paraId="57A4C259">
      <w:pPr>
        <w:spacing w:line="360" w:lineRule="auto"/>
        <w:ind w:firstLine="420" w:firstLineChars="200"/>
        <w:rPr>
          <w:rFonts w:hint="eastAsia"/>
          <w:color w:val="auto"/>
          <w:sz w:val="21"/>
          <w:szCs w:val="21"/>
          <w:highlight w:val="none"/>
        </w:rPr>
      </w:pPr>
      <w:r>
        <w:rPr>
          <w:rFonts w:hint="eastAsia"/>
          <w:color w:val="auto"/>
          <w:sz w:val="21"/>
          <w:szCs w:val="21"/>
          <w:highlight w:val="none"/>
        </w:rPr>
        <w:t>35.8《广东省加强建设工程招标投标监督管理的若干规定》（粤发[2004]4号）；</w:t>
      </w:r>
    </w:p>
    <w:p w14:paraId="2F25C3CB">
      <w:pPr>
        <w:spacing w:line="360" w:lineRule="auto"/>
        <w:ind w:firstLine="420" w:firstLineChars="200"/>
        <w:rPr>
          <w:rFonts w:hint="eastAsia"/>
          <w:color w:val="auto"/>
          <w:sz w:val="21"/>
          <w:szCs w:val="21"/>
          <w:highlight w:val="none"/>
        </w:rPr>
      </w:pPr>
      <w:r>
        <w:rPr>
          <w:rFonts w:hint="eastAsia"/>
          <w:color w:val="auto"/>
          <w:sz w:val="21"/>
          <w:szCs w:val="21"/>
          <w:highlight w:val="none"/>
        </w:rPr>
        <w:t>35.9《广东省政府采购促进中小企业发展实施细则（试行）》</w:t>
      </w:r>
    </w:p>
    <w:p w14:paraId="7536D0AC">
      <w:pPr>
        <w:spacing w:line="360" w:lineRule="auto"/>
        <w:ind w:firstLine="420" w:firstLineChars="200"/>
        <w:rPr>
          <w:rFonts w:hint="eastAsia"/>
          <w:color w:val="auto"/>
          <w:sz w:val="21"/>
          <w:szCs w:val="21"/>
          <w:highlight w:val="none"/>
        </w:rPr>
      </w:pPr>
      <w:r>
        <w:rPr>
          <w:rFonts w:hint="eastAsia"/>
          <w:color w:val="auto"/>
          <w:sz w:val="21"/>
          <w:szCs w:val="21"/>
          <w:highlight w:val="none"/>
        </w:rPr>
        <w:t>35.10《广州市工程建设项目招标投标管理办法》（穗建规字〔2023〕12号）；</w:t>
      </w:r>
    </w:p>
    <w:p w14:paraId="30BC916B">
      <w:pPr>
        <w:spacing w:line="360" w:lineRule="auto"/>
        <w:ind w:firstLine="420" w:firstLineChars="200"/>
        <w:rPr>
          <w:rFonts w:hint="eastAsia"/>
          <w:color w:val="auto"/>
          <w:sz w:val="21"/>
          <w:szCs w:val="21"/>
          <w:highlight w:val="none"/>
        </w:rPr>
      </w:pPr>
      <w:r>
        <w:rPr>
          <w:rFonts w:hint="eastAsia"/>
          <w:color w:val="auto"/>
          <w:sz w:val="21"/>
          <w:szCs w:val="21"/>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239C4F57">
      <w:pPr>
        <w:spacing w:line="360" w:lineRule="auto"/>
        <w:ind w:firstLine="420" w:firstLineChars="200"/>
        <w:rPr>
          <w:color w:val="auto"/>
          <w:sz w:val="21"/>
          <w:szCs w:val="21"/>
          <w:highlight w:val="none"/>
        </w:rPr>
      </w:pPr>
      <w:r>
        <w:rPr>
          <w:rFonts w:hint="eastAsia"/>
          <w:color w:val="auto"/>
          <w:sz w:val="21"/>
          <w:szCs w:val="21"/>
          <w:highlight w:val="none"/>
        </w:rPr>
        <w:t>35.12本项目招标文件。</w:t>
      </w:r>
    </w:p>
    <w:p w14:paraId="42C9CA70">
      <w:pPr>
        <w:spacing w:line="360" w:lineRule="auto"/>
        <w:ind w:firstLine="420" w:firstLineChars="200"/>
        <w:rPr>
          <w:color w:val="auto"/>
          <w:sz w:val="21"/>
          <w:szCs w:val="21"/>
          <w:highlight w:val="none"/>
        </w:rPr>
      </w:pPr>
      <w:r>
        <w:rPr>
          <w:color w:val="auto"/>
          <w:sz w:val="21"/>
          <w:szCs w:val="21"/>
          <w:highlight w:val="none"/>
        </w:rPr>
        <w:t>36</w:t>
      </w:r>
      <w:r>
        <w:rPr>
          <w:rFonts w:hint="eastAsia"/>
          <w:color w:val="auto"/>
          <w:sz w:val="21"/>
          <w:szCs w:val="21"/>
          <w:highlight w:val="none"/>
        </w:rPr>
        <w:t>．开标</w:t>
      </w:r>
    </w:p>
    <w:p w14:paraId="210D78E5">
      <w:pPr>
        <w:spacing w:line="360" w:lineRule="auto"/>
        <w:ind w:firstLine="420" w:firstLineChars="200"/>
        <w:rPr>
          <w:color w:val="auto"/>
          <w:sz w:val="21"/>
          <w:szCs w:val="21"/>
          <w:highlight w:val="none"/>
        </w:rPr>
      </w:pPr>
      <w:r>
        <w:rPr>
          <w:color w:val="auto"/>
          <w:sz w:val="21"/>
          <w:szCs w:val="21"/>
          <w:highlight w:val="none"/>
        </w:rPr>
        <w:t xml:space="preserve">36.1 </w:t>
      </w:r>
      <w:r>
        <w:rPr>
          <w:rFonts w:hint="eastAsia"/>
          <w:color w:val="auto"/>
          <w:sz w:val="21"/>
          <w:szCs w:val="21"/>
          <w:highlight w:val="none"/>
        </w:rPr>
        <w:t>招标人按投标须知前附表第18项所规定的时间和地点公开开标，并邀请所有投标人参加。截标后，开标开始时间因故推迟的，相关评标信息仍以原定的开标开始时间的信息为准。</w:t>
      </w:r>
    </w:p>
    <w:p w14:paraId="68CC8369">
      <w:pPr>
        <w:spacing w:line="360" w:lineRule="auto"/>
        <w:ind w:firstLine="420" w:firstLineChars="200"/>
        <w:rPr>
          <w:color w:val="auto"/>
          <w:sz w:val="21"/>
          <w:szCs w:val="21"/>
          <w:highlight w:val="none"/>
        </w:rPr>
      </w:pPr>
      <w:r>
        <w:rPr>
          <w:color w:val="auto"/>
          <w:sz w:val="21"/>
          <w:szCs w:val="21"/>
          <w:highlight w:val="none"/>
        </w:rPr>
        <w:t>36.2</w:t>
      </w:r>
      <w:r>
        <w:rPr>
          <w:rFonts w:hint="eastAsia"/>
          <w:color w:val="auto"/>
          <w:sz w:val="21"/>
          <w:szCs w:val="21"/>
          <w:highlight w:val="none"/>
        </w:rPr>
        <w:t xml:space="preserve"> 招标人在招标文件要求提交投标文件的截止时间前收到的投标文件，开标时都当众予以解密、公布。</w:t>
      </w:r>
    </w:p>
    <w:p w14:paraId="34865C46">
      <w:pPr>
        <w:spacing w:line="360" w:lineRule="auto"/>
        <w:ind w:firstLine="420" w:firstLineChars="200"/>
        <w:rPr>
          <w:color w:val="auto"/>
          <w:sz w:val="21"/>
          <w:szCs w:val="21"/>
          <w:highlight w:val="none"/>
        </w:rPr>
      </w:pPr>
      <w:r>
        <w:rPr>
          <w:rFonts w:hint="eastAsia"/>
          <w:color w:val="auto"/>
          <w:sz w:val="21"/>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335A486B">
      <w:pPr>
        <w:spacing w:line="360" w:lineRule="auto"/>
        <w:ind w:firstLine="420" w:firstLineChars="200"/>
        <w:rPr>
          <w:color w:val="auto"/>
          <w:sz w:val="21"/>
          <w:szCs w:val="21"/>
          <w:highlight w:val="none"/>
        </w:rPr>
      </w:pPr>
      <w:r>
        <w:rPr>
          <w:rFonts w:hint="eastAsia"/>
          <w:color w:val="auto"/>
          <w:sz w:val="21"/>
          <w:szCs w:val="21"/>
          <w:highlight w:val="none"/>
        </w:rPr>
        <w:t>36.4若递交投标文件的投标人不足3家，则重新组织招标。（当</w:t>
      </w:r>
      <w:r>
        <w:rPr>
          <w:color w:val="auto"/>
          <w:sz w:val="21"/>
          <w:szCs w:val="21"/>
          <w:highlight w:val="none"/>
        </w:rPr>
        <w:t>N</w:t>
      </w:r>
      <w:r>
        <w:rPr>
          <w:rFonts w:hint="eastAsia"/>
          <w:color w:val="auto"/>
          <w:sz w:val="21"/>
          <w:szCs w:val="21"/>
          <w:highlight w:val="none"/>
        </w:rPr>
        <w:t>个标段同时招标且不允许兼中时，若有效投标人不足</w:t>
      </w:r>
      <w:r>
        <w:rPr>
          <w:color w:val="auto"/>
          <w:sz w:val="21"/>
          <w:szCs w:val="21"/>
          <w:highlight w:val="none"/>
        </w:rPr>
        <w:t>N+</w:t>
      </w:r>
      <w:r>
        <w:rPr>
          <w:rFonts w:hint="eastAsia"/>
          <w:color w:val="auto"/>
          <w:sz w:val="21"/>
          <w:szCs w:val="21"/>
          <w:highlight w:val="none"/>
        </w:rPr>
        <w:t>2家，则重新组织招标）</w:t>
      </w:r>
    </w:p>
    <w:p w14:paraId="53084584">
      <w:pPr>
        <w:spacing w:line="360" w:lineRule="auto"/>
        <w:ind w:firstLine="420" w:firstLineChars="200"/>
        <w:rPr>
          <w:color w:val="auto"/>
          <w:sz w:val="21"/>
          <w:szCs w:val="21"/>
          <w:highlight w:val="none"/>
        </w:rPr>
      </w:pPr>
      <w:r>
        <w:rPr>
          <w:rFonts w:hint="eastAsia"/>
          <w:color w:val="auto"/>
          <w:sz w:val="21"/>
          <w:szCs w:val="21"/>
          <w:highlight w:val="none"/>
        </w:rPr>
        <w:t>36.5按下列程序进行开标：</w:t>
      </w:r>
    </w:p>
    <w:p w14:paraId="251387A2">
      <w:pPr>
        <w:spacing w:line="360" w:lineRule="auto"/>
        <w:ind w:firstLine="420" w:firstLineChars="200"/>
        <w:rPr>
          <w:color w:val="auto"/>
          <w:sz w:val="21"/>
          <w:szCs w:val="21"/>
          <w:highlight w:val="none"/>
        </w:rPr>
      </w:pPr>
      <w:r>
        <w:rPr>
          <w:rFonts w:hint="eastAsia"/>
          <w:color w:val="auto"/>
          <w:sz w:val="21"/>
          <w:szCs w:val="21"/>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5BA175E2">
      <w:pPr>
        <w:spacing w:line="360" w:lineRule="auto"/>
        <w:ind w:firstLine="420" w:firstLineChars="200"/>
        <w:rPr>
          <w:color w:val="auto"/>
          <w:sz w:val="21"/>
          <w:szCs w:val="21"/>
          <w:highlight w:val="none"/>
        </w:rPr>
      </w:pPr>
      <w:r>
        <w:rPr>
          <w:rFonts w:hint="eastAsia"/>
          <w:color w:val="auto"/>
          <w:sz w:val="21"/>
          <w:szCs w:val="21"/>
          <w:highlight w:val="none"/>
        </w:rPr>
        <w:t>36.5.2备用光盘的读取按投标须知前附表第36项的规定执行；</w:t>
      </w:r>
    </w:p>
    <w:p w14:paraId="209500E5">
      <w:pPr>
        <w:spacing w:line="360" w:lineRule="auto"/>
        <w:ind w:firstLine="420" w:firstLineChars="200"/>
        <w:rPr>
          <w:color w:val="auto"/>
          <w:sz w:val="21"/>
          <w:szCs w:val="21"/>
          <w:highlight w:val="none"/>
        </w:rPr>
      </w:pPr>
      <w:r>
        <w:rPr>
          <w:rFonts w:hint="eastAsia"/>
          <w:color w:val="auto"/>
          <w:sz w:val="21"/>
          <w:szCs w:val="21"/>
          <w:highlight w:val="none"/>
        </w:rPr>
        <w:t>36.5.3投标人代表、招标人代表、监标人、记录人等有关人员在开标记录上签字确认；若有关人员不签字的，不影响开标程序；</w:t>
      </w:r>
    </w:p>
    <w:p w14:paraId="1AE586CF">
      <w:pPr>
        <w:spacing w:line="360" w:lineRule="auto"/>
        <w:ind w:firstLine="420" w:firstLineChars="200"/>
        <w:rPr>
          <w:color w:val="auto"/>
          <w:sz w:val="21"/>
          <w:szCs w:val="21"/>
          <w:highlight w:val="none"/>
        </w:rPr>
      </w:pPr>
      <w:r>
        <w:rPr>
          <w:rFonts w:hint="eastAsia"/>
          <w:color w:val="auto"/>
          <w:sz w:val="21"/>
          <w:szCs w:val="21"/>
          <w:highlight w:val="none"/>
        </w:rPr>
        <w:t>36.5.4开标结束。</w:t>
      </w:r>
    </w:p>
    <w:p w14:paraId="36CF7CEF">
      <w:pPr>
        <w:spacing w:line="360" w:lineRule="auto"/>
        <w:ind w:firstLine="420" w:firstLineChars="200"/>
        <w:rPr>
          <w:color w:val="auto"/>
          <w:sz w:val="21"/>
          <w:szCs w:val="21"/>
          <w:highlight w:val="none"/>
        </w:rPr>
      </w:pPr>
      <w:r>
        <w:rPr>
          <w:rFonts w:hint="eastAsia"/>
          <w:color w:val="auto"/>
          <w:sz w:val="21"/>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649F98E">
      <w:pPr>
        <w:spacing w:line="360" w:lineRule="auto"/>
        <w:ind w:firstLine="420" w:firstLineChars="200"/>
        <w:rPr>
          <w:color w:val="auto"/>
          <w:sz w:val="21"/>
          <w:szCs w:val="21"/>
          <w:highlight w:val="none"/>
        </w:rPr>
      </w:pPr>
      <w:r>
        <w:rPr>
          <w:rFonts w:hint="eastAsia"/>
          <w:color w:val="auto"/>
          <w:sz w:val="21"/>
          <w:szCs w:val="21"/>
          <w:highlight w:val="none"/>
        </w:rPr>
        <w:t>36.7开标时，两个（含两个）以上的投标人加密打包投标文件电脑机器特征码一致的，不参与下一程序，并由评标委员会否决其投标。</w:t>
      </w:r>
    </w:p>
    <w:p w14:paraId="443CE4E6">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rPr>
        <w:t>．评标</w:t>
      </w:r>
    </w:p>
    <w:p w14:paraId="29A7B904">
      <w:pPr>
        <w:spacing w:line="360" w:lineRule="auto"/>
        <w:ind w:firstLine="420" w:firstLineChars="200"/>
        <w:rPr>
          <w:rFonts w:hint="eastAsia"/>
          <w:color w:val="auto"/>
          <w:sz w:val="21"/>
          <w:szCs w:val="21"/>
          <w:highlight w:val="none"/>
        </w:rPr>
      </w:pPr>
      <w:r>
        <w:rPr>
          <w:color w:val="auto"/>
          <w:sz w:val="21"/>
          <w:szCs w:val="21"/>
          <w:highlight w:val="none"/>
        </w:rPr>
        <w:t>37.1</w:t>
      </w:r>
      <w:r>
        <w:rPr>
          <w:rFonts w:hint="eastAsia"/>
          <w:color w:val="auto"/>
          <w:sz w:val="21"/>
          <w:szCs w:val="21"/>
          <w:highlight w:val="none"/>
        </w:rPr>
        <w:t>评标委员会由招标人依法组建。</w:t>
      </w:r>
    </w:p>
    <w:p w14:paraId="1C27692C">
      <w:pPr>
        <w:spacing w:line="360" w:lineRule="auto"/>
        <w:ind w:firstLine="420" w:firstLineChars="200"/>
        <w:rPr>
          <w:color w:val="auto"/>
          <w:sz w:val="21"/>
          <w:szCs w:val="21"/>
          <w:highlight w:val="none"/>
        </w:rPr>
      </w:pPr>
      <w:r>
        <w:rPr>
          <w:color w:val="auto"/>
          <w:sz w:val="21"/>
          <w:szCs w:val="21"/>
          <w:highlight w:val="none"/>
        </w:rPr>
        <w:t>37.2</w:t>
      </w:r>
      <w:r>
        <w:rPr>
          <w:rFonts w:hint="eastAsia"/>
          <w:color w:val="auto"/>
          <w:sz w:val="21"/>
          <w:szCs w:val="21"/>
          <w:highlight w:val="none"/>
        </w:rPr>
        <w:t>评标委员会在开始评标前，应了解评标专家的职责及守则，认真阅读《评标委员会成员声明》的内容并签名，签字后方可进行评标；</w:t>
      </w:r>
    </w:p>
    <w:p w14:paraId="584428BF">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lang w:val="en-US" w:eastAsia="zh-CN"/>
        </w:rPr>
        <w:t>3</w:t>
      </w:r>
      <w:r>
        <w:rPr>
          <w:rFonts w:hint="eastAsia"/>
          <w:color w:val="auto"/>
          <w:sz w:val="21"/>
          <w:szCs w:val="21"/>
          <w:highlight w:val="none"/>
        </w:rPr>
        <w:t>评标委员会的职责及守则：</w:t>
      </w:r>
    </w:p>
    <w:p w14:paraId="46B31DCF">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lang w:val="en-US" w:eastAsia="zh-CN"/>
        </w:rPr>
        <w:t>3</w:t>
      </w:r>
      <w:r>
        <w:rPr>
          <w:color w:val="auto"/>
          <w:sz w:val="21"/>
          <w:szCs w:val="21"/>
          <w:highlight w:val="none"/>
        </w:rPr>
        <w:t>.1</w:t>
      </w:r>
      <w:r>
        <w:rPr>
          <w:rFonts w:hint="eastAsia"/>
          <w:color w:val="auto"/>
          <w:sz w:val="21"/>
          <w:szCs w:val="21"/>
          <w:highlight w:val="none"/>
        </w:rPr>
        <w:t>根据评标细则，对投标文件进行认真评审，完成评审报告；</w:t>
      </w:r>
    </w:p>
    <w:p w14:paraId="6EFB7C19">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lang w:val="en-US" w:eastAsia="zh-CN"/>
        </w:rPr>
        <w:t>3</w:t>
      </w:r>
      <w:r>
        <w:rPr>
          <w:color w:val="auto"/>
          <w:sz w:val="21"/>
          <w:szCs w:val="21"/>
          <w:highlight w:val="none"/>
        </w:rPr>
        <w:t>.2</w:t>
      </w:r>
      <w:r>
        <w:rPr>
          <w:rFonts w:hint="eastAsia"/>
          <w:color w:val="auto"/>
          <w:sz w:val="21"/>
          <w:szCs w:val="21"/>
          <w:highlight w:val="none"/>
        </w:rPr>
        <w:t>向招标人报告评审意见，推荐合格的中标候选人。</w:t>
      </w:r>
    </w:p>
    <w:p w14:paraId="0DCF1E16">
      <w:pPr>
        <w:spacing w:line="360" w:lineRule="auto"/>
        <w:ind w:firstLine="420" w:firstLineChars="200"/>
        <w:rPr>
          <w:color w:val="auto"/>
          <w:sz w:val="21"/>
          <w:szCs w:val="21"/>
          <w:highlight w:val="none"/>
        </w:rPr>
      </w:pPr>
      <w:r>
        <w:rPr>
          <w:bCs/>
          <w:color w:val="auto"/>
          <w:sz w:val="21"/>
          <w:szCs w:val="21"/>
          <w:highlight w:val="none"/>
        </w:rPr>
        <w:t>37.</w:t>
      </w:r>
      <w:r>
        <w:rPr>
          <w:rFonts w:hint="eastAsia"/>
          <w:bCs/>
          <w:color w:val="auto"/>
          <w:sz w:val="21"/>
          <w:szCs w:val="21"/>
          <w:highlight w:val="none"/>
          <w:lang w:val="en-US" w:eastAsia="zh-CN"/>
        </w:rPr>
        <w:t>3</w:t>
      </w:r>
      <w:r>
        <w:rPr>
          <w:bCs/>
          <w:color w:val="auto"/>
          <w:sz w:val="21"/>
          <w:szCs w:val="21"/>
          <w:highlight w:val="none"/>
        </w:rPr>
        <w:t>.3</w:t>
      </w:r>
      <w:r>
        <w:rPr>
          <w:b/>
          <w:bCs/>
          <w:color w:val="auto"/>
          <w:sz w:val="21"/>
          <w:szCs w:val="21"/>
          <w:highlight w:val="none"/>
        </w:rPr>
        <w:t xml:space="preserve"> </w:t>
      </w:r>
      <w:r>
        <w:rPr>
          <w:rFonts w:hint="eastAsia"/>
          <w:color w:val="auto"/>
          <w:sz w:val="21"/>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75B246A9">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lang w:val="en-US" w:eastAsia="zh-CN"/>
        </w:rPr>
        <w:t>3</w:t>
      </w:r>
      <w:r>
        <w:rPr>
          <w:color w:val="auto"/>
          <w:sz w:val="21"/>
          <w:szCs w:val="21"/>
          <w:highlight w:val="none"/>
        </w:rPr>
        <w:t>.4</w:t>
      </w:r>
      <w:r>
        <w:rPr>
          <w:rFonts w:hint="eastAsia"/>
          <w:color w:val="auto"/>
          <w:sz w:val="21"/>
          <w:szCs w:val="21"/>
          <w:highlight w:val="none"/>
        </w:rPr>
        <w:t>全体参与评标人员：</w:t>
      </w:r>
    </w:p>
    <w:p w14:paraId="76BF327F">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lang w:val="en-US" w:eastAsia="zh-CN"/>
        </w:rPr>
        <w:t>3</w:t>
      </w:r>
      <w:r>
        <w:rPr>
          <w:color w:val="auto"/>
          <w:sz w:val="21"/>
          <w:szCs w:val="21"/>
          <w:highlight w:val="none"/>
        </w:rPr>
        <w:t xml:space="preserve">.4.1 </w:t>
      </w:r>
      <w:r>
        <w:rPr>
          <w:rFonts w:hint="eastAsia"/>
          <w:color w:val="auto"/>
          <w:sz w:val="21"/>
          <w:szCs w:val="21"/>
          <w:highlight w:val="none"/>
        </w:rPr>
        <w:t>必须遵守评标纪律、不得泄密；</w:t>
      </w:r>
    </w:p>
    <w:p w14:paraId="0236D851">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lang w:val="en-US" w:eastAsia="zh-CN"/>
        </w:rPr>
        <w:t>3</w:t>
      </w:r>
      <w:r>
        <w:rPr>
          <w:color w:val="auto"/>
          <w:sz w:val="21"/>
          <w:szCs w:val="21"/>
          <w:highlight w:val="none"/>
        </w:rPr>
        <w:t xml:space="preserve">.4.2 </w:t>
      </w:r>
      <w:r>
        <w:rPr>
          <w:rFonts w:hint="eastAsia"/>
          <w:color w:val="auto"/>
          <w:sz w:val="21"/>
          <w:szCs w:val="21"/>
          <w:highlight w:val="none"/>
        </w:rPr>
        <w:t>必须公正、不得</w:t>
      </w:r>
      <w:r>
        <w:rPr>
          <w:rFonts w:hint="eastAsia"/>
          <w:color w:val="auto"/>
          <w:sz w:val="21"/>
          <w:szCs w:val="21"/>
          <w:highlight w:val="none"/>
          <w:lang w:eastAsia="zh-CN"/>
        </w:rPr>
        <w:t>徇私</w:t>
      </w:r>
      <w:r>
        <w:rPr>
          <w:rFonts w:hint="eastAsia"/>
          <w:color w:val="auto"/>
          <w:sz w:val="21"/>
          <w:szCs w:val="21"/>
          <w:highlight w:val="none"/>
        </w:rPr>
        <w:t>；</w:t>
      </w:r>
    </w:p>
    <w:p w14:paraId="79A0B1C3">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lang w:val="en-US" w:eastAsia="zh-CN"/>
        </w:rPr>
        <w:t>3</w:t>
      </w:r>
      <w:r>
        <w:rPr>
          <w:color w:val="auto"/>
          <w:sz w:val="21"/>
          <w:szCs w:val="21"/>
          <w:highlight w:val="none"/>
        </w:rPr>
        <w:t xml:space="preserve">.4.3 </w:t>
      </w:r>
      <w:r>
        <w:rPr>
          <w:rFonts w:hint="eastAsia"/>
          <w:color w:val="auto"/>
          <w:sz w:val="21"/>
          <w:szCs w:val="21"/>
          <w:highlight w:val="none"/>
        </w:rPr>
        <w:t>必须科学、不得草率；</w:t>
      </w:r>
    </w:p>
    <w:p w14:paraId="0D52A854">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lang w:val="en-US" w:eastAsia="zh-CN"/>
        </w:rPr>
        <w:t>3</w:t>
      </w:r>
      <w:r>
        <w:rPr>
          <w:color w:val="auto"/>
          <w:sz w:val="21"/>
          <w:szCs w:val="21"/>
          <w:highlight w:val="none"/>
        </w:rPr>
        <w:t xml:space="preserve">.4.4 </w:t>
      </w:r>
      <w:r>
        <w:rPr>
          <w:rFonts w:hint="eastAsia"/>
          <w:color w:val="auto"/>
          <w:sz w:val="21"/>
          <w:szCs w:val="21"/>
          <w:highlight w:val="none"/>
        </w:rPr>
        <w:t>必须客观、不得带有成见；</w:t>
      </w:r>
    </w:p>
    <w:p w14:paraId="7D772A66">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lang w:val="en-US" w:eastAsia="zh-CN"/>
        </w:rPr>
        <w:t>3</w:t>
      </w:r>
      <w:r>
        <w:rPr>
          <w:color w:val="auto"/>
          <w:sz w:val="21"/>
          <w:szCs w:val="21"/>
          <w:highlight w:val="none"/>
        </w:rPr>
        <w:t xml:space="preserve">.4.5 </w:t>
      </w:r>
      <w:r>
        <w:rPr>
          <w:rFonts w:hint="eastAsia"/>
          <w:color w:val="auto"/>
          <w:sz w:val="21"/>
          <w:szCs w:val="21"/>
          <w:highlight w:val="none"/>
        </w:rPr>
        <w:t>必须平等、不得强加于人；</w:t>
      </w:r>
    </w:p>
    <w:p w14:paraId="59EB34A0">
      <w:pPr>
        <w:spacing w:line="360" w:lineRule="auto"/>
        <w:ind w:firstLine="420" w:firstLineChars="200"/>
        <w:rPr>
          <w:color w:val="auto"/>
          <w:sz w:val="21"/>
          <w:szCs w:val="21"/>
          <w:highlight w:val="none"/>
        </w:rPr>
      </w:pPr>
      <w:r>
        <w:rPr>
          <w:color w:val="auto"/>
          <w:sz w:val="21"/>
          <w:szCs w:val="21"/>
          <w:highlight w:val="none"/>
        </w:rPr>
        <w:t>37.</w:t>
      </w:r>
      <w:r>
        <w:rPr>
          <w:rFonts w:hint="eastAsia"/>
          <w:color w:val="auto"/>
          <w:sz w:val="21"/>
          <w:szCs w:val="21"/>
          <w:highlight w:val="none"/>
          <w:lang w:val="en-US" w:eastAsia="zh-CN"/>
        </w:rPr>
        <w:t>3</w:t>
      </w:r>
      <w:r>
        <w:rPr>
          <w:color w:val="auto"/>
          <w:sz w:val="21"/>
          <w:szCs w:val="21"/>
          <w:highlight w:val="none"/>
        </w:rPr>
        <w:t xml:space="preserve">.4.6 </w:t>
      </w:r>
      <w:r>
        <w:rPr>
          <w:rFonts w:hint="eastAsia"/>
          <w:color w:val="auto"/>
          <w:sz w:val="21"/>
          <w:szCs w:val="21"/>
          <w:highlight w:val="none"/>
        </w:rPr>
        <w:t>必须严谨、不得随意马虎。</w:t>
      </w:r>
    </w:p>
    <w:p w14:paraId="03ECBD9B">
      <w:pPr>
        <w:spacing w:line="360" w:lineRule="auto"/>
        <w:ind w:firstLine="420" w:firstLineChars="200"/>
        <w:rPr>
          <w:rFonts w:hint="eastAsia"/>
          <w:color w:val="auto"/>
          <w:sz w:val="21"/>
          <w:szCs w:val="21"/>
          <w:highlight w:val="none"/>
        </w:rPr>
      </w:pPr>
      <w:r>
        <w:rPr>
          <w:rFonts w:hint="eastAsia"/>
          <w:color w:val="auto"/>
          <w:sz w:val="21"/>
          <w:szCs w:val="21"/>
          <w:highlight w:val="none"/>
        </w:rPr>
        <w:t>37.</w:t>
      </w:r>
      <w:r>
        <w:rPr>
          <w:rFonts w:hint="eastAsia"/>
          <w:color w:val="auto"/>
          <w:sz w:val="21"/>
          <w:szCs w:val="21"/>
          <w:highlight w:val="none"/>
          <w:lang w:val="en-US" w:eastAsia="zh-CN"/>
        </w:rPr>
        <w:t>4</w:t>
      </w:r>
      <w:r>
        <w:rPr>
          <w:rFonts w:hint="eastAsia"/>
          <w:color w:val="auto"/>
          <w:sz w:val="21"/>
          <w:szCs w:val="21"/>
          <w:highlight w:val="none"/>
        </w:rPr>
        <w:t xml:space="preserve">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5D5624BE">
      <w:pPr>
        <w:spacing w:line="360" w:lineRule="auto"/>
        <w:ind w:firstLine="420" w:firstLineChars="200"/>
        <w:rPr>
          <w:color w:val="auto"/>
          <w:sz w:val="21"/>
          <w:szCs w:val="21"/>
          <w:highlight w:val="none"/>
        </w:rPr>
      </w:pPr>
      <w:r>
        <w:rPr>
          <w:rFonts w:hint="eastAsia"/>
          <w:color w:val="auto"/>
          <w:sz w:val="21"/>
          <w:szCs w:val="21"/>
          <w:highlight w:val="none"/>
        </w:rPr>
        <w:t>37.</w:t>
      </w:r>
      <w:r>
        <w:rPr>
          <w:rFonts w:hint="eastAsia"/>
          <w:color w:val="auto"/>
          <w:sz w:val="21"/>
          <w:szCs w:val="21"/>
          <w:highlight w:val="none"/>
          <w:lang w:val="en-US" w:eastAsia="zh-CN"/>
        </w:rPr>
        <w:t>5</w:t>
      </w:r>
      <w:r>
        <w:rPr>
          <w:rFonts w:hint="eastAsia"/>
          <w:color w:val="auto"/>
          <w:sz w:val="21"/>
          <w:szCs w:val="21"/>
          <w:highlight w:val="none"/>
        </w:rPr>
        <w:t>评标结束后，评标委员会递交评标报告并依法推荐中标候选人。</w:t>
      </w:r>
      <w:r>
        <w:rPr>
          <w:color w:val="auto"/>
          <w:sz w:val="21"/>
          <w:szCs w:val="21"/>
          <w:highlight w:val="none"/>
        </w:rPr>
        <w:t xml:space="preserve"> </w:t>
      </w:r>
    </w:p>
    <w:p w14:paraId="0AC39CD8">
      <w:pPr>
        <w:spacing w:line="360" w:lineRule="auto"/>
        <w:ind w:firstLine="420" w:firstLineChars="200"/>
        <w:rPr>
          <w:color w:val="auto"/>
          <w:sz w:val="21"/>
          <w:szCs w:val="21"/>
          <w:highlight w:val="none"/>
        </w:rPr>
      </w:pPr>
      <w:r>
        <w:rPr>
          <w:color w:val="auto"/>
          <w:sz w:val="21"/>
          <w:szCs w:val="21"/>
          <w:highlight w:val="none"/>
        </w:rPr>
        <w:t>38</w:t>
      </w:r>
      <w:r>
        <w:rPr>
          <w:rFonts w:hint="eastAsia"/>
          <w:color w:val="auto"/>
          <w:sz w:val="21"/>
          <w:szCs w:val="21"/>
          <w:highlight w:val="none"/>
        </w:rPr>
        <w:t>．投标文件的澄清</w:t>
      </w:r>
    </w:p>
    <w:p w14:paraId="33EFFFB0">
      <w:pPr>
        <w:spacing w:line="360" w:lineRule="auto"/>
        <w:ind w:firstLine="420" w:firstLineChars="200"/>
        <w:rPr>
          <w:color w:val="auto"/>
          <w:sz w:val="21"/>
          <w:szCs w:val="21"/>
          <w:highlight w:val="none"/>
        </w:rPr>
      </w:pPr>
      <w:r>
        <w:rPr>
          <w:color w:val="auto"/>
          <w:sz w:val="21"/>
          <w:szCs w:val="21"/>
          <w:highlight w:val="none"/>
        </w:rPr>
        <w:t>38.1</w:t>
      </w:r>
      <w:r>
        <w:rPr>
          <w:rFonts w:hint="eastAsia"/>
          <w:color w:val="auto"/>
          <w:sz w:val="21"/>
          <w:szCs w:val="21"/>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4E6A2A8F">
      <w:pPr>
        <w:spacing w:line="360" w:lineRule="auto"/>
        <w:ind w:firstLine="420" w:firstLineChars="200"/>
        <w:rPr>
          <w:color w:val="auto"/>
          <w:sz w:val="21"/>
          <w:szCs w:val="21"/>
          <w:highlight w:val="none"/>
        </w:rPr>
      </w:pPr>
      <w:r>
        <w:rPr>
          <w:color w:val="auto"/>
          <w:sz w:val="21"/>
          <w:szCs w:val="21"/>
          <w:highlight w:val="none"/>
        </w:rPr>
        <w:t xml:space="preserve">38.2 </w:t>
      </w:r>
      <w:r>
        <w:rPr>
          <w:rFonts w:hint="eastAsia"/>
          <w:color w:val="auto"/>
          <w:sz w:val="21"/>
          <w:szCs w:val="21"/>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2DF10B6B">
      <w:pPr>
        <w:spacing w:line="360" w:lineRule="auto"/>
        <w:ind w:firstLine="420" w:firstLineChars="200"/>
        <w:rPr>
          <w:color w:val="auto"/>
          <w:sz w:val="21"/>
          <w:szCs w:val="21"/>
          <w:highlight w:val="none"/>
        </w:rPr>
      </w:pPr>
      <w:r>
        <w:rPr>
          <w:color w:val="auto"/>
          <w:sz w:val="21"/>
          <w:szCs w:val="21"/>
          <w:highlight w:val="none"/>
        </w:rPr>
        <w:t xml:space="preserve">38.3 </w:t>
      </w:r>
      <w:r>
        <w:rPr>
          <w:rFonts w:hint="eastAsia"/>
          <w:color w:val="auto"/>
          <w:sz w:val="21"/>
          <w:szCs w:val="21"/>
          <w:highlight w:val="none"/>
        </w:rPr>
        <w:t>评标委员会或评标委员会专业评审组成员均应当阅读投标人的澄清，但应独立参考澄清对投标文件进行评审。</w:t>
      </w:r>
    </w:p>
    <w:p w14:paraId="7AFE9D2B">
      <w:pPr>
        <w:spacing w:line="360" w:lineRule="auto"/>
        <w:ind w:firstLine="420" w:firstLineChars="200"/>
        <w:rPr>
          <w:color w:val="auto"/>
          <w:sz w:val="21"/>
          <w:szCs w:val="21"/>
          <w:highlight w:val="none"/>
        </w:rPr>
      </w:pPr>
      <w:r>
        <w:rPr>
          <w:color w:val="auto"/>
          <w:sz w:val="21"/>
          <w:szCs w:val="21"/>
          <w:highlight w:val="none"/>
        </w:rPr>
        <w:t>38.4</w:t>
      </w:r>
      <w:r>
        <w:rPr>
          <w:rFonts w:hint="eastAsia"/>
          <w:color w:val="auto"/>
          <w:sz w:val="21"/>
          <w:szCs w:val="21"/>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7CF42DCC">
      <w:pPr>
        <w:spacing w:line="360" w:lineRule="auto"/>
        <w:ind w:firstLine="420" w:firstLineChars="200"/>
        <w:rPr>
          <w:color w:val="auto"/>
          <w:sz w:val="21"/>
          <w:szCs w:val="21"/>
          <w:highlight w:val="none"/>
        </w:rPr>
      </w:pPr>
      <w:r>
        <w:rPr>
          <w:rFonts w:hint="eastAsia"/>
          <w:color w:val="auto"/>
          <w:sz w:val="21"/>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6F6AB799">
      <w:pPr>
        <w:spacing w:line="360" w:lineRule="auto"/>
        <w:ind w:firstLine="420" w:firstLineChars="200"/>
        <w:rPr>
          <w:color w:val="auto"/>
          <w:sz w:val="21"/>
          <w:szCs w:val="21"/>
          <w:highlight w:val="none"/>
        </w:rPr>
      </w:pPr>
      <w:r>
        <w:rPr>
          <w:color w:val="auto"/>
          <w:sz w:val="21"/>
          <w:szCs w:val="21"/>
          <w:highlight w:val="none"/>
        </w:rPr>
        <w:t>39</w:t>
      </w:r>
      <w:r>
        <w:rPr>
          <w:rFonts w:hint="eastAsia"/>
          <w:color w:val="auto"/>
          <w:sz w:val="21"/>
          <w:szCs w:val="21"/>
          <w:highlight w:val="none"/>
        </w:rPr>
        <w:t>．定标</w:t>
      </w:r>
    </w:p>
    <w:p w14:paraId="72C541C1">
      <w:pPr>
        <w:spacing w:line="360" w:lineRule="auto"/>
        <w:ind w:firstLine="420" w:firstLineChars="200"/>
        <w:rPr>
          <w:color w:val="auto"/>
          <w:sz w:val="21"/>
          <w:szCs w:val="21"/>
          <w:highlight w:val="none"/>
        </w:rPr>
      </w:pPr>
      <w:r>
        <w:rPr>
          <w:color w:val="auto"/>
          <w:sz w:val="21"/>
          <w:szCs w:val="21"/>
          <w:highlight w:val="none"/>
        </w:rPr>
        <w:t xml:space="preserve">39.1 </w:t>
      </w:r>
      <w:r>
        <w:rPr>
          <w:rFonts w:hint="eastAsia"/>
          <w:color w:val="auto"/>
          <w:sz w:val="21"/>
          <w:szCs w:val="21"/>
          <w:highlight w:val="none"/>
        </w:rPr>
        <w:t>招标人根据评标委员会递交的评标报告，最终审定中标人。</w:t>
      </w:r>
    </w:p>
    <w:p w14:paraId="242748F2">
      <w:pPr>
        <w:spacing w:line="360" w:lineRule="auto"/>
        <w:ind w:firstLine="420" w:firstLineChars="200"/>
        <w:rPr>
          <w:color w:val="auto"/>
          <w:sz w:val="21"/>
          <w:szCs w:val="21"/>
          <w:highlight w:val="none"/>
        </w:rPr>
      </w:pPr>
      <w:r>
        <w:rPr>
          <w:color w:val="auto"/>
          <w:sz w:val="21"/>
          <w:szCs w:val="21"/>
          <w:highlight w:val="none"/>
        </w:rPr>
        <w:t xml:space="preserve">39.2 </w:t>
      </w:r>
      <w:r>
        <w:rPr>
          <w:rFonts w:hint="eastAsia"/>
          <w:color w:val="auto"/>
          <w:sz w:val="21"/>
          <w:szCs w:val="21"/>
          <w:highlight w:val="none"/>
        </w:rPr>
        <w:t>依法必须进行公开招标的项目，招标人应当确定排名第一的中标候选人为中标人。</w:t>
      </w:r>
    </w:p>
    <w:p w14:paraId="612FA387">
      <w:pPr>
        <w:spacing w:line="360" w:lineRule="auto"/>
        <w:ind w:firstLine="420" w:firstLineChars="200"/>
        <w:rPr>
          <w:color w:val="auto"/>
          <w:sz w:val="21"/>
          <w:szCs w:val="21"/>
          <w:highlight w:val="none"/>
        </w:rPr>
      </w:pPr>
      <w:r>
        <w:rPr>
          <w:color w:val="auto"/>
          <w:sz w:val="21"/>
          <w:szCs w:val="21"/>
          <w:highlight w:val="none"/>
        </w:rPr>
        <w:t>39.3</w:t>
      </w:r>
      <w:r>
        <w:rPr>
          <w:rFonts w:hint="eastAsia"/>
          <w:color w:val="auto"/>
          <w:sz w:val="21"/>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14:paraId="17BF4DF8">
      <w:pPr>
        <w:spacing w:line="360" w:lineRule="auto"/>
        <w:ind w:firstLine="420" w:firstLineChars="200"/>
        <w:rPr>
          <w:color w:val="auto"/>
          <w:sz w:val="21"/>
          <w:szCs w:val="21"/>
          <w:highlight w:val="none"/>
        </w:rPr>
      </w:pPr>
      <w:r>
        <w:rPr>
          <w:color w:val="auto"/>
          <w:sz w:val="21"/>
          <w:szCs w:val="21"/>
          <w:highlight w:val="none"/>
        </w:rPr>
        <w:t>39.4</w:t>
      </w:r>
      <w:r>
        <w:rPr>
          <w:rFonts w:hint="eastAsia"/>
          <w:color w:val="auto"/>
          <w:sz w:val="21"/>
          <w:szCs w:val="21"/>
          <w:highlight w:val="none"/>
        </w:rPr>
        <w:t>排名第二的中标候选人出现前款所列的情形的，招标人可以确定排名第三的中标候选人为中标人。以此类推，如所有中标候选人均出现前款所列的情形，为招标失败，招标人依法重新招标。</w:t>
      </w:r>
    </w:p>
    <w:p w14:paraId="2D40280F">
      <w:pPr>
        <w:spacing w:line="360" w:lineRule="auto"/>
        <w:ind w:firstLine="420" w:firstLineChars="200"/>
        <w:rPr>
          <w:color w:val="auto"/>
          <w:sz w:val="21"/>
          <w:szCs w:val="21"/>
          <w:highlight w:val="none"/>
        </w:rPr>
      </w:pPr>
      <w:r>
        <w:rPr>
          <w:rFonts w:hint="eastAsia"/>
          <w:color w:val="auto"/>
          <w:sz w:val="21"/>
          <w:szCs w:val="21"/>
          <w:highlight w:val="none"/>
        </w:rPr>
        <w:t>39.5 重新评标的，评标信息（含业绩、奖项等）仍以投标截止时投标人的信息为准。因特殊原因需要延长投标有效期，投标人拒绝延长投标有效期的，仍参与评标，但不被推荐为中标候选人。</w:t>
      </w:r>
    </w:p>
    <w:p w14:paraId="026F6D4A">
      <w:pPr>
        <w:pStyle w:val="5"/>
        <w:spacing w:before="156" w:after="156"/>
        <w:ind w:firstLine="420" w:firstLineChars="200"/>
        <w:rPr>
          <w:color w:val="auto"/>
          <w:sz w:val="21"/>
          <w:szCs w:val="21"/>
          <w:highlight w:val="none"/>
        </w:rPr>
      </w:pPr>
      <w:bookmarkStart w:id="18" w:name="_Toc13865"/>
      <w:r>
        <w:rPr>
          <w:rFonts w:hint="eastAsia"/>
          <w:color w:val="auto"/>
          <w:sz w:val="21"/>
          <w:szCs w:val="21"/>
          <w:highlight w:val="none"/>
        </w:rPr>
        <w:t>（二）开标评标办法程序和细则</w:t>
      </w:r>
      <w:bookmarkEnd w:id="18"/>
    </w:p>
    <w:p w14:paraId="5168A1E1">
      <w:pPr>
        <w:spacing w:line="360" w:lineRule="auto"/>
        <w:ind w:firstLine="420" w:firstLineChars="200"/>
        <w:rPr>
          <w:color w:val="auto"/>
          <w:sz w:val="21"/>
          <w:szCs w:val="21"/>
          <w:highlight w:val="none"/>
        </w:rPr>
      </w:pPr>
      <w:r>
        <w:rPr>
          <w:rFonts w:hint="eastAsia"/>
          <w:color w:val="auto"/>
          <w:sz w:val="21"/>
          <w:szCs w:val="21"/>
          <w:highlight w:val="none"/>
        </w:rPr>
        <w:t>注：以下八种评标办法所述企业综合诚信评价分数即投标截止当日广州市工程招标代理行业协会网站上公布的企业综合诚信评价</w:t>
      </w:r>
      <w:r>
        <w:rPr>
          <w:color w:val="auto"/>
          <w:sz w:val="21"/>
          <w:szCs w:val="21"/>
          <w:highlight w:val="none"/>
        </w:rPr>
        <w:t>60</w:t>
      </w:r>
      <w:r>
        <w:rPr>
          <w:rFonts w:hint="eastAsia"/>
          <w:color w:val="auto"/>
          <w:sz w:val="21"/>
          <w:szCs w:val="21"/>
          <w:highlight w:val="none"/>
        </w:rPr>
        <w:t>日诚信分。</w:t>
      </w:r>
    </w:p>
    <w:p w14:paraId="169CFD17">
      <w:pPr>
        <w:pStyle w:val="5"/>
        <w:spacing w:before="156" w:after="156"/>
        <w:ind w:firstLine="420" w:firstLineChars="200"/>
        <w:rPr>
          <w:color w:val="auto"/>
          <w:sz w:val="21"/>
          <w:szCs w:val="21"/>
          <w:highlight w:val="none"/>
        </w:rPr>
      </w:pPr>
      <w:bookmarkStart w:id="19" w:name="_Toc24583"/>
      <w:r>
        <w:rPr>
          <w:rFonts w:hint="eastAsia"/>
          <w:color w:val="auto"/>
          <w:sz w:val="21"/>
          <w:szCs w:val="21"/>
          <w:highlight w:val="none"/>
        </w:rPr>
        <w:t>可选办法七（适合综合评分法四，技术标与经济标同时开启）</w:t>
      </w:r>
      <w:bookmarkEnd w:id="19"/>
    </w:p>
    <w:p w14:paraId="318E06A4">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40．开标和评标程序</w:t>
      </w:r>
    </w:p>
    <w:p w14:paraId="5A4EF538">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40.1技术标（含资格审查文件）与经济标投标文件同时公开开标；</w:t>
      </w:r>
    </w:p>
    <w:p w14:paraId="1E723DCA">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40.2由评标委员会对所有已公开开标的投标人进行资格审查；</w:t>
      </w:r>
    </w:p>
    <w:p w14:paraId="3A5A5F8F">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40.3技术标投标文件有效性审查；</w:t>
      </w:r>
    </w:p>
    <w:p w14:paraId="2CDADD1E">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40.4技术标详细审查评分；</w:t>
      </w:r>
    </w:p>
    <w:p w14:paraId="2B8955C2">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40.5经济标详细审查评分；</w:t>
      </w:r>
      <w:r>
        <w:rPr>
          <w:rFonts w:ascii="宋体"/>
          <w:color w:val="auto"/>
          <w:sz w:val="21"/>
          <w:szCs w:val="21"/>
          <w:highlight w:val="none"/>
        </w:rPr>
        <w:t xml:space="preserve"> </w:t>
      </w:r>
    </w:p>
    <w:p w14:paraId="541AA045">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40.6评标委员会按照投标人总得分由高至低排序；</w:t>
      </w:r>
    </w:p>
    <w:p w14:paraId="5A7388DE">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40.7经济标投标文件有效性审查；</w:t>
      </w:r>
    </w:p>
    <w:p w14:paraId="058B74A8">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40.8评标委员会按排序向招标人推荐中标候选人名单，并递交资格审查报告及评标报告。</w:t>
      </w:r>
    </w:p>
    <w:p w14:paraId="721696E6">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41．开标细则</w:t>
      </w:r>
    </w:p>
    <w:p w14:paraId="7BC69869">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41.1开标由招标人主持；</w:t>
      </w:r>
    </w:p>
    <w:p w14:paraId="4D83BE4A">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41.2 细则</w:t>
      </w:r>
    </w:p>
    <w:p w14:paraId="5F4B9922">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41.2.1投标截止期前，各投标人递交投标文件（包括技术标投标文件、经济标投标文件）至</w:t>
      </w:r>
      <w:r>
        <w:rPr>
          <w:rFonts w:hint="eastAsia" w:ascii="宋体"/>
          <w:color w:val="auto"/>
          <w:sz w:val="21"/>
          <w:szCs w:val="21"/>
          <w:highlight w:val="none"/>
          <w:u w:val="single"/>
        </w:rPr>
        <w:t xml:space="preserve">        </w:t>
      </w:r>
      <w:r>
        <w:rPr>
          <w:rFonts w:hint="eastAsia" w:ascii="宋体"/>
          <w:color w:val="auto"/>
          <w:sz w:val="21"/>
          <w:szCs w:val="21"/>
          <w:highlight w:val="none"/>
        </w:rPr>
        <w:t xml:space="preserve">交易平台。有关投标文件提交的事项详见第一章投标须知。 </w:t>
      </w:r>
    </w:p>
    <w:p w14:paraId="0FA2C154">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41.2.2开标前，首先由招标人随机抽取确定该工程计算评标参考价的等分点值X。</w:t>
      </w:r>
    </w:p>
    <w:p w14:paraId="1CC1BC55">
      <w:pPr>
        <w:spacing w:line="360" w:lineRule="auto"/>
        <w:ind w:firstLine="420" w:firstLineChars="200"/>
        <w:rPr>
          <w:rFonts w:ascii="宋体" w:hAnsi="宋体"/>
          <w:color w:val="auto"/>
          <w:sz w:val="21"/>
          <w:szCs w:val="21"/>
          <w:highlight w:val="none"/>
        </w:rPr>
      </w:pPr>
      <w:r>
        <w:rPr>
          <w:rFonts w:hint="eastAsia" w:ascii="宋体"/>
          <w:color w:val="auto"/>
          <w:sz w:val="21"/>
          <w:szCs w:val="21"/>
          <w:highlight w:val="none"/>
        </w:rPr>
        <w:t>41.2.3</w:t>
      </w:r>
      <w:r>
        <w:rPr>
          <w:rFonts w:hint="eastAsia" w:ascii="宋体" w:hAnsi="宋体"/>
          <w:color w:val="auto"/>
          <w:sz w:val="21"/>
          <w:szCs w:val="21"/>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516131E3">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 xml:space="preserve">41.2.4按36.5.1的规定完成解密后，公布下列内容，并予以记录，记录提交评标委员会评审： </w:t>
      </w:r>
    </w:p>
    <w:p w14:paraId="6CFCD125">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41.2.4.1开标时，公布：a、投标人名称；b、</w:t>
      </w:r>
      <w:r>
        <w:rPr>
          <w:rFonts w:hint="eastAsia" w:ascii="宋体" w:hAnsi="宋体"/>
          <w:color w:val="auto"/>
          <w:sz w:val="21"/>
          <w:szCs w:val="21"/>
          <w:highlight w:val="none"/>
        </w:rPr>
        <w:t>投标文件</w:t>
      </w:r>
      <w:r>
        <w:rPr>
          <w:rFonts w:hint="eastAsia" w:ascii="宋体"/>
          <w:color w:val="auto"/>
          <w:sz w:val="21"/>
          <w:szCs w:val="21"/>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14:paraId="64C23FB2">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41.3招标人对开标过程进行记录，并存档备查，投标人在技术标开标记录上签字。</w:t>
      </w:r>
    </w:p>
    <w:p w14:paraId="711EEF01">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41.4 招标人将上述符合要求的投标文件，送至评标委员会进行评审。</w:t>
      </w:r>
    </w:p>
    <w:p w14:paraId="5BB8FCD3">
      <w:pPr>
        <w:pStyle w:val="25"/>
        <w:tabs>
          <w:tab w:val="left" w:pos="7380"/>
        </w:tabs>
        <w:snapToGrid w:val="0"/>
        <w:spacing w:after="0" w:line="360" w:lineRule="auto"/>
        <w:ind w:firstLine="420" w:firstLineChars="200"/>
        <w:rPr>
          <w:rFonts w:ascii="宋体"/>
          <w:color w:val="auto"/>
          <w:sz w:val="21"/>
          <w:szCs w:val="21"/>
          <w:highlight w:val="none"/>
        </w:rPr>
      </w:pPr>
      <w:r>
        <w:rPr>
          <w:rFonts w:hint="eastAsia" w:ascii="宋体"/>
          <w:color w:val="auto"/>
          <w:sz w:val="21"/>
          <w:szCs w:val="21"/>
          <w:highlight w:val="none"/>
        </w:rPr>
        <w:t>42. 资格审查及评标细则</w:t>
      </w:r>
    </w:p>
    <w:p w14:paraId="210F6E1E">
      <w:pPr>
        <w:pStyle w:val="25"/>
        <w:tabs>
          <w:tab w:val="left" w:pos="7380"/>
        </w:tabs>
        <w:snapToGrid w:val="0"/>
        <w:spacing w:after="0" w:line="360" w:lineRule="auto"/>
        <w:ind w:firstLine="420" w:firstLineChars="200"/>
        <w:rPr>
          <w:rFonts w:ascii="宋体"/>
          <w:color w:val="auto"/>
          <w:sz w:val="21"/>
          <w:szCs w:val="21"/>
          <w:highlight w:val="none"/>
        </w:rPr>
      </w:pPr>
      <w:r>
        <w:rPr>
          <w:rFonts w:hint="eastAsia" w:ascii="宋体"/>
          <w:color w:val="auto"/>
          <w:sz w:val="21"/>
          <w:szCs w:val="21"/>
          <w:highlight w:val="none"/>
        </w:rPr>
        <w:t>42.1资格审查及评标均由招标人依法组建的评标委员会负责。</w:t>
      </w:r>
    </w:p>
    <w:p w14:paraId="48FFEC93">
      <w:pPr>
        <w:pStyle w:val="25"/>
        <w:tabs>
          <w:tab w:val="left" w:pos="7380"/>
        </w:tabs>
        <w:snapToGrid w:val="0"/>
        <w:spacing w:after="0" w:line="360" w:lineRule="auto"/>
        <w:ind w:firstLine="420" w:firstLineChars="200"/>
        <w:rPr>
          <w:rFonts w:ascii="宋体"/>
          <w:color w:val="auto"/>
          <w:sz w:val="21"/>
          <w:szCs w:val="21"/>
          <w:highlight w:val="none"/>
        </w:rPr>
      </w:pPr>
      <w:r>
        <w:rPr>
          <w:rFonts w:hint="eastAsia" w:ascii="宋体"/>
          <w:color w:val="auto"/>
          <w:sz w:val="21"/>
          <w:szCs w:val="21"/>
          <w:highlight w:val="none"/>
        </w:rPr>
        <w:t>42.2评标委员会的组成：方式</w:t>
      </w:r>
      <w:r>
        <w:rPr>
          <w:rFonts w:hint="eastAsia" w:ascii="宋体"/>
          <w:color w:val="auto"/>
          <w:sz w:val="21"/>
          <w:szCs w:val="21"/>
          <w:highlight w:val="none"/>
          <w:u w:val="single"/>
        </w:rPr>
        <w:t xml:space="preserve">   </w:t>
      </w:r>
      <w:r>
        <w:rPr>
          <w:rFonts w:hint="eastAsia" w:ascii="宋体"/>
          <w:color w:val="auto"/>
          <w:sz w:val="21"/>
          <w:szCs w:val="21"/>
          <w:highlight w:val="none"/>
        </w:rPr>
        <w:t>。</w:t>
      </w:r>
    </w:p>
    <w:p w14:paraId="52D232FE">
      <w:pPr>
        <w:snapToGrid w:val="0"/>
        <w:spacing w:line="360" w:lineRule="auto"/>
        <w:ind w:firstLine="420" w:firstLineChars="200"/>
        <w:rPr>
          <w:rFonts w:ascii="宋体"/>
          <w:color w:val="auto"/>
          <w:sz w:val="21"/>
          <w:szCs w:val="21"/>
          <w:highlight w:val="none"/>
        </w:rPr>
      </w:pPr>
      <w:r>
        <w:rPr>
          <w:rFonts w:hint="eastAsia" w:ascii="宋体"/>
          <w:color w:val="auto"/>
          <w:sz w:val="21"/>
          <w:szCs w:val="21"/>
          <w:highlight w:val="none"/>
        </w:rPr>
        <w:t>方式一：评标委员会为综合评标委员会，负责资格审查及评标工作。</w:t>
      </w:r>
    </w:p>
    <w:p w14:paraId="43326D49">
      <w:pPr>
        <w:pStyle w:val="25"/>
        <w:tabs>
          <w:tab w:val="left" w:pos="7380"/>
        </w:tabs>
        <w:snapToGrid w:val="0"/>
        <w:spacing w:after="0" w:line="360" w:lineRule="auto"/>
        <w:rPr>
          <w:rFonts w:ascii="宋体"/>
          <w:color w:val="auto"/>
          <w:sz w:val="21"/>
          <w:szCs w:val="21"/>
          <w:highlight w:val="none"/>
        </w:rPr>
      </w:pPr>
      <w:r>
        <w:rPr>
          <w:rFonts w:hint="eastAsia" w:ascii="宋体"/>
          <w:color w:val="auto"/>
          <w:sz w:val="21"/>
          <w:szCs w:val="21"/>
          <w:highlight w:val="none"/>
        </w:rPr>
        <w:t>方式二：评标委员会由技术评审组和经济评审组组成。其中：资格审查及技术评审由技术评标组负责，经济评审由经济评审组负责。</w:t>
      </w:r>
    </w:p>
    <w:p w14:paraId="43DB7821">
      <w:pPr>
        <w:pStyle w:val="25"/>
        <w:tabs>
          <w:tab w:val="left" w:pos="7380"/>
        </w:tabs>
        <w:snapToGrid w:val="0"/>
        <w:spacing w:after="0" w:line="360" w:lineRule="auto"/>
        <w:ind w:firstLine="420" w:firstLineChars="200"/>
        <w:rPr>
          <w:rFonts w:ascii="宋体"/>
          <w:color w:val="auto"/>
          <w:sz w:val="21"/>
          <w:szCs w:val="21"/>
          <w:highlight w:val="none"/>
        </w:rPr>
      </w:pPr>
      <w:r>
        <w:rPr>
          <w:rFonts w:hint="eastAsia" w:ascii="宋体"/>
          <w:color w:val="auto"/>
          <w:sz w:val="21"/>
          <w:szCs w:val="21"/>
          <w:highlight w:val="none"/>
        </w:rPr>
        <w:t>43．投标人资格审查</w:t>
      </w:r>
    </w:p>
    <w:p w14:paraId="79077478">
      <w:pPr>
        <w:pStyle w:val="25"/>
        <w:tabs>
          <w:tab w:val="left" w:pos="7380"/>
        </w:tabs>
        <w:snapToGrid w:val="0"/>
        <w:spacing w:after="0" w:line="360" w:lineRule="auto"/>
        <w:ind w:firstLine="420" w:firstLineChars="200"/>
        <w:rPr>
          <w:rFonts w:ascii="宋体"/>
          <w:color w:val="auto"/>
          <w:sz w:val="21"/>
          <w:szCs w:val="21"/>
          <w:highlight w:val="none"/>
        </w:rPr>
      </w:pPr>
      <w:r>
        <w:rPr>
          <w:rFonts w:hint="eastAsia" w:ascii="宋体"/>
          <w:color w:val="auto"/>
          <w:sz w:val="21"/>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19AEDA28">
      <w:pPr>
        <w:pStyle w:val="25"/>
        <w:tabs>
          <w:tab w:val="left" w:pos="7380"/>
        </w:tabs>
        <w:snapToGrid w:val="0"/>
        <w:spacing w:after="0" w:line="360" w:lineRule="auto"/>
        <w:ind w:firstLine="420" w:firstLineChars="200"/>
        <w:rPr>
          <w:rFonts w:ascii="宋体"/>
          <w:color w:val="auto"/>
          <w:sz w:val="21"/>
          <w:szCs w:val="21"/>
          <w:highlight w:val="none"/>
        </w:rPr>
      </w:pPr>
      <w:r>
        <w:rPr>
          <w:rFonts w:hint="eastAsia" w:ascii="宋体"/>
          <w:color w:val="auto"/>
          <w:sz w:val="21"/>
          <w:szCs w:val="21"/>
          <w:highlight w:val="none"/>
        </w:rPr>
        <w:t>43.2汇总资格审查情况，编写资格审查报告。</w:t>
      </w:r>
    </w:p>
    <w:p w14:paraId="4BB0511E">
      <w:pPr>
        <w:pStyle w:val="25"/>
        <w:tabs>
          <w:tab w:val="left" w:pos="7380"/>
        </w:tabs>
        <w:snapToGrid w:val="0"/>
        <w:spacing w:after="0" w:line="360" w:lineRule="auto"/>
        <w:ind w:firstLine="420" w:firstLineChars="200"/>
        <w:rPr>
          <w:rFonts w:ascii="宋体"/>
          <w:color w:val="auto"/>
          <w:sz w:val="21"/>
          <w:szCs w:val="21"/>
          <w:highlight w:val="none"/>
        </w:rPr>
      </w:pPr>
      <w:r>
        <w:rPr>
          <w:rFonts w:hint="eastAsia" w:ascii="宋体"/>
          <w:color w:val="auto"/>
          <w:sz w:val="21"/>
          <w:szCs w:val="21"/>
          <w:highlight w:val="none"/>
        </w:rPr>
        <w:t>43.3资格审查不合格的投标文件不参加下一阶段的评标，不参与评标参考价的计算。</w:t>
      </w:r>
    </w:p>
    <w:p w14:paraId="572A6F07">
      <w:pPr>
        <w:pStyle w:val="25"/>
        <w:tabs>
          <w:tab w:val="left" w:pos="7380"/>
        </w:tabs>
        <w:snapToGrid w:val="0"/>
        <w:spacing w:after="0" w:line="360" w:lineRule="auto"/>
        <w:ind w:firstLine="420" w:firstLineChars="200"/>
        <w:rPr>
          <w:rFonts w:ascii="宋体"/>
          <w:color w:val="auto"/>
          <w:sz w:val="21"/>
          <w:szCs w:val="21"/>
          <w:highlight w:val="none"/>
        </w:rPr>
      </w:pPr>
      <w:r>
        <w:rPr>
          <w:rFonts w:hint="eastAsia" w:ascii="宋体"/>
          <w:color w:val="auto"/>
          <w:sz w:val="21"/>
          <w:szCs w:val="21"/>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2F30B341">
      <w:pPr>
        <w:pStyle w:val="25"/>
        <w:tabs>
          <w:tab w:val="left" w:pos="7380"/>
        </w:tabs>
        <w:snapToGrid w:val="0"/>
        <w:spacing w:after="0" w:line="360" w:lineRule="auto"/>
        <w:ind w:firstLine="420" w:firstLineChars="200"/>
        <w:rPr>
          <w:rFonts w:ascii="宋体"/>
          <w:color w:val="auto"/>
          <w:sz w:val="21"/>
          <w:szCs w:val="21"/>
          <w:highlight w:val="none"/>
        </w:rPr>
      </w:pPr>
      <w:r>
        <w:rPr>
          <w:rFonts w:hint="eastAsia" w:ascii="宋体"/>
          <w:color w:val="auto"/>
          <w:sz w:val="21"/>
          <w:szCs w:val="21"/>
          <w:highlight w:val="none"/>
        </w:rPr>
        <w:t>43.5资审合格后，投标人的资格发生变化而不满足投标人合格条件，在发出中标通知书前，资格问题仍未解决的，招标人将取消其中标资格。</w:t>
      </w:r>
    </w:p>
    <w:p w14:paraId="1C72A0F0">
      <w:pPr>
        <w:pStyle w:val="25"/>
        <w:tabs>
          <w:tab w:val="left" w:pos="7380"/>
        </w:tabs>
        <w:snapToGrid w:val="0"/>
        <w:spacing w:after="0" w:line="360" w:lineRule="auto"/>
        <w:ind w:firstLine="420" w:firstLineChars="200"/>
        <w:rPr>
          <w:rFonts w:ascii="宋体"/>
          <w:color w:val="auto"/>
          <w:sz w:val="21"/>
          <w:szCs w:val="21"/>
          <w:highlight w:val="none"/>
        </w:rPr>
      </w:pPr>
      <w:r>
        <w:rPr>
          <w:rFonts w:hint="eastAsia" w:ascii="宋体"/>
          <w:color w:val="auto"/>
          <w:sz w:val="21"/>
          <w:szCs w:val="21"/>
          <w:highlight w:val="none"/>
        </w:rPr>
        <w:t>43.6资格审查合格的投标人少于3名的（当N个标段同时招标且不允许兼中时，资格审查合格的投标人少于N+2名），则本项目招标失败。</w:t>
      </w:r>
    </w:p>
    <w:p w14:paraId="614EF250">
      <w:pPr>
        <w:pStyle w:val="25"/>
        <w:tabs>
          <w:tab w:val="left" w:pos="7380"/>
        </w:tabs>
        <w:snapToGrid w:val="0"/>
        <w:spacing w:after="0" w:line="360" w:lineRule="auto"/>
        <w:ind w:firstLine="420" w:firstLineChars="200"/>
        <w:rPr>
          <w:rFonts w:ascii="宋体"/>
          <w:color w:val="auto"/>
          <w:sz w:val="21"/>
          <w:szCs w:val="21"/>
          <w:highlight w:val="none"/>
        </w:rPr>
      </w:pPr>
      <w:r>
        <w:rPr>
          <w:rFonts w:hint="eastAsia" w:ascii="宋体"/>
          <w:color w:val="auto"/>
          <w:sz w:val="21"/>
          <w:szCs w:val="21"/>
          <w:highlight w:val="none"/>
        </w:rPr>
        <w:t>44．技术标评审</w:t>
      </w:r>
    </w:p>
    <w:p w14:paraId="74B32949">
      <w:pPr>
        <w:pStyle w:val="25"/>
        <w:tabs>
          <w:tab w:val="left" w:pos="7380"/>
        </w:tabs>
        <w:snapToGrid w:val="0"/>
        <w:spacing w:after="0" w:line="360" w:lineRule="auto"/>
        <w:ind w:firstLine="420" w:firstLineChars="200"/>
        <w:rPr>
          <w:rFonts w:ascii="宋体"/>
          <w:color w:val="auto"/>
          <w:sz w:val="21"/>
          <w:szCs w:val="21"/>
          <w:highlight w:val="none"/>
        </w:rPr>
      </w:pPr>
      <w:r>
        <w:rPr>
          <w:rFonts w:hint="eastAsia" w:ascii="宋体"/>
          <w:color w:val="auto"/>
          <w:sz w:val="21"/>
          <w:szCs w:val="21"/>
          <w:highlight w:val="none"/>
        </w:rPr>
        <w:t>44.1</w:t>
      </w:r>
      <w:r>
        <w:rPr>
          <w:rFonts w:hint="eastAsia" w:ascii="宋体" w:hAnsi="宋体"/>
          <w:color w:val="auto"/>
          <w:sz w:val="21"/>
          <w:szCs w:val="21"/>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1C6C9AAC">
      <w:pPr>
        <w:pStyle w:val="25"/>
        <w:tabs>
          <w:tab w:val="left" w:pos="7380"/>
        </w:tabs>
        <w:snapToGrid w:val="0"/>
        <w:spacing w:after="0" w:line="360" w:lineRule="auto"/>
        <w:ind w:firstLine="420" w:firstLineChars="200"/>
        <w:rPr>
          <w:rFonts w:ascii="宋体"/>
          <w:color w:val="auto"/>
          <w:sz w:val="21"/>
          <w:szCs w:val="21"/>
          <w:highlight w:val="none"/>
        </w:rPr>
      </w:pPr>
      <w:r>
        <w:rPr>
          <w:rFonts w:hint="eastAsia" w:ascii="宋体"/>
          <w:color w:val="auto"/>
          <w:sz w:val="21"/>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578DB130">
      <w:pPr>
        <w:pStyle w:val="25"/>
        <w:tabs>
          <w:tab w:val="left" w:pos="7380"/>
        </w:tabs>
        <w:snapToGrid w:val="0"/>
        <w:spacing w:after="0" w:line="360" w:lineRule="auto"/>
        <w:ind w:firstLine="420" w:firstLineChars="200"/>
        <w:rPr>
          <w:rFonts w:ascii="宋体"/>
          <w:color w:val="auto"/>
          <w:sz w:val="21"/>
          <w:szCs w:val="21"/>
          <w:highlight w:val="none"/>
        </w:rPr>
      </w:pPr>
      <w:r>
        <w:rPr>
          <w:rFonts w:hint="eastAsia" w:ascii="宋体"/>
          <w:color w:val="auto"/>
          <w:sz w:val="21"/>
          <w:szCs w:val="21"/>
          <w:highlight w:val="none"/>
        </w:rPr>
        <w:t>45．经济标评审和得分汇总</w:t>
      </w:r>
    </w:p>
    <w:p w14:paraId="73BC2EEB">
      <w:pPr>
        <w:pStyle w:val="25"/>
        <w:tabs>
          <w:tab w:val="left" w:pos="7380"/>
        </w:tabs>
        <w:snapToGrid w:val="0"/>
        <w:spacing w:after="0"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45.1若通过技术标有效性审查的投标人中所有投标报价均大于等于最高投标限价，则本项目招标失败，由招标人依法重新招标。</w:t>
      </w:r>
    </w:p>
    <w:p w14:paraId="0716DE60">
      <w:pPr>
        <w:pStyle w:val="25"/>
        <w:tabs>
          <w:tab w:val="left" w:pos="7380"/>
        </w:tabs>
        <w:snapToGrid w:val="0"/>
        <w:spacing w:after="0"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 xml:space="preserve"> 45.2计算评标参考价：</w:t>
      </w:r>
    </w:p>
    <w:p w14:paraId="5CA607C0">
      <w:pPr>
        <w:widowControl/>
        <w:spacing w:line="360" w:lineRule="auto"/>
        <w:ind w:firstLine="422" w:firstLineChars="200"/>
        <w:rPr>
          <w:rFonts w:ascii="宋体" w:hAnsi="宋体"/>
          <w:b/>
          <w:bCs/>
          <w:color w:val="auto"/>
          <w:kern w:val="0"/>
          <w:sz w:val="21"/>
          <w:szCs w:val="21"/>
          <w:highlight w:val="none"/>
        </w:rPr>
      </w:pPr>
      <w:r>
        <w:rPr>
          <w:rFonts w:hint="eastAsia" w:ascii="宋体" w:hAnsi="宋体" w:cs="仿宋"/>
          <w:b/>
          <w:bCs/>
          <w:color w:val="auto"/>
          <w:kern w:val="0"/>
          <w:sz w:val="21"/>
          <w:szCs w:val="21"/>
          <w:highlight w:val="none"/>
        </w:rPr>
        <w:t>区间抽取法：</w:t>
      </w:r>
    </w:p>
    <w:p w14:paraId="5A4A4FF4">
      <w:pPr>
        <w:widowControl/>
        <w:snapToGrid w:val="0"/>
        <w:spacing w:line="360" w:lineRule="auto"/>
        <w:ind w:firstLine="420" w:firstLineChars="200"/>
        <w:rPr>
          <w:rFonts w:ascii="宋体" w:hAnsi="宋体"/>
          <w:color w:val="auto"/>
          <w:kern w:val="0"/>
          <w:sz w:val="21"/>
          <w:szCs w:val="21"/>
          <w:highlight w:val="none"/>
        </w:rPr>
      </w:pPr>
      <w:r>
        <w:rPr>
          <w:rFonts w:hint="eastAsia" w:ascii="宋体" w:hAnsi="宋体" w:cs="仿宋"/>
          <w:color w:val="auto"/>
          <w:sz w:val="21"/>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30188E3D">
      <w:pPr>
        <w:widowControl/>
        <w:snapToGrid w:val="0"/>
        <w:spacing w:line="360" w:lineRule="auto"/>
        <w:ind w:firstLine="420" w:firstLineChars="200"/>
        <w:rPr>
          <w:rFonts w:ascii="宋体" w:hAnsi="宋体"/>
          <w:color w:val="auto"/>
          <w:kern w:val="0"/>
          <w:sz w:val="21"/>
          <w:szCs w:val="21"/>
          <w:highlight w:val="none"/>
          <w:vertAlign w:val="subscript"/>
        </w:rPr>
      </w:pPr>
      <w:r>
        <w:rPr>
          <w:rFonts w:hint="eastAsia" w:ascii="宋体" w:hAnsi="宋体" w:cs="仿宋"/>
          <w:color w:val="auto"/>
          <w:kern w:val="0"/>
          <w:sz w:val="21"/>
          <w:szCs w:val="21"/>
          <w:highlight w:val="none"/>
        </w:rPr>
        <w:t>评标参考价</w:t>
      </w:r>
      <w:r>
        <w:rPr>
          <w:rFonts w:ascii="宋体" w:hAnsi="宋体" w:cs="仿宋"/>
          <w:color w:val="auto"/>
          <w:kern w:val="0"/>
          <w:sz w:val="21"/>
          <w:szCs w:val="21"/>
          <w:highlight w:val="none"/>
        </w:rPr>
        <w:t>=</w:t>
      </w:r>
      <w:r>
        <w:rPr>
          <w:rFonts w:hint="eastAsia" w:ascii="宋体" w:hAnsi="宋体" w:cs="仿宋"/>
          <w:color w:val="auto"/>
          <w:kern w:val="0"/>
          <w:sz w:val="21"/>
          <w:szCs w:val="21"/>
          <w:highlight w:val="none"/>
        </w:rPr>
        <w:t>（</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高</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低</w:t>
      </w:r>
      <w:r>
        <w:rPr>
          <w:rFonts w:hint="eastAsia" w:ascii="宋体" w:hAnsi="宋体" w:cs="仿宋"/>
          <w:color w:val="auto"/>
          <w:kern w:val="0"/>
          <w:sz w:val="21"/>
          <w:szCs w:val="21"/>
          <w:highlight w:val="none"/>
        </w:rPr>
        <w:t>）</w:t>
      </w:r>
      <w:r>
        <w:rPr>
          <w:rFonts w:ascii="宋体" w:hAnsi="宋体" w:cs="仿宋"/>
          <w:color w:val="auto"/>
          <w:kern w:val="0"/>
          <w:sz w:val="21"/>
          <w:szCs w:val="21"/>
          <w:highlight w:val="none"/>
        </w:rPr>
        <w:t>/100*</w:t>
      </w:r>
      <w:r>
        <w:rPr>
          <w:rFonts w:hint="eastAsia" w:ascii="宋体" w:hAnsi="宋体" w:cs="仿宋"/>
          <w:color w:val="auto"/>
          <w:kern w:val="0"/>
          <w:sz w:val="21"/>
          <w:szCs w:val="21"/>
          <w:highlight w:val="none"/>
        </w:rPr>
        <w:t>Ｘ</w:t>
      </w: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低</w:t>
      </w:r>
    </w:p>
    <w:p w14:paraId="48CEAC72">
      <w:pPr>
        <w:widowControl/>
        <w:snapToGrid w:val="0"/>
        <w:spacing w:line="360" w:lineRule="auto"/>
        <w:ind w:firstLine="420" w:firstLineChars="200"/>
        <w:rPr>
          <w:rFonts w:ascii="宋体" w:hAnsi="宋体"/>
          <w:color w:val="auto"/>
          <w:sz w:val="21"/>
          <w:szCs w:val="21"/>
          <w:highlight w:val="none"/>
        </w:rPr>
      </w:pPr>
      <w:r>
        <w:rPr>
          <w:rFonts w:ascii="宋体" w:hAnsi="宋体" w:cs="仿宋"/>
          <w:color w:val="auto"/>
          <w:sz w:val="21"/>
          <w:szCs w:val="21"/>
          <w:highlight w:val="none"/>
        </w:rPr>
        <w:t>Q</w:t>
      </w:r>
      <w:r>
        <w:rPr>
          <w:rFonts w:hint="eastAsia" w:ascii="宋体" w:hAnsi="宋体" w:cs="仿宋"/>
          <w:color w:val="auto"/>
          <w:sz w:val="21"/>
          <w:szCs w:val="21"/>
          <w:highlight w:val="none"/>
          <w:vertAlign w:val="subscript"/>
        </w:rPr>
        <w:t>低</w:t>
      </w:r>
      <w:r>
        <w:rPr>
          <w:rFonts w:hint="eastAsia" w:ascii="宋体" w:hAnsi="宋体" w:cs="仿宋"/>
          <w:color w:val="auto"/>
          <w:sz w:val="21"/>
          <w:szCs w:val="21"/>
          <w:highlight w:val="none"/>
        </w:rPr>
        <w:t>：为达到或超过技术标及格分数线的投标人最低报价与工程成本警示价两者中的较高值；</w:t>
      </w:r>
    </w:p>
    <w:p w14:paraId="19743F09">
      <w:pPr>
        <w:spacing w:line="360" w:lineRule="auto"/>
        <w:ind w:firstLine="420" w:firstLineChars="200"/>
        <w:rPr>
          <w:rFonts w:ascii="宋体" w:hAnsi="宋体" w:cs="仿宋"/>
          <w:color w:val="auto"/>
          <w:sz w:val="21"/>
          <w:szCs w:val="21"/>
          <w:highlight w:val="none"/>
        </w:rPr>
      </w:pPr>
      <w:r>
        <w:rPr>
          <w:rFonts w:ascii="宋体" w:hAnsi="宋体" w:cs="仿宋"/>
          <w:color w:val="auto"/>
          <w:kern w:val="0"/>
          <w:sz w:val="21"/>
          <w:szCs w:val="21"/>
          <w:highlight w:val="none"/>
        </w:rPr>
        <w:t>Q</w:t>
      </w:r>
      <w:r>
        <w:rPr>
          <w:rFonts w:hint="eastAsia" w:ascii="宋体" w:hAnsi="宋体" w:cs="仿宋"/>
          <w:color w:val="auto"/>
          <w:kern w:val="0"/>
          <w:sz w:val="21"/>
          <w:szCs w:val="21"/>
          <w:highlight w:val="none"/>
          <w:vertAlign w:val="subscript"/>
        </w:rPr>
        <w:t>高</w:t>
      </w:r>
      <w:r>
        <w:rPr>
          <w:rFonts w:hint="eastAsia" w:ascii="宋体" w:hAnsi="宋体" w:cs="仿宋"/>
          <w:color w:val="auto"/>
          <w:sz w:val="21"/>
          <w:szCs w:val="21"/>
          <w:highlight w:val="none"/>
        </w:rPr>
        <w:t>：最高投标限价</w:t>
      </w:r>
    </w:p>
    <w:p w14:paraId="6A8C6C63">
      <w:pPr>
        <w:spacing w:line="360" w:lineRule="auto"/>
        <w:ind w:firstLine="420" w:firstLineChars="200"/>
        <w:rPr>
          <w:rFonts w:ascii="宋体" w:hAnsi="宋体"/>
          <w:color w:val="auto"/>
          <w:sz w:val="21"/>
          <w:szCs w:val="21"/>
          <w:highlight w:val="none"/>
        </w:rPr>
      </w:pPr>
      <w:r>
        <w:rPr>
          <w:rFonts w:ascii="宋体" w:hAnsi="宋体" w:cs="仿宋"/>
          <w:color w:val="auto"/>
          <w:sz w:val="21"/>
          <w:szCs w:val="21"/>
          <w:highlight w:val="none"/>
        </w:rPr>
        <w:t>X</w:t>
      </w:r>
      <w:r>
        <w:rPr>
          <w:rFonts w:hint="eastAsia" w:ascii="宋体" w:hAnsi="宋体" w:cs="仿宋"/>
          <w:color w:val="auto"/>
          <w:sz w:val="21"/>
          <w:szCs w:val="21"/>
          <w:highlight w:val="none"/>
        </w:rPr>
        <w:t>：为等分点值，在开标前从</w:t>
      </w:r>
      <w:r>
        <w:rPr>
          <w:rFonts w:ascii="宋体" w:hAnsi="宋体" w:cs="仿宋"/>
          <w:color w:val="auto"/>
          <w:sz w:val="21"/>
          <w:szCs w:val="21"/>
          <w:highlight w:val="none"/>
        </w:rPr>
        <w:t>[0,100]</w:t>
      </w:r>
      <w:r>
        <w:rPr>
          <w:rFonts w:hint="eastAsia" w:ascii="宋体" w:hAnsi="宋体" w:cs="仿宋"/>
          <w:color w:val="auto"/>
          <w:sz w:val="21"/>
          <w:szCs w:val="21"/>
          <w:highlight w:val="none"/>
        </w:rPr>
        <w:t>整数中随机抽取</w:t>
      </w:r>
    </w:p>
    <w:p w14:paraId="006EC152">
      <w:pPr>
        <w:spacing w:line="360" w:lineRule="auto"/>
        <w:ind w:firstLine="420" w:firstLineChars="200"/>
        <w:rPr>
          <w:rFonts w:ascii="宋体" w:hAnsi="宋体"/>
          <w:color w:val="auto"/>
          <w:sz w:val="21"/>
          <w:szCs w:val="21"/>
          <w:highlight w:val="none"/>
        </w:rPr>
      </w:pPr>
      <w:r>
        <w:rPr>
          <w:rFonts w:hint="eastAsia" w:ascii="宋体" w:hAnsi="宋体" w:cs="宋体"/>
          <w:color w:val="auto"/>
          <w:kern w:val="0"/>
          <w:sz w:val="21"/>
          <w:szCs w:val="21"/>
          <w:highlight w:val="none"/>
        </w:rPr>
        <w:t>45.3</w:t>
      </w:r>
      <w:r>
        <w:rPr>
          <w:rFonts w:hint="eastAsia" w:ascii="宋体" w:hAnsi="宋体"/>
          <w:color w:val="auto"/>
          <w:sz w:val="21"/>
          <w:szCs w:val="21"/>
          <w:highlight w:val="none"/>
        </w:rPr>
        <w:t>当标价等于评标参考价时得</w:t>
      </w:r>
      <w:r>
        <w:rPr>
          <w:rFonts w:ascii="宋体" w:hAnsi="宋体"/>
          <w:color w:val="auto"/>
          <w:sz w:val="21"/>
          <w:szCs w:val="21"/>
          <w:highlight w:val="none"/>
        </w:rPr>
        <w:t>100</w:t>
      </w:r>
      <w:r>
        <w:rPr>
          <w:rFonts w:hint="eastAsia" w:ascii="宋体" w:hAnsi="宋体"/>
          <w:color w:val="auto"/>
          <w:sz w:val="21"/>
          <w:szCs w:val="21"/>
          <w:highlight w:val="none"/>
        </w:rPr>
        <w:t>分，标价每高于评标参考价</w:t>
      </w:r>
      <w:r>
        <w:rPr>
          <w:rFonts w:ascii="宋体" w:hAnsi="宋体"/>
          <w:color w:val="auto"/>
          <w:sz w:val="21"/>
          <w:szCs w:val="21"/>
          <w:highlight w:val="none"/>
        </w:rPr>
        <w:t>1%</w:t>
      </w:r>
      <w:r>
        <w:rPr>
          <w:rFonts w:hint="eastAsia" w:ascii="宋体" w:hAnsi="宋体"/>
          <w:color w:val="auto"/>
          <w:sz w:val="21"/>
          <w:szCs w:val="21"/>
          <w:highlight w:val="none"/>
        </w:rPr>
        <w:t>，扣</w:t>
      </w:r>
      <w:r>
        <w:rPr>
          <w:rFonts w:ascii="宋体" w:hAnsi="宋体"/>
          <w:color w:val="auto"/>
          <w:sz w:val="21"/>
          <w:szCs w:val="21"/>
          <w:highlight w:val="none"/>
        </w:rPr>
        <w:t>1.5</w:t>
      </w:r>
      <w:r>
        <w:rPr>
          <w:rFonts w:hint="eastAsia" w:ascii="宋体" w:hAnsi="宋体"/>
          <w:color w:val="auto"/>
          <w:sz w:val="21"/>
          <w:szCs w:val="21"/>
          <w:highlight w:val="none"/>
        </w:rPr>
        <w:t>分，每低于评标参考价</w:t>
      </w:r>
      <w:r>
        <w:rPr>
          <w:rFonts w:ascii="宋体" w:hAnsi="宋体"/>
          <w:color w:val="auto"/>
          <w:sz w:val="21"/>
          <w:szCs w:val="21"/>
          <w:highlight w:val="none"/>
        </w:rPr>
        <w:t>1%</w:t>
      </w:r>
      <w:r>
        <w:rPr>
          <w:rFonts w:hint="eastAsia" w:ascii="宋体" w:hAnsi="宋体"/>
          <w:color w:val="auto"/>
          <w:sz w:val="21"/>
          <w:szCs w:val="21"/>
          <w:highlight w:val="none"/>
        </w:rPr>
        <w:t>，扣</w:t>
      </w:r>
      <w:r>
        <w:rPr>
          <w:rFonts w:ascii="宋体" w:hAnsi="宋体"/>
          <w:color w:val="auto"/>
          <w:sz w:val="21"/>
          <w:szCs w:val="21"/>
          <w:highlight w:val="none"/>
        </w:rPr>
        <w:t>1</w:t>
      </w:r>
      <w:r>
        <w:rPr>
          <w:rFonts w:hint="eastAsia" w:ascii="宋体" w:hAnsi="宋体"/>
          <w:color w:val="auto"/>
          <w:sz w:val="21"/>
          <w:szCs w:val="21"/>
          <w:highlight w:val="none"/>
        </w:rPr>
        <w:t>分，扣至</w:t>
      </w:r>
      <w:r>
        <w:rPr>
          <w:rFonts w:ascii="宋体" w:hAnsi="宋体"/>
          <w:color w:val="auto"/>
          <w:sz w:val="21"/>
          <w:szCs w:val="21"/>
          <w:highlight w:val="none"/>
        </w:rPr>
        <w:t>0</w:t>
      </w:r>
      <w:r>
        <w:rPr>
          <w:rFonts w:hint="eastAsia" w:ascii="宋体" w:hAnsi="宋体"/>
          <w:color w:val="auto"/>
          <w:sz w:val="21"/>
          <w:szCs w:val="21"/>
          <w:highlight w:val="none"/>
        </w:rPr>
        <w:t>分为止，得出经济分，精确到小数点后两位。</w:t>
      </w:r>
    </w:p>
    <w:p w14:paraId="60D8AFBA">
      <w:pPr>
        <w:pStyle w:val="25"/>
        <w:tabs>
          <w:tab w:val="left" w:pos="7380"/>
        </w:tabs>
        <w:snapToGrid w:val="0"/>
        <w:spacing w:after="0" w:line="360" w:lineRule="auto"/>
        <w:ind w:firstLine="420" w:firstLineChars="200"/>
        <w:rPr>
          <w:rFonts w:ascii="宋体"/>
          <w:color w:val="auto"/>
          <w:sz w:val="21"/>
          <w:szCs w:val="21"/>
          <w:highlight w:val="none"/>
        </w:rPr>
      </w:pPr>
      <w:r>
        <w:rPr>
          <w:rFonts w:hint="eastAsia" w:ascii="宋体" w:hAnsi="宋体"/>
          <w:color w:val="auto"/>
          <w:sz w:val="21"/>
          <w:szCs w:val="21"/>
          <w:highlight w:val="none"/>
        </w:rPr>
        <w:t>45.4</w:t>
      </w:r>
      <w:r>
        <w:rPr>
          <w:rFonts w:hint="eastAsia" w:ascii="宋体"/>
          <w:color w:val="auto"/>
          <w:sz w:val="21"/>
          <w:szCs w:val="21"/>
          <w:highlight w:val="none"/>
        </w:rPr>
        <w:t>计算通过技术标有效性审查的投标人总得分。投标人总得分=（技术得分×技术得分权重</w:t>
      </w:r>
      <w:r>
        <w:rPr>
          <w:rFonts w:hint="eastAsia" w:ascii="宋体" w:cs="宋体"/>
          <w:color w:val="auto"/>
          <w:sz w:val="21"/>
          <w:szCs w:val="21"/>
          <w:highlight w:val="none"/>
        </w:rPr>
        <w:t>＋</w:t>
      </w:r>
      <w:r>
        <w:rPr>
          <w:rFonts w:hint="eastAsia" w:ascii="宋体"/>
          <w:color w:val="auto"/>
          <w:sz w:val="21"/>
          <w:szCs w:val="21"/>
          <w:highlight w:val="none"/>
        </w:rPr>
        <w:t>经济得分×经济得分权重）×（1-综合诚信评价分数权重）</w:t>
      </w:r>
      <w:r>
        <w:rPr>
          <w:rFonts w:hint="eastAsia" w:ascii="宋体" w:cs="宋体"/>
          <w:color w:val="auto"/>
          <w:sz w:val="21"/>
          <w:szCs w:val="21"/>
          <w:highlight w:val="none"/>
        </w:rPr>
        <w:t>＋</w:t>
      </w:r>
      <w:r>
        <w:rPr>
          <w:rFonts w:hint="eastAsia" w:ascii="宋体"/>
          <w:color w:val="auto"/>
          <w:sz w:val="21"/>
          <w:szCs w:val="21"/>
          <w:highlight w:val="none"/>
        </w:rPr>
        <w:t>综合诚信评价排名得分×综合诚信评价分数权重）。技术、经济得分权重按投标须知前附表的规定执行。总得分四舍五入保留两位小数。</w:t>
      </w:r>
    </w:p>
    <w:p w14:paraId="0980E192">
      <w:pPr>
        <w:pStyle w:val="25"/>
        <w:tabs>
          <w:tab w:val="left" w:pos="7380"/>
        </w:tabs>
        <w:snapToGrid w:val="0"/>
        <w:spacing w:after="0"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46.经济标的有效性审查</w:t>
      </w:r>
    </w:p>
    <w:p w14:paraId="6A1998DE">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6A960938">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4</w:t>
      </w:r>
      <w:r>
        <w:rPr>
          <w:rFonts w:hint="eastAsia" w:ascii="宋体" w:hAnsi="宋体"/>
          <w:color w:val="auto"/>
          <w:sz w:val="21"/>
          <w:szCs w:val="21"/>
          <w:highlight w:val="none"/>
        </w:rPr>
        <w:t>6.2经济标的算术校核。评标委员会对进行经济标有效性审查的投标文件投标报价按照就低不就高的原则进行算术校核，具体标准如下：</w:t>
      </w:r>
    </w:p>
    <w:p w14:paraId="447F134A">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6.2.1如果数字表示的金额和用文字表示的金额不一致时，应以文字表示的金额为准；</w:t>
      </w:r>
    </w:p>
    <w:p w14:paraId="2E2DA510">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4</w:t>
      </w:r>
      <w:r>
        <w:rPr>
          <w:rFonts w:hint="eastAsia" w:ascii="宋体" w:hAnsi="宋体"/>
          <w:color w:val="auto"/>
          <w:sz w:val="21"/>
          <w:szCs w:val="21"/>
          <w:highlight w:val="none"/>
        </w:rPr>
        <w:t>6.2.2经算术复核的投标人报价与其投标报价不一致时，按就低不就高原则确定其最终报价；</w:t>
      </w:r>
    </w:p>
    <w:p w14:paraId="49E11322">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4</w:t>
      </w:r>
      <w:r>
        <w:rPr>
          <w:rFonts w:hint="eastAsia" w:ascii="宋体" w:hAnsi="宋体"/>
          <w:color w:val="auto"/>
          <w:sz w:val="21"/>
          <w:szCs w:val="21"/>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C201E9E">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4</w:t>
      </w:r>
      <w:r>
        <w:rPr>
          <w:rFonts w:hint="eastAsia" w:ascii="宋体" w:hAnsi="宋体"/>
          <w:color w:val="auto"/>
          <w:sz w:val="21"/>
          <w:szCs w:val="21"/>
          <w:highlight w:val="none"/>
        </w:rPr>
        <w:t>6.2.</w:t>
      </w:r>
      <w:r>
        <w:rPr>
          <w:rFonts w:ascii="宋体" w:hAnsi="宋体"/>
          <w:color w:val="auto"/>
          <w:sz w:val="21"/>
          <w:szCs w:val="21"/>
          <w:highlight w:val="none"/>
        </w:rPr>
        <w:t>4</w:t>
      </w:r>
      <w:r>
        <w:rPr>
          <w:rFonts w:hint="eastAsia" w:ascii="宋体" w:hAnsi="宋体"/>
          <w:color w:val="auto"/>
          <w:sz w:val="21"/>
          <w:szCs w:val="21"/>
          <w:highlight w:val="none"/>
        </w:rPr>
        <w:t>当合价、金额累加错误时，按就低不就高原则，如果累加修正值小于原累加值，则按累加修正值；如果累加修正值大于原累加值，则按原累加值；</w:t>
      </w:r>
    </w:p>
    <w:p w14:paraId="1C0FFD4C">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 xml:space="preserve"> </w:t>
      </w:r>
      <w:r>
        <w:rPr>
          <w:rFonts w:ascii="宋体" w:hAnsi="宋体"/>
          <w:color w:val="auto"/>
          <w:sz w:val="21"/>
          <w:szCs w:val="21"/>
          <w:highlight w:val="none"/>
        </w:rPr>
        <w:t>4</w:t>
      </w:r>
      <w:r>
        <w:rPr>
          <w:rFonts w:hint="eastAsia" w:ascii="宋体" w:hAnsi="宋体"/>
          <w:color w:val="auto"/>
          <w:sz w:val="21"/>
          <w:szCs w:val="21"/>
          <w:highlight w:val="none"/>
        </w:rPr>
        <w:t>6.2.</w:t>
      </w:r>
      <w:r>
        <w:rPr>
          <w:rFonts w:ascii="宋体" w:hAnsi="宋体"/>
          <w:color w:val="auto"/>
          <w:sz w:val="21"/>
          <w:szCs w:val="21"/>
          <w:highlight w:val="none"/>
        </w:rPr>
        <w:t>5</w:t>
      </w:r>
      <w:r>
        <w:rPr>
          <w:rFonts w:hint="eastAsia" w:ascii="宋体" w:hAnsi="宋体"/>
          <w:color w:val="auto"/>
          <w:sz w:val="21"/>
          <w:szCs w:val="21"/>
          <w:highlight w:val="none"/>
        </w:rPr>
        <w:t>如果投标人的有关规费、暂列金额、暂估价、绿色施工安全防护措施费等未按招标文件规定的金额填写的，由评标委员会按照招标文件规定的金额进行修正；</w:t>
      </w:r>
    </w:p>
    <w:p w14:paraId="6CEACCCF">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6.2.</w:t>
      </w:r>
      <w:r>
        <w:rPr>
          <w:rFonts w:ascii="宋体" w:hAnsi="宋体"/>
          <w:color w:val="auto"/>
          <w:sz w:val="21"/>
          <w:szCs w:val="21"/>
          <w:highlight w:val="none"/>
        </w:rPr>
        <w:t>6</w:t>
      </w:r>
      <w:r>
        <w:rPr>
          <w:rFonts w:hint="eastAsia" w:ascii="宋体" w:hAnsi="宋体"/>
          <w:color w:val="auto"/>
          <w:sz w:val="21"/>
          <w:szCs w:val="21"/>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A70CE21">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6.2.</w:t>
      </w:r>
      <w:r>
        <w:rPr>
          <w:rFonts w:ascii="宋体" w:hAnsi="宋体"/>
          <w:color w:val="auto"/>
          <w:sz w:val="21"/>
          <w:szCs w:val="21"/>
          <w:highlight w:val="none"/>
        </w:rPr>
        <w:t>7</w:t>
      </w:r>
      <w:r>
        <w:rPr>
          <w:rFonts w:hint="eastAsia" w:ascii="宋体" w:hAnsi="宋体"/>
          <w:color w:val="auto"/>
          <w:sz w:val="21"/>
          <w:szCs w:val="21"/>
          <w:highlight w:val="none"/>
        </w:rPr>
        <w:t>按就低不就高原则，当修正后报价小于原报价，总价按修正后报价；当修正后报价大于原报价，总价按原报价，并在签订合同时载明在结算价中扣除修正报价与原报价的差额。</w:t>
      </w:r>
    </w:p>
    <w:p w14:paraId="2795B28E">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6.2.</w:t>
      </w:r>
      <w:r>
        <w:rPr>
          <w:rFonts w:ascii="宋体" w:hAnsi="宋体"/>
          <w:color w:val="auto"/>
          <w:sz w:val="21"/>
          <w:szCs w:val="21"/>
          <w:highlight w:val="none"/>
        </w:rPr>
        <w:t>8</w:t>
      </w:r>
      <w:r>
        <w:rPr>
          <w:rFonts w:hint="eastAsia" w:ascii="宋体" w:hAnsi="宋体"/>
          <w:color w:val="auto"/>
          <w:sz w:val="21"/>
          <w:szCs w:val="21"/>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14:paraId="624746E4">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3E8B367A">
      <w:pPr>
        <w:spacing w:line="360" w:lineRule="auto"/>
        <w:ind w:firstLine="420" w:firstLineChars="200"/>
        <w:rPr>
          <w:rFonts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8.评标委员会应在通过投标文件经济标有效性审查的投标人中，按步骤45.4确定的投标人第二阶段排序，推荐前</w:t>
      </w:r>
      <w:r>
        <w:rPr>
          <w:rFonts w:ascii="宋体" w:hAnsi="宋体"/>
          <w:color w:val="auto"/>
          <w:sz w:val="21"/>
          <w:szCs w:val="21"/>
          <w:highlight w:val="none"/>
        </w:rPr>
        <w:t>3</w:t>
      </w:r>
      <w:r>
        <w:rPr>
          <w:rFonts w:hint="eastAsia" w:ascii="宋体" w:hAnsi="宋体"/>
          <w:color w:val="auto"/>
          <w:sz w:val="21"/>
          <w:szCs w:val="21"/>
          <w:highlight w:val="none"/>
        </w:rPr>
        <w:t>名依次为第一中标候选人至第三中标候选人，并编制评标报告。</w:t>
      </w:r>
    </w:p>
    <w:p w14:paraId="58CD967D">
      <w:pPr>
        <w:spacing w:line="360" w:lineRule="auto"/>
        <w:ind w:firstLine="420" w:firstLineChars="200"/>
        <w:rPr>
          <w:rFonts w:ascii="宋体" w:hAnsi="宋体"/>
          <w:color w:val="auto"/>
          <w:sz w:val="24"/>
          <w:szCs w:val="24"/>
          <w:highlight w:val="none"/>
        </w:rPr>
      </w:pPr>
      <w:r>
        <w:rPr>
          <w:rFonts w:ascii="宋体" w:hAnsi="宋体"/>
          <w:color w:val="auto"/>
          <w:sz w:val="21"/>
          <w:szCs w:val="21"/>
          <w:highlight w:val="none"/>
        </w:rPr>
        <w:t>4</w:t>
      </w:r>
      <w:r>
        <w:rPr>
          <w:rFonts w:hint="eastAsia" w:ascii="宋体" w:hAnsi="宋体"/>
          <w:color w:val="auto"/>
          <w:sz w:val="21"/>
          <w:szCs w:val="21"/>
          <w:highlight w:val="none"/>
        </w:rPr>
        <w:t>9.若通过经济标有效性审查的投标人不足三家，应当依法重新招标。（当</w:t>
      </w:r>
      <w:r>
        <w:rPr>
          <w:rFonts w:ascii="宋体" w:hAnsi="宋体"/>
          <w:color w:val="auto"/>
          <w:sz w:val="21"/>
          <w:szCs w:val="21"/>
          <w:highlight w:val="none"/>
        </w:rPr>
        <w:t>N</w:t>
      </w:r>
      <w:r>
        <w:rPr>
          <w:rFonts w:hint="eastAsia" w:ascii="宋体" w:hAnsi="宋体"/>
          <w:color w:val="auto"/>
          <w:sz w:val="21"/>
          <w:szCs w:val="21"/>
          <w:highlight w:val="none"/>
        </w:rPr>
        <w:t>个标段同时招标且不允许兼中时，若有效投标人不足</w:t>
      </w:r>
      <w:r>
        <w:rPr>
          <w:rFonts w:ascii="宋体" w:hAnsi="宋体"/>
          <w:color w:val="auto"/>
          <w:sz w:val="21"/>
          <w:szCs w:val="21"/>
          <w:highlight w:val="none"/>
        </w:rPr>
        <w:t>N+2</w:t>
      </w:r>
      <w:r>
        <w:rPr>
          <w:rFonts w:hint="eastAsia" w:ascii="宋体" w:hAnsi="宋体"/>
          <w:color w:val="auto"/>
          <w:sz w:val="21"/>
          <w:szCs w:val="21"/>
          <w:highlight w:val="none"/>
        </w:rPr>
        <w:t>家，应当依法重新招标）</w:t>
      </w:r>
    </w:p>
    <w:p w14:paraId="298395C0">
      <w:pPr>
        <w:spacing w:line="360" w:lineRule="auto"/>
        <w:ind w:firstLine="480" w:firstLineChars="200"/>
        <w:rPr>
          <w:rFonts w:ascii="宋体" w:hAnsi="宋体"/>
          <w:color w:val="auto"/>
          <w:sz w:val="24"/>
          <w:szCs w:val="24"/>
          <w:highlight w:val="none"/>
        </w:rPr>
      </w:pPr>
    </w:p>
    <w:p w14:paraId="4D49CF13">
      <w:pPr>
        <w:widowControl/>
        <w:snapToGrid w:val="0"/>
        <w:spacing w:line="360" w:lineRule="auto"/>
        <w:ind w:right="102"/>
        <w:jc w:val="left"/>
        <w:rPr>
          <w:color w:val="auto"/>
          <w:sz w:val="24"/>
          <w:szCs w:val="24"/>
          <w:highlight w:val="none"/>
        </w:rPr>
        <w:sectPr>
          <w:endnotePr>
            <w:numFmt w:val="decimal"/>
          </w:endnotePr>
          <w:pgSz w:w="11906" w:h="16838"/>
          <w:pgMar w:top="1304" w:right="1361" w:bottom="1304" w:left="1361" w:header="851" w:footer="907" w:gutter="0"/>
          <w:pgNumType w:fmt="decimal"/>
          <w:cols w:space="720" w:num="1"/>
          <w:docGrid w:type="lines" w:linePitch="312" w:charSpace="0"/>
        </w:sectPr>
      </w:pPr>
      <w:r>
        <w:rPr>
          <w:color w:val="auto"/>
          <w:sz w:val="24"/>
          <w:szCs w:val="24"/>
          <w:highlight w:val="none"/>
        </w:rPr>
        <w:br w:type="page"/>
      </w:r>
    </w:p>
    <w:p w14:paraId="2EFEEC6A">
      <w:pPr>
        <w:widowControl/>
        <w:snapToGrid w:val="0"/>
        <w:spacing w:line="360" w:lineRule="auto"/>
        <w:ind w:right="102"/>
        <w:jc w:val="left"/>
        <w:rPr>
          <w:color w:val="auto"/>
          <w:szCs w:val="21"/>
          <w:highlight w:val="none"/>
        </w:rPr>
      </w:pPr>
      <w:r>
        <w:rPr>
          <w:rFonts w:hint="eastAsia"/>
          <w:color w:val="auto"/>
          <w:szCs w:val="21"/>
          <w:highlight w:val="none"/>
        </w:rPr>
        <w:t>附表一：</w:t>
      </w:r>
    </w:p>
    <w:p w14:paraId="71857408">
      <w:pPr>
        <w:jc w:val="center"/>
        <w:rPr>
          <w:b/>
          <w:color w:val="auto"/>
          <w:sz w:val="32"/>
          <w:szCs w:val="32"/>
          <w:highlight w:val="none"/>
        </w:rPr>
      </w:pPr>
      <w:r>
        <w:rPr>
          <w:rFonts w:hint="eastAsia"/>
          <w:b/>
          <w:color w:val="auto"/>
          <w:sz w:val="32"/>
          <w:szCs w:val="32"/>
          <w:highlight w:val="none"/>
        </w:rPr>
        <w:t>资格审查表</w:t>
      </w:r>
    </w:p>
    <w:p w14:paraId="3A21321A">
      <w:pPr>
        <w:rPr>
          <w:color w:val="auto"/>
          <w:sz w:val="24"/>
          <w:szCs w:val="24"/>
          <w:highlight w:val="none"/>
        </w:rPr>
      </w:pPr>
      <w:r>
        <w:rPr>
          <w:rFonts w:hint="eastAsia"/>
          <w:color w:val="auto"/>
          <w:sz w:val="24"/>
          <w:szCs w:val="24"/>
          <w:highlight w:val="none"/>
        </w:rPr>
        <w:t>工程名称：</w:t>
      </w:r>
    </w:p>
    <w:tbl>
      <w:tblPr>
        <w:tblStyle w:val="27"/>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6615"/>
        <w:gridCol w:w="6350"/>
        <w:gridCol w:w="1065"/>
      </w:tblGrid>
      <w:tr w14:paraId="1816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14:paraId="0FFD6186">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7D151325">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审查项目</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51B5E3CA">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须审查的资料</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9E5F491">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审查结果</w:t>
            </w:r>
          </w:p>
        </w:tc>
      </w:tr>
      <w:tr w14:paraId="79BF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14:paraId="0A8C34EF">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49CC35DA">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40E7B860">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投标人声明、法定代表人证明书；委托投标的还应提供法人授权委托证明书</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F4A0197">
            <w:pPr>
              <w:spacing w:before="120" w:after="60"/>
              <w:jc w:val="center"/>
              <w:rPr>
                <w:rFonts w:hint="eastAsia" w:ascii="宋体" w:hAnsi="宋体" w:cs="宋体"/>
                <w:color w:val="auto"/>
                <w:szCs w:val="21"/>
                <w:highlight w:val="none"/>
              </w:rPr>
            </w:pPr>
          </w:p>
        </w:tc>
      </w:tr>
      <w:tr w14:paraId="08C3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14:paraId="3B2B69A1">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7F8060C9">
            <w:pPr>
              <w:spacing w:line="240" w:lineRule="auto"/>
              <w:ind w:firstLine="470" w:firstLineChars="224"/>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投标人均具有独立法人资格，按国家法律经营</w:t>
            </w:r>
            <w:r>
              <w:rPr>
                <w:rFonts w:hint="eastAsia" w:cs="宋体"/>
                <w:color w:val="auto"/>
                <w:szCs w:val="21"/>
                <w:highlight w:val="none"/>
                <w:lang w:eastAsia="zh-CN"/>
              </w:rPr>
              <w:t>。</w:t>
            </w:r>
            <w:r>
              <w:rPr>
                <w:rFonts w:hint="eastAsia" w:ascii="宋体" w:hAnsi="宋体" w:eastAsia="宋体" w:cs="宋体"/>
                <w:color w:val="auto"/>
                <w:szCs w:val="21"/>
                <w:highlight w:val="none"/>
              </w:rPr>
              <w:t>港澳地区企业参与本项目投标，须具有商事主体资格，且须取得珠海市(区)或横琴粤澳深度合作区行业主管部门颁发的香港/澳门建筑及相关工程咨询企业备案认可书或广东省住房和城乡建设厅颁发的备案认可文件。</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0A97217C">
            <w:pPr>
              <w:spacing w:before="120" w:after="60"/>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企业营业执照扫描件或电子证照；港澳地区企业</w:t>
            </w:r>
            <w:r>
              <w:rPr>
                <w:rFonts w:hint="eastAsia" w:ascii="宋体" w:hAnsi="宋体" w:eastAsia="宋体" w:cs="Times New Roman"/>
                <w:color w:val="auto"/>
                <w:szCs w:val="21"/>
                <w:highlight w:val="none"/>
                <w:lang w:val="en-US" w:eastAsia="zh-CN"/>
              </w:rPr>
              <w:t>的</w:t>
            </w:r>
            <w:r>
              <w:rPr>
                <w:rFonts w:hint="eastAsia" w:ascii="宋体" w:hAnsi="宋体" w:eastAsia="宋体" w:cs="Times New Roman"/>
                <w:color w:val="auto"/>
                <w:szCs w:val="21"/>
                <w:highlight w:val="none"/>
              </w:rPr>
              <w:t>商事主体资格</w:t>
            </w:r>
            <w:r>
              <w:rPr>
                <w:rFonts w:hint="eastAsia" w:ascii="宋体" w:hAnsi="宋体" w:eastAsia="宋体" w:cs="Times New Roman"/>
                <w:color w:val="auto"/>
                <w:szCs w:val="21"/>
                <w:highlight w:val="none"/>
                <w:lang w:val="en-US" w:eastAsia="zh-CN"/>
              </w:rPr>
              <w:t>证明</w:t>
            </w:r>
            <w:r>
              <w:rPr>
                <w:rFonts w:hint="eastAsia" w:ascii="宋体" w:hAnsi="宋体" w:eastAsia="宋体" w:cs="Times New Roman"/>
                <w:color w:val="auto"/>
                <w:szCs w:val="21"/>
                <w:highlight w:val="none"/>
              </w:rPr>
              <w:t>，取得珠海市(区)或横琴粤澳深度合作区行业主管部门颁发的香港/澳门建筑及相关工程咨询企业备案认可书或广东省住房和城乡建设厅颁发的备案认可文件</w:t>
            </w:r>
            <w:r>
              <w:rPr>
                <w:rFonts w:hint="eastAsia" w:ascii="宋体" w:hAnsi="宋体" w:eastAsia="宋体" w:cs="Times New Roman"/>
                <w:color w:val="auto"/>
                <w:szCs w:val="21"/>
                <w:highlight w:val="none"/>
                <w:lang w:val="en-US" w:eastAsia="zh-CN"/>
              </w:rPr>
              <w:t>扫描件</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CA7A758">
            <w:pPr>
              <w:spacing w:before="120" w:after="60"/>
              <w:jc w:val="center"/>
              <w:rPr>
                <w:rFonts w:hint="eastAsia" w:ascii="宋体" w:hAnsi="宋体" w:cs="宋体"/>
                <w:color w:val="auto"/>
                <w:szCs w:val="21"/>
                <w:highlight w:val="none"/>
              </w:rPr>
            </w:pPr>
          </w:p>
        </w:tc>
      </w:tr>
      <w:tr w14:paraId="57AF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2BA0A5">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45E35FF7">
            <w:pPr>
              <w:spacing w:before="120" w:after="60"/>
              <w:jc w:val="center"/>
              <w:rPr>
                <w:rFonts w:hint="eastAsia" w:ascii="宋体" w:hAnsi="宋体" w:cs="宋体"/>
                <w:color w:val="auto"/>
                <w:szCs w:val="21"/>
                <w:highlight w:val="none"/>
              </w:rPr>
            </w:pPr>
            <w:r>
              <w:rPr>
                <w:rFonts w:hint="eastAsia" w:ascii="宋体" w:hAnsi="宋体"/>
                <w:color w:val="auto"/>
                <w:szCs w:val="21"/>
                <w:highlight w:val="none"/>
              </w:rPr>
              <w:t>投标人均持有建设行政主管部门颁发的有效期内的企业资质证书；投标人资质符合公告要求</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02791620">
            <w:pPr>
              <w:spacing w:before="120" w:after="60"/>
              <w:jc w:val="center"/>
              <w:rPr>
                <w:rFonts w:hint="default" w:ascii="宋体" w:hAnsi="宋体" w:eastAsia="宋体" w:cs="宋体"/>
                <w:b w:val="0"/>
                <w:bCs w:val="0"/>
                <w:color w:val="auto"/>
                <w:szCs w:val="21"/>
                <w:highlight w:val="none"/>
                <w:lang w:val="en-US" w:eastAsia="zh-CN"/>
              </w:rPr>
            </w:pPr>
            <w:r>
              <w:rPr>
                <w:rFonts w:hint="eastAsia"/>
                <w:color w:val="auto"/>
                <w:szCs w:val="21"/>
                <w:highlight w:val="none"/>
                <w:lang w:val="en-US" w:eastAsia="zh-CN"/>
              </w:rPr>
              <w:t>资</w:t>
            </w:r>
            <w:r>
              <w:rPr>
                <w:rFonts w:hint="eastAsia" w:ascii="宋体" w:hAnsi="宋体"/>
                <w:color w:val="auto"/>
                <w:szCs w:val="21"/>
                <w:highlight w:val="none"/>
              </w:rPr>
              <w:t>质证书扫描件或电子证照</w:t>
            </w:r>
            <w:r>
              <w:rPr>
                <w:rFonts w:hint="eastAsia"/>
                <w:color w:val="auto"/>
                <w:szCs w:val="21"/>
                <w:highlight w:val="none"/>
                <w:lang w:val="en-US" w:eastAsia="zh-CN"/>
              </w:rPr>
              <w:t>；</w:t>
            </w:r>
            <w:r>
              <w:rPr>
                <w:rFonts w:hint="eastAsia" w:ascii="宋体" w:hAnsi="宋体" w:eastAsia="宋体" w:cs="Times New Roman"/>
                <w:color w:val="auto"/>
                <w:szCs w:val="21"/>
                <w:highlight w:val="none"/>
                <w:lang w:val="en-US" w:eastAsia="zh-CN"/>
              </w:rPr>
              <w:t>香港/澳门建筑及相关工程咨询企业备案认可书扫描件</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B54652E">
            <w:pPr>
              <w:spacing w:before="120" w:after="60"/>
              <w:jc w:val="center"/>
              <w:rPr>
                <w:rFonts w:hint="eastAsia" w:ascii="宋体" w:hAnsi="宋体" w:cs="宋体"/>
                <w:color w:val="auto"/>
                <w:szCs w:val="21"/>
                <w:highlight w:val="none"/>
              </w:rPr>
            </w:pPr>
          </w:p>
        </w:tc>
      </w:tr>
      <w:tr w14:paraId="764D8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8A7F68">
            <w:pPr>
              <w:spacing w:before="120" w:after="60"/>
              <w:jc w:val="center"/>
              <w:rPr>
                <w:rFonts w:hint="eastAsia" w:ascii="宋体" w:hAnsi="宋体" w:cs="宋体"/>
                <w:color w:val="auto"/>
                <w:szCs w:val="21"/>
                <w:highlight w:val="none"/>
                <w:lang w:val="en-US" w:eastAsia="zh-CN"/>
              </w:rPr>
            </w:pPr>
            <w:r>
              <w:rPr>
                <w:rFonts w:hint="eastAsia" w:cs="宋体"/>
                <w:color w:val="auto"/>
                <w:szCs w:val="21"/>
                <w:highlight w:val="none"/>
                <w:lang w:val="en-US" w:eastAsia="zh-CN"/>
              </w:rPr>
              <w:t>4</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4DFC5077">
            <w:pPr>
              <w:spacing w:before="120" w:after="6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投标人均持有建设行政主管部门颁发的有效期内的安全生产许可证</w:t>
            </w:r>
            <w:r>
              <w:rPr>
                <w:rFonts w:hint="eastAsia"/>
                <w:color w:val="auto"/>
                <w:szCs w:val="21"/>
                <w:highlight w:val="none"/>
                <w:lang w:eastAsia="zh-CN"/>
              </w:rPr>
              <w:t>（</w:t>
            </w:r>
            <w:r>
              <w:rPr>
                <w:rFonts w:hint="eastAsia" w:ascii="宋体" w:hAnsi="宋体" w:eastAsia="宋体" w:cs="宋体"/>
                <w:color w:val="auto"/>
                <w:szCs w:val="21"/>
                <w:highlight w:val="none"/>
                <w:lang w:val="en-US" w:eastAsia="zh-CN"/>
              </w:rPr>
              <w:t>适用于内地投标人）</w:t>
            </w:r>
            <w:r>
              <w:rPr>
                <w:rFonts w:hint="eastAsia" w:cs="宋体"/>
                <w:color w:val="auto"/>
                <w:szCs w:val="21"/>
                <w:highlight w:val="none"/>
                <w:lang w:val="en-US" w:eastAsia="zh-CN"/>
              </w:rPr>
              <w:t>；</w:t>
            </w:r>
            <w:r>
              <w:rPr>
                <w:rFonts w:hint="eastAsia" w:ascii="宋体" w:hAnsi="宋体" w:eastAsia="宋体" w:cs="Times New Roman"/>
                <w:color w:val="auto"/>
                <w:sz w:val="21"/>
                <w:szCs w:val="21"/>
                <w:highlight w:val="none"/>
                <w:lang w:val="en-US" w:eastAsia="zh-CN"/>
              </w:rPr>
              <w:t>港澳投标人持有</w:t>
            </w:r>
            <w:r>
              <w:rPr>
                <w:rFonts w:hint="eastAsia" w:ascii="宋体" w:hAnsi="宋体" w:eastAsia="宋体" w:cs="宋体"/>
                <w:color w:val="auto"/>
                <w:sz w:val="21"/>
                <w:szCs w:val="21"/>
                <w:highlight w:val="none"/>
              </w:rPr>
              <w:t>珠海市(区)或横琴粤澳深度合作区行业主管部门颁发的且在有效期</w:t>
            </w:r>
            <w:r>
              <w:rPr>
                <w:rFonts w:hint="eastAsia" w:ascii="宋体" w:hAnsi="宋体" w:eastAsia="宋体" w:cs="宋体"/>
                <w:i w:val="0"/>
                <w:iCs w:val="0"/>
                <w:caps w:val="0"/>
                <w:color w:val="auto"/>
                <w:spacing w:val="0"/>
                <w:sz w:val="21"/>
                <w:szCs w:val="21"/>
                <w:highlight w:val="none"/>
                <w:shd w:val="clear" w:fill="FFFFFF"/>
              </w:rPr>
              <w:t>内的</w:t>
            </w:r>
            <w:r>
              <w:rPr>
                <w:rFonts w:hint="eastAsia" w:ascii="宋体" w:hAnsi="宋体" w:cs="Times New Roman"/>
                <w:color w:val="auto"/>
                <w:sz w:val="21"/>
                <w:szCs w:val="21"/>
                <w:highlight w:val="none"/>
              </w:rPr>
              <w:t>安全生产备案</w:t>
            </w:r>
            <w:r>
              <w:rPr>
                <w:rFonts w:hint="eastAsia" w:cs="Times New Roman"/>
                <w:color w:val="auto"/>
                <w:sz w:val="21"/>
                <w:szCs w:val="21"/>
                <w:highlight w:val="none"/>
                <w:lang w:val="en-US" w:eastAsia="zh-CN"/>
              </w:rPr>
              <w:t>证明</w:t>
            </w:r>
            <w:r>
              <w:rPr>
                <w:rFonts w:hint="eastAsia" w:ascii="宋体" w:hAnsi="宋体" w:eastAsia="宋体" w:cs="Times New Roman"/>
                <w:color w:val="auto"/>
                <w:sz w:val="21"/>
                <w:szCs w:val="21"/>
                <w:highlight w:val="none"/>
                <w:lang w:val="en-US" w:eastAsia="zh-CN"/>
              </w:rPr>
              <w:t>文件</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7D73938E">
            <w:pPr>
              <w:spacing w:before="120" w:after="60"/>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安全生产许可证扫描件或电子证照</w:t>
            </w:r>
            <w:r>
              <w:rPr>
                <w:rFonts w:hint="eastAsia"/>
                <w:color w:val="auto"/>
                <w:szCs w:val="21"/>
                <w:highlight w:val="none"/>
                <w:lang w:val="en-US" w:eastAsia="zh-CN"/>
              </w:rPr>
              <w:t>；</w:t>
            </w:r>
            <w:r>
              <w:rPr>
                <w:rFonts w:hint="eastAsia" w:ascii="宋体" w:hAnsi="宋体" w:eastAsia="宋体" w:cs="宋体"/>
                <w:bCs/>
                <w:color w:val="auto"/>
                <w:szCs w:val="21"/>
                <w:highlight w:val="none"/>
                <w:u w:val="none"/>
                <w:lang w:val="en-US" w:eastAsia="zh-CN"/>
              </w:rPr>
              <w:t>港澳地区</w:t>
            </w:r>
            <w:r>
              <w:rPr>
                <w:rFonts w:hint="eastAsia" w:ascii="宋体" w:hAnsi="宋体" w:eastAsia="宋体" w:cs="Times New Roman"/>
                <w:color w:val="auto"/>
                <w:szCs w:val="21"/>
                <w:highlight w:val="none"/>
                <w:lang w:val="en-US" w:eastAsia="zh-CN"/>
              </w:rPr>
              <w:t>企业提供</w:t>
            </w:r>
            <w:r>
              <w:rPr>
                <w:rFonts w:hint="eastAsia" w:ascii="宋体" w:hAnsi="宋体" w:cs="Times New Roman"/>
                <w:color w:val="auto"/>
                <w:sz w:val="21"/>
                <w:szCs w:val="21"/>
                <w:highlight w:val="none"/>
              </w:rPr>
              <w:t>安全生产备案</w:t>
            </w:r>
            <w:r>
              <w:rPr>
                <w:rFonts w:hint="eastAsia" w:cs="Times New Roman"/>
                <w:color w:val="auto"/>
                <w:sz w:val="21"/>
                <w:szCs w:val="21"/>
                <w:highlight w:val="none"/>
                <w:lang w:val="en-US" w:eastAsia="zh-CN"/>
              </w:rPr>
              <w:t>证明</w:t>
            </w:r>
            <w:r>
              <w:rPr>
                <w:rFonts w:hint="eastAsia" w:ascii="宋体" w:hAnsi="宋体" w:eastAsia="宋体" w:cs="Times New Roman"/>
                <w:color w:val="auto"/>
                <w:sz w:val="21"/>
                <w:szCs w:val="21"/>
                <w:highlight w:val="none"/>
                <w:lang w:val="en-US" w:eastAsia="zh-CN"/>
              </w:rPr>
              <w:t>文件</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5891C47">
            <w:pPr>
              <w:spacing w:before="120" w:after="60"/>
              <w:jc w:val="center"/>
              <w:rPr>
                <w:rFonts w:hint="eastAsia" w:ascii="宋体" w:hAnsi="宋体" w:cs="宋体"/>
                <w:color w:val="auto"/>
                <w:szCs w:val="21"/>
                <w:highlight w:val="none"/>
              </w:rPr>
            </w:pPr>
          </w:p>
        </w:tc>
      </w:tr>
      <w:tr w14:paraId="290A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22616B">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cs="宋体"/>
                <w:color w:val="auto"/>
                <w:szCs w:val="21"/>
                <w:highlight w:val="none"/>
                <w:lang w:val="en-US" w:eastAsia="zh-CN"/>
              </w:rPr>
              <w:t>5</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6030B7B1">
            <w:pPr>
              <w:spacing w:before="120" w:after="60"/>
              <w:jc w:val="center"/>
              <w:rPr>
                <w:rFonts w:hint="eastAsia" w:ascii="宋体" w:hAnsi="宋体"/>
                <w:color w:val="auto"/>
                <w:szCs w:val="21"/>
                <w:highlight w:val="none"/>
              </w:rPr>
            </w:pPr>
            <w:r>
              <w:rPr>
                <w:rFonts w:hint="eastAsia" w:ascii="宋体" w:hAnsi="宋体" w:cs="宋体"/>
                <w:color w:val="auto"/>
                <w:szCs w:val="21"/>
                <w:highlight w:val="none"/>
              </w:rPr>
              <w:t>投标人拟担任本工程项目负责人符合公告要求</w:t>
            </w:r>
          </w:p>
        </w:tc>
        <w:tc>
          <w:tcPr>
            <w:tcW w:w="6350" w:type="dxa"/>
            <w:tcBorders>
              <w:top w:val="single" w:color="auto" w:sz="4" w:space="0"/>
              <w:left w:val="single" w:color="auto" w:sz="4" w:space="0"/>
              <w:bottom w:val="single" w:color="auto" w:sz="4" w:space="0"/>
              <w:right w:val="single" w:color="auto" w:sz="4" w:space="0"/>
            </w:tcBorders>
            <w:noWrap w:val="0"/>
            <w:vAlign w:val="center"/>
          </w:tcPr>
          <w:p w14:paraId="46BC36B3">
            <w:pPr>
              <w:spacing w:before="120" w:after="60"/>
              <w:jc w:val="center"/>
              <w:rPr>
                <w:rFonts w:hint="eastAsia" w:ascii="宋体" w:hAnsi="宋体"/>
                <w:color w:val="auto"/>
                <w:szCs w:val="21"/>
                <w:highlight w:val="none"/>
              </w:rPr>
            </w:pPr>
            <w:r>
              <w:rPr>
                <w:rFonts w:hint="eastAsia" w:ascii="宋体" w:hAnsi="宋体" w:cs="宋体"/>
                <w:color w:val="auto"/>
                <w:szCs w:val="21"/>
                <w:highlight w:val="none"/>
              </w:rPr>
              <w:t>有效期内的注册建造师注册证书扫描件或电子证书（注：打印建造师电子证书后，在个人签名处手写本人签名再</w:t>
            </w:r>
            <w:r>
              <w:rPr>
                <w:rFonts w:hint="eastAsia" w:cs="宋体"/>
                <w:color w:val="auto"/>
                <w:szCs w:val="21"/>
                <w:highlight w:val="none"/>
                <w:lang w:val="en-US" w:eastAsia="zh-CN"/>
              </w:rPr>
              <w:t>扫</w:t>
            </w:r>
            <w:r>
              <w:rPr>
                <w:rFonts w:hint="eastAsia" w:ascii="宋体" w:hAnsi="宋体" w:cs="宋体"/>
                <w:color w:val="auto"/>
                <w:szCs w:val="21"/>
                <w:highlight w:val="none"/>
              </w:rPr>
              <w:t>描提交）</w:t>
            </w:r>
            <w:r>
              <w:rPr>
                <w:rFonts w:hint="eastAsia" w:cs="宋体"/>
                <w:color w:val="auto"/>
                <w:szCs w:val="21"/>
                <w:highlight w:val="none"/>
                <w:lang w:val="en-US" w:eastAsia="zh-CN"/>
              </w:rPr>
              <w:t>；</w:t>
            </w:r>
            <w:r>
              <w:rPr>
                <w:rFonts w:hint="eastAsia" w:ascii="宋体" w:hAnsi="宋体" w:eastAsia="宋体" w:cs="宋体"/>
                <w:bCs/>
                <w:color w:val="auto"/>
                <w:szCs w:val="21"/>
                <w:highlight w:val="none"/>
                <w:u w:val="single"/>
                <w:lang w:val="en-US" w:eastAsia="zh-CN"/>
              </w:rPr>
              <w:t>港澳地区企业提供专业人士执业资格备案认可书）</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1D0DCE7">
            <w:pPr>
              <w:spacing w:before="120" w:after="60"/>
              <w:jc w:val="center"/>
              <w:rPr>
                <w:rFonts w:hint="eastAsia" w:ascii="宋体" w:hAnsi="宋体" w:cs="宋体"/>
                <w:color w:val="auto"/>
                <w:szCs w:val="21"/>
                <w:highlight w:val="none"/>
              </w:rPr>
            </w:pPr>
          </w:p>
        </w:tc>
      </w:tr>
      <w:tr w14:paraId="5C37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CC98362">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cs="宋体"/>
                <w:color w:val="auto"/>
                <w:szCs w:val="21"/>
                <w:highlight w:val="none"/>
                <w:lang w:val="en-US" w:eastAsia="zh-CN"/>
              </w:rPr>
              <w:t>6</w:t>
            </w:r>
          </w:p>
        </w:tc>
        <w:tc>
          <w:tcPr>
            <w:tcW w:w="6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82FC05">
            <w:pPr>
              <w:spacing w:before="120" w:after="6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项目负责人持有</w:t>
            </w:r>
            <w:r>
              <w:rPr>
                <w:rFonts w:hint="eastAsia"/>
                <w:color w:val="auto"/>
                <w:szCs w:val="21"/>
                <w:highlight w:val="none"/>
                <w:lang w:val="en-US" w:eastAsia="zh-CN"/>
              </w:rPr>
              <w:t>有效期内的</w:t>
            </w:r>
            <w:r>
              <w:rPr>
                <w:rFonts w:hint="eastAsia" w:ascii="宋体" w:hAnsi="宋体" w:eastAsia="宋体" w:cs="宋体"/>
                <w:color w:val="auto"/>
                <w:szCs w:val="21"/>
                <w:highlight w:val="none"/>
              </w:rPr>
              <w:t>安全生产考核合格证书（B类）或建筑施工企业项目负责人安全生产考核合格证书。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适用于内地投标人）</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1A9A8B">
            <w:pPr>
              <w:spacing w:before="120" w:after="60"/>
              <w:jc w:val="center"/>
              <w:rPr>
                <w:rFonts w:hint="eastAsia" w:ascii="宋体" w:hAnsi="宋体" w:eastAsia="宋体" w:cs="宋体"/>
                <w:b w:val="0"/>
                <w:bCs w:val="0"/>
                <w:color w:val="auto"/>
                <w:kern w:val="2"/>
                <w:sz w:val="21"/>
                <w:szCs w:val="21"/>
                <w:highlight w:val="none"/>
                <w:lang w:val="en-US" w:eastAsia="zh-CN" w:bidi="ar-SA"/>
              </w:rPr>
            </w:pPr>
            <w:r>
              <w:rPr>
                <w:rFonts w:hint="eastAsia"/>
                <w:color w:val="auto"/>
                <w:szCs w:val="21"/>
                <w:highlight w:val="none"/>
                <w:lang w:val="en-US" w:eastAsia="zh-CN"/>
              </w:rPr>
              <w:t>有效期内的</w:t>
            </w:r>
            <w:r>
              <w:rPr>
                <w:rFonts w:hint="eastAsia" w:ascii="宋体" w:hAnsi="宋体" w:eastAsia="宋体" w:cs="宋体"/>
                <w:color w:val="auto"/>
                <w:szCs w:val="21"/>
                <w:highlight w:val="none"/>
              </w:rPr>
              <w:t>安全生产考核合格证书（B类）或建筑施工企业项目负责人安全生产考核合格证书</w:t>
            </w:r>
            <w:r>
              <w:rPr>
                <w:rFonts w:hint="eastAsia" w:ascii="宋体" w:hAnsi="宋体"/>
                <w:color w:val="auto"/>
                <w:szCs w:val="21"/>
                <w:highlight w:val="none"/>
              </w:rPr>
              <w:t>扫描件或电子证书</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C362725">
            <w:pPr>
              <w:spacing w:before="120" w:after="60"/>
              <w:jc w:val="center"/>
              <w:rPr>
                <w:rFonts w:hint="eastAsia" w:ascii="宋体" w:hAnsi="宋体" w:cs="宋体"/>
                <w:color w:val="auto"/>
                <w:szCs w:val="21"/>
                <w:highlight w:val="none"/>
              </w:rPr>
            </w:pPr>
          </w:p>
        </w:tc>
      </w:tr>
      <w:tr w14:paraId="1067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6EA282">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cs="宋体"/>
                <w:color w:val="auto"/>
                <w:szCs w:val="21"/>
                <w:highlight w:val="none"/>
                <w:lang w:val="en-US" w:eastAsia="zh-CN"/>
              </w:rPr>
              <w:t>7</w:t>
            </w:r>
          </w:p>
        </w:tc>
        <w:tc>
          <w:tcPr>
            <w:tcW w:w="6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B877B7">
            <w:pPr>
              <w:spacing w:line="280" w:lineRule="exact"/>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专职安全员须具有</w:t>
            </w:r>
            <w:r>
              <w:rPr>
                <w:rFonts w:hint="eastAsia"/>
                <w:color w:val="auto"/>
                <w:szCs w:val="21"/>
                <w:highlight w:val="none"/>
                <w:lang w:val="en-US" w:eastAsia="zh-CN"/>
              </w:rPr>
              <w:t>有效期内的</w:t>
            </w:r>
            <w:r>
              <w:rPr>
                <w:rFonts w:hint="eastAsia" w:ascii="宋体" w:hAnsi="宋体"/>
                <w:color w:val="auto"/>
                <w:szCs w:val="21"/>
                <w:highlight w:val="none"/>
              </w:rPr>
              <w:t>安全生产考核合格证书（C类）或建筑施工企业专职安全生产管理人员安全生产考核合格证书</w:t>
            </w:r>
            <w:r>
              <w:rPr>
                <w:rFonts w:hint="eastAsia"/>
                <w:color w:val="auto"/>
                <w:szCs w:val="21"/>
                <w:highlight w:val="none"/>
                <w:lang w:eastAsia="zh-CN"/>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适用于内地投标人）</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194A9B">
            <w:pPr>
              <w:spacing w:before="120" w:after="60"/>
              <w:jc w:val="center"/>
              <w:rPr>
                <w:rFonts w:hint="eastAsia" w:ascii="宋体" w:hAnsi="宋体" w:eastAsia="宋体" w:cs="宋体"/>
                <w:b w:val="0"/>
                <w:bCs w:val="0"/>
                <w:color w:val="auto"/>
                <w:kern w:val="2"/>
                <w:sz w:val="21"/>
                <w:szCs w:val="21"/>
                <w:highlight w:val="none"/>
                <w:lang w:val="en-US" w:eastAsia="zh-CN" w:bidi="ar-SA"/>
              </w:rPr>
            </w:pPr>
            <w:r>
              <w:rPr>
                <w:rFonts w:hint="eastAsia"/>
                <w:color w:val="auto"/>
                <w:szCs w:val="21"/>
                <w:highlight w:val="none"/>
                <w:lang w:val="en-US" w:eastAsia="zh-CN"/>
              </w:rPr>
              <w:t>有效期内的</w:t>
            </w:r>
            <w:r>
              <w:rPr>
                <w:rFonts w:hint="eastAsia" w:ascii="宋体" w:hAnsi="宋体"/>
                <w:color w:val="auto"/>
                <w:szCs w:val="21"/>
                <w:highlight w:val="none"/>
              </w:rPr>
              <w:t>专职安全员的安全生产考核合格证书（C类）或建筑施工企业专职安全生产管理人员安全生产考核合格证书扫描件或电子证书</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2546363">
            <w:pPr>
              <w:spacing w:before="120" w:after="60"/>
              <w:jc w:val="center"/>
              <w:rPr>
                <w:rFonts w:hint="eastAsia" w:ascii="宋体" w:hAnsi="宋体" w:cs="宋体"/>
                <w:color w:val="auto"/>
                <w:szCs w:val="21"/>
                <w:highlight w:val="none"/>
              </w:rPr>
            </w:pPr>
          </w:p>
        </w:tc>
      </w:tr>
      <w:tr w14:paraId="7A5E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0AD5FD">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cs="宋体"/>
                <w:color w:val="auto"/>
                <w:szCs w:val="21"/>
                <w:highlight w:val="none"/>
                <w:lang w:val="en-US" w:eastAsia="zh-CN"/>
              </w:rPr>
              <w:t>8</w:t>
            </w:r>
          </w:p>
        </w:tc>
        <w:tc>
          <w:tcPr>
            <w:tcW w:w="6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0434869">
            <w:pPr>
              <w:spacing w:line="28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投标人提供的投标人声明符合公告要求</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92CDA3">
            <w:pPr>
              <w:spacing w:before="120" w:after="6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投标人声明</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0CDC7EA">
            <w:pPr>
              <w:spacing w:before="120" w:after="60"/>
              <w:jc w:val="center"/>
              <w:rPr>
                <w:rFonts w:hint="eastAsia" w:ascii="宋体" w:hAnsi="宋体" w:cs="宋体"/>
                <w:color w:val="auto"/>
                <w:szCs w:val="21"/>
                <w:highlight w:val="none"/>
              </w:rPr>
            </w:pPr>
          </w:p>
        </w:tc>
      </w:tr>
      <w:tr w14:paraId="484E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26F50C">
            <w:pPr>
              <w:spacing w:before="120" w:after="6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9</w:t>
            </w:r>
          </w:p>
        </w:tc>
        <w:tc>
          <w:tcPr>
            <w:tcW w:w="6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37B619">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56FFDA">
            <w:pPr>
              <w:spacing w:before="120" w:after="6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Cs w:val="21"/>
                <w:highlight w:val="none"/>
              </w:rPr>
              <w:t>网上投标时选择拟投标的项目负责人、</w:t>
            </w:r>
            <w:r>
              <w:rPr>
                <w:rFonts w:hint="eastAsia" w:cs="宋体"/>
                <w:b w:val="0"/>
                <w:bCs w:val="0"/>
                <w:color w:val="auto"/>
                <w:szCs w:val="21"/>
                <w:highlight w:val="none"/>
                <w:lang w:val="en-US" w:eastAsia="zh-CN"/>
              </w:rPr>
              <w:t>投标</w:t>
            </w:r>
            <w:r>
              <w:rPr>
                <w:rFonts w:hint="eastAsia" w:ascii="宋体" w:hAnsi="宋体" w:cs="宋体"/>
                <w:b w:val="0"/>
                <w:bCs w:val="0"/>
                <w:color w:val="auto"/>
                <w:szCs w:val="21"/>
                <w:highlight w:val="none"/>
              </w:rPr>
              <w:t>文件中拟委派的技术负责人及投标人声明</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403ACD8">
            <w:pPr>
              <w:spacing w:before="120" w:after="60"/>
              <w:jc w:val="center"/>
              <w:rPr>
                <w:rFonts w:hint="eastAsia" w:ascii="宋体" w:hAnsi="宋体" w:cs="宋体"/>
                <w:color w:val="auto"/>
                <w:szCs w:val="21"/>
                <w:highlight w:val="none"/>
              </w:rPr>
            </w:pPr>
          </w:p>
        </w:tc>
      </w:tr>
      <w:tr w14:paraId="1070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8E5C90">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cs="宋体"/>
                <w:color w:val="auto"/>
                <w:szCs w:val="21"/>
                <w:highlight w:val="none"/>
                <w:lang w:val="en-US" w:eastAsia="zh-CN"/>
              </w:rPr>
              <w:t>10</w:t>
            </w:r>
          </w:p>
        </w:tc>
        <w:tc>
          <w:tcPr>
            <w:tcW w:w="6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0C2294">
            <w:pPr>
              <w:spacing w:before="120" w:after="60"/>
              <w:jc w:val="center"/>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rPr>
              <w:t>关于联合体投标：本项目不接受联合体投标。</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99E838">
            <w:pPr>
              <w:spacing w:before="120" w:after="60"/>
              <w:jc w:val="center"/>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szCs w:val="21"/>
                <w:highlight w:val="none"/>
              </w:rPr>
              <w:t>未以联合体进行投标。</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0229B3D">
            <w:pPr>
              <w:spacing w:before="120" w:after="60"/>
              <w:jc w:val="center"/>
              <w:rPr>
                <w:rFonts w:hint="eastAsia" w:ascii="宋体" w:hAnsi="宋体" w:cs="宋体"/>
                <w:color w:val="auto"/>
                <w:szCs w:val="21"/>
                <w:highlight w:val="none"/>
              </w:rPr>
            </w:pPr>
          </w:p>
        </w:tc>
      </w:tr>
      <w:tr w14:paraId="3D98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2A672F">
            <w:pPr>
              <w:spacing w:before="120" w:after="60"/>
              <w:jc w:val="center"/>
              <w:rPr>
                <w:rFonts w:hint="default" w:ascii="宋体" w:hAnsi="宋体" w:eastAsia="宋体" w:cs="宋体"/>
                <w:color w:val="auto"/>
                <w:kern w:val="2"/>
                <w:sz w:val="21"/>
                <w:szCs w:val="21"/>
                <w:highlight w:val="none"/>
                <w:lang w:val="en-US" w:eastAsia="zh-CN" w:bidi="ar-SA"/>
              </w:rPr>
            </w:pPr>
            <w:r>
              <w:rPr>
                <w:rFonts w:hint="eastAsia" w:cs="宋体"/>
                <w:color w:val="auto"/>
                <w:szCs w:val="21"/>
                <w:highlight w:val="none"/>
                <w:lang w:val="en-US" w:eastAsia="zh-CN"/>
              </w:rPr>
              <w:t>11</w:t>
            </w:r>
          </w:p>
        </w:tc>
        <w:tc>
          <w:tcPr>
            <w:tcW w:w="6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EE48DA">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资格审查前，投标人须</w:t>
            </w:r>
            <w:r>
              <w:rPr>
                <w:rFonts w:hint="eastAsia" w:ascii="宋体" w:hAnsi="宋体" w:cs="宋体"/>
                <w:color w:val="auto"/>
                <w:szCs w:val="21"/>
                <w:highlight w:val="none"/>
                <w:lang w:val="en-US" w:eastAsia="zh-CN"/>
              </w:rPr>
              <w:t>在广州公共资源交易平台企业库办理企业信息登记，</w:t>
            </w:r>
            <w:r>
              <w:rPr>
                <w:rFonts w:hint="eastAsia" w:ascii="宋体" w:hAnsi="宋体" w:cs="宋体"/>
                <w:color w:val="auto"/>
                <w:szCs w:val="21"/>
                <w:highlight w:val="none"/>
              </w:rPr>
              <w:t>拟担任本工程项目负责人、专职安全员须是本企业中的在册人员</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969259">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投标人在投标登记时选择了拟投入本项目的项目负责人</w:t>
            </w:r>
            <w:r>
              <w:rPr>
                <w:rFonts w:hint="eastAsia" w:cs="宋体"/>
                <w:color w:val="auto"/>
                <w:szCs w:val="21"/>
                <w:highlight w:val="none"/>
                <w:lang w:val="en-US" w:eastAsia="zh-CN"/>
              </w:rPr>
              <w:t>、专职安全员</w:t>
            </w:r>
            <w:r>
              <w:rPr>
                <w:rFonts w:hint="eastAsia" w:ascii="宋体" w:hAnsi="宋体" w:cs="宋体"/>
                <w:color w:val="auto"/>
                <w:szCs w:val="21"/>
                <w:highlight w:val="none"/>
                <w:lang w:val="en-US" w:eastAsia="zh-CN"/>
              </w:rPr>
              <w:t>，即已满足“资格审查前，投标人须在广州公共资源交易平台企业库办理企业信息登记，拟担任本工程项目负责人</w:t>
            </w:r>
            <w:r>
              <w:rPr>
                <w:rFonts w:hint="eastAsia" w:cs="宋体"/>
                <w:color w:val="auto"/>
                <w:szCs w:val="21"/>
                <w:highlight w:val="none"/>
                <w:lang w:val="en-US" w:eastAsia="zh-CN"/>
              </w:rPr>
              <w:t>、专职安全员</w:t>
            </w:r>
            <w:bookmarkStart w:id="71" w:name="_GoBack"/>
            <w:bookmarkEnd w:id="71"/>
            <w:r>
              <w:rPr>
                <w:rFonts w:hint="eastAsia" w:ascii="宋体" w:hAnsi="宋体" w:cs="宋体"/>
                <w:color w:val="auto"/>
                <w:szCs w:val="21"/>
                <w:highlight w:val="none"/>
                <w:lang w:val="en-US" w:eastAsia="zh-CN"/>
              </w:rPr>
              <w:t>须是本企业中的在册人员”的要求，投标人无需提供证明材料</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160E3AC">
            <w:pPr>
              <w:spacing w:before="120" w:after="60"/>
              <w:jc w:val="center"/>
              <w:rPr>
                <w:rFonts w:hint="eastAsia" w:ascii="宋体" w:hAnsi="宋体" w:cs="宋体"/>
                <w:color w:val="auto"/>
                <w:szCs w:val="21"/>
                <w:highlight w:val="none"/>
              </w:rPr>
            </w:pPr>
          </w:p>
        </w:tc>
      </w:tr>
      <w:tr w14:paraId="2F00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3056B8">
            <w:pPr>
              <w:spacing w:before="120" w:after="60"/>
              <w:jc w:val="center"/>
              <w:rPr>
                <w:rFonts w:hint="default" w:ascii="宋体" w:hAnsi="宋体" w:eastAsia="宋体" w:cs="宋体"/>
                <w:color w:val="auto"/>
                <w:kern w:val="2"/>
                <w:sz w:val="21"/>
                <w:szCs w:val="21"/>
                <w:highlight w:val="none"/>
                <w:lang w:val="en-US" w:eastAsia="zh-CN" w:bidi="ar-SA"/>
              </w:rPr>
            </w:pPr>
            <w:r>
              <w:rPr>
                <w:rFonts w:hint="eastAsia" w:cs="宋体"/>
                <w:color w:val="auto"/>
                <w:szCs w:val="21"/>
                <w:highlight w:val="none"/>
                <w:lang w:val="en-US" w:eastAsia="zh-CN"/>
              </w:rPr>
              <w:t>12</w:t>
            </w:r>
          </w:p>
        </w:tc>
        <w:tc>
          <w:tcPr>
            <w:tcW w:w="6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0A63CF">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投标人未出现以下情形：与其它投标人的单位负责人为同一人或者存在控股、管理关系的（按投标人提供的《投标人声明》第</w:t>
            </w:r>
            <w:r>
              <w:rPr>
                <w:rFonts w:hint="eastAsia" w:cs="宋体"/>
                <w:color w:val="auto"/>
                <w:szCs w:val="21"/>
                <w:highlight w:val="none"/>
                <w:lang w:val="en-US" w:eastAsia="zh-CN"/>
              </w:rPr>
              <w:t>九</w:t>
            </w:r>
            <w:r>
              <w:rPr>
                <w:rFonts w:hint="eastAsia" w:ascii="宋体" w:hAnsi="宋体" w:cs="宋体"/>
                <w:color w:val="auto"/>
                <w:szCs w:val="21"/>
                <w:highlight w:val="none"/>
              </w:rPr>
              <w:t>条内容进行评审）。</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4EBAAA">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投标人未出现以下情形：与其它投标人的单位负责人为同一人或者存在控股、管理关系的（按投标人提供的《投标人声明》第</w:t>
            </w:r>
            <w:r>
              <w:rPr>
                <w:rFonts w:hint="eastAsia" w:cs="宋体"/>
                <w:color w:val="auto"/>
                <w:szCs w:val="21"/>
                <w:highlight w:val="none"/>
                <w:lang w:val="en-US" w:eastAsia="zh-CN"/>
              </w:rPr>
              <w:t>九</w:t>
            </w:r>
            <w:r>
              <w:rPr>
                <w:rFonts w:hint="eastAsia" w:ascii="宋体" w:hAnsi="宋体" w:cs="宋体"/>
                <w:color w:val="auto"/>
                <w:szCs w:val="21"/>
                <w:highlight w:val="none"/>
              </w:rPr>
              <w:t>条内容进行评审）。</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559CC66">
            <w:pPr>
              <w:spacing w:before="120" w:after="60"/>
              <w:jc w:val="center"/>
              <w:rPr>
                <w:rFonts w:hint="eastAsia" w:ascii="宋体" w:hAnsi="宋体" w:cs="宋体"/>
                <w:color w:val="auto"/>
                <w:szCs w:val="21"/>
                <w:highlight w:val="none"/>
              </w:rPr>
            </w:pPr>
          </w:p>
        </w:tc>
      </w:tr>
      <w:tr w14:paraId="0374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14:paraId="10F53549">
            <w:pPr>
              <w:spacing w:before="120" w:after="60"/>
              <w:jc w:val="center"/>
              <w:rPr>
                <w:rFonts w:hint="default" w:ascii="宋体" w:hAnsi="宋体" w:eastAsia="宋体" w:cs="宋体"/>
                <w:color w:val="auto"/>
                <w:szCs w:val="21"/>
                <w:highlight w:val="none"/>
                <w:lang w:val="en-US" w:eastAsia="zh-CN"/>
              </w:rPr>
            </w:pPr>
            <w:r>
              <w:rPr>
                <w:rFonts w:hint="eastAsia" w:cs="宋体"/>
                <w:color w:val="auto"/>
                <w:szCs w:val="21"/>
                <w:highlight w:val="none"/>
                <w:lang w:val="en-US" w:eastAsia="zh-CN"/>
              </w:rPr>
              <w:t>13</w:t>
            </w:r>
          </w:p>
        </w:tc>
        <w:tc>
          <w:tcPr>
            <w:tcW w:w="661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ACCCB8">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未被列入拖欠农民工工资失信联合惩戒对象名单</w:t>
            </w:r>
          </w:p>
        </w:tc>
        <w:tc>
          <w:tcPr>
            <w:tcW w:w="63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A7AF47">
            <w:pPr>
              <w:spacing w:before="120" w:after="60"/>
              <w:jc w:val="center"/>
              <w:rPr>
                <w:rFonts w:hint="eastAsia" w:ascii="宋体" w:hAnsi="宋体" w:eastAsia="宋体" w:cs="宋体"/>
                <w:color w:val="auto"/>
                <w:kern w:val="2"/>
                <w:sz w:val="21"/>
                <w:szCs w:val="21"/>
                <w:highlight w:val="none"/>
                <w:lang w:val="en-US" w:eastAsia="zh-CN" w:bidi="ar-SA"/>
              </w:rPr>
            </w:pPr>
            <w:r>
              <w:rPr>
                <w:rFonts w:hint="eastAsia" w:ascii="宋体" w:hAnsi="宋体"/>
                <w:color w:val="auto"/>
                <w:szCs w:val="21"/>
                <w:highlight w:val="none"/>
              </w:rPr>
              <w:t>投标人无需提供资料，按投标截止时间交易系统比对的结果进行评审</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AB72FAB">
            <w:pPr>
              <w:spacing w:before="120" w:after="60"/>
              <w:jc w:val="center"/>
              <w:rPr>
                <w:rFonts w:hint="eastAsia" w:ascii="宋体" w:hAnsi="宋体" w:cs="宋体"/>
                <w:color w:val="auto"/>
                <w:szCs w:val="21"/>
                <w:highlight w:val="none"/>
              </w:rPr>
            </w:pPr>
          </w:p>
        </w:tc>
      </w:tr>
    </w:tbl>
    <w:p w14:paraId="264C3663">
      <w:pPr>
        <w:spacing w:line="240" w:lineRule="auto"/>
        <w:ind w:firstLine="470" w:firstLineChars="224"/>
        <w:rPr>
          <w:rFonts w:hint="eastAsia"/>
          <w:color w:val="auto"/>
          <w:szCs w:val="21"/>
          <w:highlight w:val="none"/>
        </w:rPr>
      </w:pPr>
    </w:p>
    <w:p w14:paraId="10F59DDC">
      <w:pPr>
        <w:spacing w:line="240" w:lineRule="auto"/>
        <w:ind w:firstLine="470" w:firstLineChars="224"/>
        <w:rPr>
          <w:color w:val="auto"/>
          <w:szCs w:val="21"/>
          <w:highlight w:val="none"/>
        </w:rPr>
      </w:pPr>
      <w:r>
        <w:rPr>
          <w:rFonts w:hint="eastAsia"/>
          <w:color w:val="auto"/>
          <w:szCs w:val="21"/>
          <w:highlight w:val="none"/>
        </w:rPr>
        <w:t>备注：</w:t>
      </w:r>
      <w:r>
        <w:rPr>
          <w:color w:val="auto"/>
          <w:szCs w:val="21"/>
          <w:highlight w:val="none"/>
        </w:rPr>
        <w:t>1</w:t>
      </w:r>
      <w:r>
        <w:rPr>
          <w:rFonts w:hint="eastAsia"/>
          <w:color w:val="auto"/>
          <w:szCs w:val="21"/>
          <w:highlight w:val="none"/>
        </w:rPr>
        <w:t>、每一项目符合的打“○”，不符合的打“×”；</w:t>
      </w:r>
      <w:r>
        <w:rPr>
          <w:color w:val="auto"/>
          <w:szCs w:val="21"/>
          <w:highlight w:val="none"/>
        </w:rPr>
        <w:t xml:space="preserve"> </w:t>
      </w:r>
    </w:p>
    <w:p w14:paraId="2F5DC9D9">
      <w:pPr>
        <w:spacing w:line="240" w:lineRule="auto"/>
        <w:ind w:firstLine="470" w:firstLineChars="224"/>
        <w:rPr>
          <w:rFonts w:hint="eastAsia"/>
          <w:color w:val="auto"/>
          <w:szCs w:val="21"/>
          <w:highlight w:val="none"/>
        </w:rPr>
      </w:pPr>
      <w:r>
        <w:rPr>
          <w:color w:val="auto"/>
          <w:szCs w:val="21"/>
          <w:highlight w:val="none"/>
        </w:rPr>
        <w:t>2</w:t>
      </w:r>
      <w:r>
        <w:rPr>
          <w:rFonts w:hint="eastAsia"/>
          <w:color w:val="auto"/>
          <w:szCs w:val="21"/>
          <w:highlight w:val="none"/>
        </w:rPr>
        <w:t>、若评委意见不一致时，则按少数服从多数的原则，作出评审结论。汇总后，出现一个“×”的结论为“不通过”。</w:t>
      </w:r>
    </w:p>
    <w:p w14:paraId="368C538A">
      <w:pPr>
        <w:spacing w:line="240" w:lineRule="auto"/>
        <w:ind w:firstLine="470" w:firstLineChars="224"/>
        <w:rPr>
          <w:rFonts w:hint="eastAsia"/>
          <w:color w:val="auto"/>
          <w:szCs w:val="21"/>
          <w:highlight w:val="none"/>
        </w:rPr>
      </w:pPr>
      <w:r>
        <w:rPr>
          <w:rFonts w:hint="eastAsia"/>
          <w:color w:val="auto"/>
          <w:szCs w:val="21"/>
          <w:highlight w:val="none"/>
          <w:lang w:val="en-US" w:eastAsia="zh-CN"/>
        </w:rPr>
        <w:t>3</w:t>
      </w:r>
      <w:r>
        <w:rPr>
          <w:rFonts w:hint="eastAsia"/>
          <w:color w:val="auto"/>
          <w:szCs w:val="21"/>
          <w:highlight w:val="none"/>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65128DD7">
      <w:pPr>
        <w:ind w:firstLine="420" w:firstLineChars="200"/>
        <w:rPr>
          <w:rFonts w:hint="eastAsia"/>
          <w:color w:val="auto"/>
          <w:szCs w:val="21"/>
          <w:highlight w:val="none"/>
        </w:rPr>
      </w:pPr>
    </w:p>
    <w:p w14:paraId="48472E56">
      <w:pPr>
        <w:ind w:firstLine="420" w:firstLineChars="200"/>
        <w:rPr>
          <w:color w:val="auto"/>
          <w:szCs w:val="21"/>
          <w:highlight w:val="none"/>
        </w:rPr>
      </w:pPr>
      <w:r>
        <w:rPr>
          <w:rFonts w:hint="eastAsia"/>
          <w:color w:val="auto"/>
          <w:szCs w:val="21"/>
          <w:highlight w:val="none"/>
        </w:rPr>
        <w:t>评委签名：</w:t>
      </w:r>
    </w:p>
    <w:p w14:paraId="10F13BFD">
      <w:pPr>
        <w:pStyle w:val="4"/>
        <w:rPr>
          <w:rFonts w:hint="eastAsia"/>
          <w:color w:val="auto"/>
          <w:highlight w:val="none"/>
        </w:rPr>
        <w:sectPr>
          <w:endnotePr>
            <w:numFmt w:val="decimal"/>
          </w:endnotePr>
          <w:pgSz w:w="16838" w:h="11905" w:orient="landscape"/>
          <w:pgMar w:top="1247" w:right="1440" w:bottom="1247" w:left="1440" w:header="850" w:footer="907" w:gutter="0"/>
          <w:pgNumType w:fmt="decimal"/>
          <w:cols w:space="0" w:num="1"/>
          <w:titlePg/>
          <w:docGrid w:type="lines" w:linePitch="319" w:charSpace="0"/>
        </w:sectPr>
      </w:pPr>
    </w:p>
    <w:p w14:paraId="4DA042D7">
      <w:pPr>
        <w:rPr>
          <w:b/>
          <w:color w:val="auto"/>
          <w:sz w:val="36"/>
          <w:szCs w:val="36"/>
          <w:highlight w:val="none"/>
        </w:rPr>
      </w:pPr>
      <w:r>
        <w:rPr>
          <w:rFonts w:hint="eastAsia"/>
          <w:color w:val="auto"/>
          <w:szCs w:val="21"/>
          <w:highlight w:val="none"/>
        </w:rPr>
        <w:t>附表二</w:t>
      </w:r>
      <w:r>
        <w:rPr>
          <w:rFonts w:hint="eastAsia"/>
          <w:color w:val="auto"/>
          <w:szCs w:val="21"/>
          <w:highlight w:val="none"/>
          <w:lang w:val="en-US" w:eastAsia="zh-CN"/>
        </w:rPr>
        <w:t xml:space="preserve">                                                  </w:t>
      </w:r>
      <w:r>
        <w:rPr>
          <w:rFonts w:hint="eastAsia"/>
          <w:b/>
          <w:color w:val="auto"/>
          <w:sz w:val="36"/>
          <w:szCs w:val="36"/>
          <w:highlight w:val="none"/>
        </w:rPr>
        <w:t>技术标有效性审查表</w:t>
      </w:r>
    </w:p>
    <w:p w14:paraId="2FA4D79E">
      <w:pPr>
        <w:rPr>
          <w:color w:val="auto"/>
          <w:szCs w:val="21"/>
          <w:highlight w:val="none"/>
        </w:rPr>
      </w:pPr>
      <w:r>
        <w:rPr>
          <w:rFonts w:hint="eastAsia"/>
          <w:color w:val="auto"/>
          <w:szCs w:val="21"/>
          <w:highlight w:val="none"/>
        </w:rPr>
        <w:t>工程名称：</w:t>
      </w:r>
    </w:p>
    <w:tbl>
      <w:tblPr>
        <w:tblStyle w:val="27"/>
        <w:tblW w:w="1428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8957"/>
        <w:gridCol w:w="1604"/>
        <w:gridCol w:w="1604"/>
        <w:gridCol w:w="1604"/>
      </w:tblGrid>
      <w:tr w14:paraId="24E5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20" w:type="dxa"/>
            <w:tcBorders>
              <w:top w:val="single" w:color="auto" w:sz="4" w:space="0"/>
              <w:left w:val="single" w:color="auto" w:sz="4" w:space="0"/>
              <w:bottom w:val="single" w:color="auto" w:sz="4" w:space="0"/>
              <w:right w:val="single" w:color="auto" w:sz="4" w:space="0"/>
            </w:tcBorders>
            <w:vAlign w:val="center"/>
          </w:tcPr>
          <w:p w14:paraId="03840C83">
            <w:pPr>
              <w:adjustRightInd w:val="0"/>
              <w:rPr>
                <w:color w:val="auto"/>
                <w:szCs w:val="21"/>
                <w:highlight w:val="none"/>
              </w:rPr>
            </w:pPr>
            <w:r>
              <w:rPr>
                <w:rFonts w:hint="eastAsia"/>
                <w:color w:val="auto"/>
                <w:szCs w:val="21"/>
                <w:highlight w:val="none"/>
              </w:rPr>
              <w:t>序号</w:t>
            </w:r>
          </w:p>
        </w:tc>
        <w:tc>
          <w:tcPr>
            <w:tcW w:w="8957" w:type="dxa"/>
            <w:tcBorders>
              <w:top w:val="single" w:color="auto" w:sz="4" w:space="0"/>
              <w:left w:val="single" w:color="auto" w:sz="4" w:space="0"/>
              <w:bottom w:val="single" w:color="auto" w:sz="4" w:space="0"/>
              <w:right w:val="single" w:color="auto" w:sz="4" w:space="0"/>
              <w:tl2br w:val="single" w:color="auto" w:sz="4" w:space="0"/>
            </w:tcBorders>
          </w:tcPr>
          <w:p w14:paraId="1883B5D7">
            <w:pPr>
              <w:adjustRightInd w:val="0"/>
              <w:rPr>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r>
              <w:rPr>
                <w:rFonts w:hint="eastAsia"/>
                <w:color w:val="auto"/>
                <w:szCs w:val="21"/>
                <w:highlight w:val="none"/>
                <w:lang w:val="en-US" w:eastAsia="zh-CN"/>
              </w:rPr>
              <w:t xml:space="preserve">         </w:t>
            </w:r>
            <w:r>
              <w:rPr>
                <w:color w:val="auto"/>
                <w:szCs w:val="21"/>
                <w:highlight w:val="none"/>
              </w:rPr>
              <w:t xml:space="preserve"> </w:t>
            </w:r>
            <w:r>
              <w:rPr>
                <w:rFonts w:hint="eastAsia"/>
                <w:color w:val="auto"/>
                <w:szCs w:val="21"/>
                <w:highlight w:val="none"/>
              </w:rPr>
              <w:t>投标人</w:t>
            </w:r>
          </w:p>
          <w:p w14:paraId="4C05DB84">
            <w:pPr>
              <w:adjustRightInd w:val="0"/>
              <w:rPr>
                <w:color w:val="auto"/>
                <w:szCs w:val="21"/>
                <w:highlight w:val="none"/>
              </w:rPr>
            </w:pPr>
            <w:r>
              <w:rPr>
                <w:rFonts w:hint="eastAsia"/>
                <w:color w:val="auto"/>
                <w:szCs w:val="21"/>
                <w:highlight w:val="none"/>
              </w:rPr>
              <w:t>评审内容</w:t>
            </w:r>
          </w:p>
        </w:tc>
        <w:tc>
          <w:tcPr>
            <w:tcW w:w="1604" w:type="dxa"/>
            <w:tcBorders>
              <w:top w:val="single" w:color="auto" w:sz="4" w:space="0"/>
              <w:left w:val="single" w:color="auto" w:sz="4" w:space="0"/>
              <w:bottom w:val="single" w:color="auto" w:sz="4" w:space="0"/>
              <w:right w:val="single" w:color="auto" w:sz="4" w:space="0"/>
            </w:tcBorders>
          </w:tcPr>
          <w:p w14:paraId="1FE2143F">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14:paraId="7341C34A">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14:paraId="406DFB6B">
            <w:pPr>
              <w:adjustRightInd w:val="0"/>
              <w:rPr>
                <w:color w:val="auto"/>
                <w:szCs w:val="21"/>
                <w:highlight w:val="none"/>
              </w:rPr>
            </w:pPr>
          </w:p>
        </w:tc>
      </w:tr>
      <w:tr w14:paraId="4E13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183BD291">
            <w:pPr>
              <w:adjustRightInd w:val="0"/>
              <w:jc w:val="center"/>
              <w:rPr>
                <w:color w:val="auto"/>
                <w:szCs w:val="21"/>
                <w:highlight w:val="none"/>
              </w:rPr>
            </w:pPr>
            <w:r>
              <w:rPr>
                <w:rFonts w:hint="eastAsia"/>
                <w:color w:val="auto"/>
                <w:szCs w:val="21"/>
                <w:highlight w:val="none"/>
              </w:rPr>
              <w:t>1</w:t>
            </w:r>
          </w:p>
        </w:tc>
        <w:tc>
          <w:tcPr>
            <w:tcW w:w="8957" w:type="dxa"/>
            <w:tcBorders>
              <w:top w:val="single" w:color="auto" w:sz="4" w:space="0"/>
              <w:left w:val="single" w:color="auto" w:sz="4" w:space="0"/>
              <w:bottom w:val="single" w:color="auto" w:sz="4" w:space="0"/>
              <w:right w:val="single" w:color="auto" w:sz="4" w:space="0"/>
            </w:tcBorders>
            <w:vAlign w:val="center"/>
          </w:tcPr>
          <w:p w14:paraId="1A84F0AC">
            <w:pPr>
              <w:adjustRightInd w:val="0"/>
              <w:rPr>
                <w:color w:val="auto"/>
                <w:szCs w:val="21"/>
                <w:highlight w:val="none"/>
              </w:rPr>
            </w:pPr>
            <w:r>
              <w:rPr>
                <w:rFonts w:hint="eastAsia" w:cs="宋体"/>
                <w:color w:val="auto"/>
                <w:szCs w:val="21"/>
                <w:highlight w:val="none"/>
                <w:u w:val="single"/>
              </w:rPr>
              <w:t>《广州建设工程施工招标投标书》中的投标总工期</w:t>
            </w:r>
            <w:r>
              <w:rPr>
                <w:rFonts w:hint="eastAsia"/>
                <w:color w:val="auto"/>
                <w:szCs w:val="21"/>
                <w:highlight w:val="none"/>
              </w:rPr>
              <w:t>不能满足完成投标项目工期的；</w:t>
            </w:r>
          </w:p>
        </w:tc>
        <w:tc>
          <w:tcPr>
            <w:tcW w:w="1604" w:type="dxa"/>
            <w:tcBorders>
              <w:top w:val="single" w:color="auto" w:sz="4" w:space="0"/>
              <w:left w:val="single" w:color="auto" w:sz="4" w:space="0"/>
              <w:bottom w:val="single" w:color="auto" w:sz="4" w:space="0"/>
              <w:right w:val="single" w:color="auto" w:sz="4" w:space="0"/>
            </w:tcBorders>
          </w:tcPr>
          <w:p w14:paraId="0E52F9E8">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14:paraId="53E2ADCE">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14:paraId="64EDB77F">
            <w:pPr>
              <w:adjustRightInd w:val="0"/>
              <w:rPr>
                <w:color w:val="auto"/>
                <w:szCs w:val="21"/>
                <w:highlight w:val="none"/>
              </w:rPr>
            </w:pPr>
          </w:p>
        </w:tc>
      </w:tr>
      <w:tr w14:paraId="776F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7E0839F7">
            <w:pPr>
              <w:adjustRightInd w:val="0"/>
              <w:jc w:val="center"/>
              <w:rPr>
                <w:color w:val="auto"/>
                <w:szCs w:val="21"/>
                <w:highlight w:val="none"/>
              </w:rPr>
            </w:pPr>
            <w:r>
              <w:rPr>
                <w:rFonts w:hint="eastAsia"/>
                <w:color w:val="auto"/>
                <w:szCs w:val="21"/>
                <w:highlight w:val="none"/>
              </w:rPr>
              <w:t>2</w:t>
            </w:r>
          </w:p>
        </w:tc>
        <w:tc>
          <w:tcPr>
            <w:tcW w:w="8957" w:type="dxa"/>
            <w:tcBorders>
              <w:top w:val="single" w:color="auto" w:sz="4" w:space="0"/>
              <w:left w:val="single" w:color="auto" w:sz="4" w:space="0"/>
              <w:bottom w:val="single" w:color="auto" w:sz="4" w:space="0"/>
              <w:right w:val="single" w:color="auto" w:sz="4" w:space="0"/>
            </w:tcBorders>
            <w:vAlign w:val="center"/>
          </w:tcPr>
          <w:p w14:paraId="2B85019A">
            <w:pPr>
              <w:adjustRightInd w:val="0"/>
              <w:rPr>
                <w:rFonts w:cs="宋体"/>
                <w:color w:val="auto"/>
                <w:szCs w:val="21"/>
                <w:highlight w:val="none"/>
                <w:u w:val="single"/>
              </w:rPr>
            </w:pPr>
            <w:r>
              <w:rPr>
                <w:rFonts w:hint="eastAsia" w:cs="宋体"/>
                <w:color w:val="auto"/>
                <w:szCs w:val="21"/>
                <w:highlight w:val="none"/>
                <w:u w:val="single"/>
              </w:rPr>
              <w:t>《广州建设工程施工招标投标书》中的工程质量标准不符合招标文件要求的；</w:t>
            </w:r>
          </w:p>
        </w:tc>
        <w:tc>
          <w:tcPr>
            <w:tcW w:w="1604" w:type="dxa"/>
            <w:tcBorders>
              <w:top w:val="single" w:color="auto" w:sz="4" w:space="0"/>
              <w:left w:val="single" w:color="auto" w:sz="4" w:space="0"/>
              <w:bottom w:val="single" w:color="auto" w:sz="4" w:space="0"/>
              <w:right w:val="single" w:color="auto" w:sz="4" w:space="0"/>
            </w:tcBorders>
          </w:tcPr>
          <w:p w14:paraId="5F10D259">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14:paraId="554B386F">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14:paraId="10155FE5">
            <w:pPr>
              <w:adjustRightInd w:val="0"/>
              <w:rPr>
                <w:color w:val="auto"/>
                <w:szCs w:val="21"/>
                <w:highlight w:val="none"/>
              </w:rPr>
            </w:pPr>
          </w:p>
        </w:tc>
      </w:tr>
      <w:tr w14:paraId="3C92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20" w:type="dxa"/>
            <w:tcBorders>
              <w:top w:val="single" w:color="auto" w:sz="4" w:space="0"/>
              <w:left w:val="single" w:color="auto" w:sz="4" w:space="0"/>
              <w:bottom w:val="single" w:color="auto" w:sz="4" w:space="0"/>
              <w:right w:val="single" w:color="auto" w:sz="4" w:space="0"/>
            </w:tcBorders>
            <w:vAlign w:val="center"/>
          </w:tcPr>
          <w:p w14:paraId="0358A7D8">
            <w:pPr>
              <w:adjustRightInd w:val="0"/>
              <w:jc w:val="center"/>
              <w:rPr>
                <w:color w:val="auto"/>
                <w:szCs w:val="21"/>
                <w:highlight w:val="none"/>
              </w:rPr>
            </w:pPr>
            <w:r>
              <w:rPr>
                <w:rFonts w:hint="eastAsia"/>
                <w:color w:val="auto"/>
                <w:szCs w:val="21"/>
                <w:highlight w:val="none"/>
              </w:rPr>
              <w:t>3</w:t>
            </w:r>
          </w:p>
        </w:tc>
        <w:tc>
          <w:tcPr>
            <w:tcW w:w="8957" w:type="dxa"/>
            <w:tcBorders>
              <w:top w:val="single" w:color="auto" w:sz="4" w:space="0"/>
              <w:left w:val="single" w:color="auto" w:sz="4" w:space="0"/>
              <w:bottom w:val="single" w:color="auto" w:sz="4" w:space="0"/>
              <w:right w:val="single" w:color="auto" w:sz="4" w:space="0"/>
            </w:tcBorders>
            <w:vAlign w:val="center"/>
          </w:tcPr>
          <w:p w14:paraId="3A015391">
            <w:pPr>
              <w:adjustRightInd w:val="0"/>
              <w:rPr>
                <w:color w:val="auto"/>
                <w:szCs w:val="21"/>
                <w:highlight w:val="none"/>
              </w:rPr>
            </w:pPr>
            <w:r>
              <w:rPr>
                <w:rFonts w:hint="eastAsia"/>
                <w:color w:val="auto"/>
                <w:szCs w:val="21"/>
                <w:highlight w:val="none"/>
              </w:rPr>
              <w:t>投标文件中没有有效的法定代表人证明书，或由委托代理人</w:t>
            </w:r>
            <w:r>
              <w:rPr>
                <w:rFonts w:hint="eastAsia"/>
                <w:color w:val="auto"/>
                <w:szCs w:val="21"/>
                <w:highlight w:val="none"/>
                <w:u w:val="single"/>
              </w:rPr>
              <w:t>签署或盖章</w:t>
            </w:r>
            <w:r>
              <w:rPr>
                <w:rFonts w:hint="eastAsia"/>
                <w:color w:val="auto"/>
                <w:szCs w:val="21"/>
                <w:highlight w:val="none"/>
              </w:rPr>
              <w:t>的投标文件中没有法定代表人授权书；</w:t>
            </w:r>
          </w:p>
        </w:tc>
        <w:tc>
          <w:tcPr>
            <w:tcW w:w="1604" w:type="dxa"/>
            <w:tcBorders>
              <w:top w:val="single" w:color="auto" w:sz="4" w:space="0"/>
              <w:left w:val="single" w:color="auto" w:sz="4" w:space="0"/>
              <w:bottom w:val="single" w:color="auto" w:sz="4" w:space="0"/>
              <w:right w:val="single" w:color="auto" w:sz="4" w:space="0"/>
            </w:tcBorders>
          </w:tcPr>
          <w:p w14:paraId="0C28A80D">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14:paraId="5030D529">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14:paraId="2138FEBE">
            <w:pPr>
              <w:adjustRightInd w:val="0"/>
              <w:rPr>
                <w:color w:val="auto"/>
                <w:szCs w:val="21"/>
                <w:highlight w:val="none"/>
              </w:rPr>
            </w:pPr>
          </w:p>
        </w:tc>
      </w:tr>
      <w:tr w14:paraId="2738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520" w:type="dxa"/>
            <w:tcBorders>
              <w:top w:val="single" w:color="auto" w:sz="4" w:space="0"/>
              <w:left w:val="single" w:color="auto" w:sz="4" w:space="0"/>
              <w:bottom w:val="single" w:color="auto" w:sz="4" w:space="0"/>
              <w:right w:val="single" w:color="auto" w:sz="4" w:space="0"/>
            </w:tcBorders>
            <w:vAlign w:val="center"/>
          </w:tcPr>
          <w:p w14:paraId="5777F5F2">
            <w:pPr>
              <w:adjustRightInd w:val="0"/>
              <w:jc w:val="center"/>
              <w:rPr>
                <w:color w:val="auto"/>
                <w:szCs w:val="21"/>
                <w:highlight w:val="none"/>
              </w:rPr>
            </w:pPr>
            <w:r>
              <w:rPr>
                <w:rFonts w:hint="eastAsia"/>
                <w:color w:val="auto"/>
                <w:szCs w:val="21"/>
                <w:highlight w:val="none"/>
              </w:rPr>
              <w:t>4</w:t>
            </w:r>
          </w:p>
        </w:tc>
        <w:tc>
          <w:tcPr>
            <w:tcW w:w="8957" w:type="dxa"/>
            <w:tcBorders>
              <w:top w:val="single" w:color="auto" w:sz="4" w:space="0"/>
              <w:left w:val="single" w:color="auto" w:sz="4" w:space="0"/>
              <w:bottom w:val="single" w:color="auto" w:sz="4" w:space="0"/>
              <w:right w:val="single" w:color="auto" w:sz="4" w:space="0"/>
            </w:tcBorders>
            <w:vAlign w:val="center"/>
          </w:tcPr>
          <w:p w14:paraId="707C7079">
            <w:pPr>
              <w:adjustRightInd w:val="0"/>
              <w:spacing w:line="240" w:lineRule="exact"/>
              <w:rPr>
                <w:color w:val="auto"/>
                <w:szCs w:val="21"/>
                <w:highlight w:val="none"/>
              </w:rPr>
            </w:pPr>
            <w:r>
              <w:rPr>
                <w:rFonts w:hint="eastAsia" w:cs="宋体"/>
                <w:color w:val="auto"/>
                <w:szCs w:val="21"/>
                <w:highlight w:val="none"/>
              </w:rPr>
              <w:t>投标文件未按规定的格式填写</w:t>
            </w:r>
            <w:r>
              <w:rPr>
                <w:rFonts w:hint="eastAsia" w:cs="宋体"/>
                <w:color w:val="auto"/>
                <w:szCs w:val="21"/>
                <w:highlight w:val="none"/>
                <w:u w:val="single"/>
              </w:rPr>
              <w:t>（指招标文件第四章提供格式的《广州建设工程施工招标投标书（技术标）》、《投标函》</w:t>
            </w:r>
            <w:r>
              <w:rPr>
                <w:rFonts w:hint="eastAsia" w:cs="宋体"/>
                <w:color w:val="auto"/>
                <w:szCs w:val="21"/>
                <w:highlight w:val="none"/>
              </w:rPr>
              <w:t>，或主要内容（指投标文件组成内容）不全，或关键字迹模糊、无法辨认的；</w:t>
            </w:r>
          </w:p>
        </w:tc>
        <w:tc>
          <w:tcPr>
            <w:tcW w:w="1604" w:type="dxa"/>
            <w:tcBorders>
              <w:top w:val="single" w:color="auto" w:sz="4" w:space="0"/>
              <w:left w:val="single" w:color="auto" w:sz="4" w:space="0"/>
              <w:bottom w:val="single" w:color="auto" w:sz="4" w:space="0"/>
              <w:right w:val="single" w:color="auto" w:sz="4" w:space="0"/>
            </w:tcBorders>
          </w:tcPr>
          <w:p w14:paraId="04901CD2">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14:paraId="10EC84DC">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14:paraId="2C8BE2D8">
            <w:pPr>
              <w:adjustRightInd w:val="0"/>
              <w:rPr>
                <w:color w:val="auto"/>
                <w:szCs w:val="21"/>
                <w:highlight w:val="none"/>
              </w:rPr>
            </w:pPr>
          </w:p>
        </w:tc>
      </w:tr>
      <w:tr w14:paraId="6A2A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05E1E7B1">
            <w:pPr>
              <w:adjustRightInd w:val="0"/>
              <w:jc w:val="center"/>
              <w:rPr>
                <w:color w:val="auto"/>
                <w:szCs w:val="21"/>
                <w:highlight w:val="none"/>
              </w:rPr>
            </w:pPr>
            <w:r>
              <w:rPr>
                <w:rFonts w:hint="eastAsia"/>
                <w:color w:val="auto"/>
                <w:szCs w:val="21"/>
                <w:highlight w:val="none"/>
              </w:rPr>
              <w:t>5</w:t>
            </w:r>
          </w:p>
        </w:tc>
        <w:tc>
          <w:tcPr>
            <w:tcW w:w="8957" w:type="dxa"/>
            <w:tcBorders>
              <w:top w:val="single" w:color="auto" w:sz="4" w:space="0"/>
              <w:left w:val="single" w:color="auto" w:sz="4" w:space="0"/>
              <w:bottom w:val="single" w:color="auto" w:sz="4" w:space="0"/>
              <w:right w:val="single" w:color="auto" w:sz="4" w:space="0"/>
            </w:tcBorders>
            <w:vAlign w:val="center"/>
          </w:tcPr>
          <w:p w14:paraId="383F42EC">
            <w:pPr>
              <w:adjustRightInd w:val="0"/>
              <w:rPr>
                <w:color w:val="auto"/>
                <w:szCs w:val="21"/>
                <w:highlight w:val="none"/>
              </w:rPr>
            </w:pPr>
            <w:r>
              <w:rPr>
                <w:rFonts w:hint="eastAsia"/>
                <w:color w:val="auto"/>
                <w:szCs w:val="21"/>
                <w:highlight w:val="none"/>
              </w:rPr>
              <w:t>投标人之间存在《广东省实施&lt;中华人民共和国招标投标法&gt;》第十六条所禁止的情形的；</w:t>
            </w:r>
          </w:p>
        </w:tc>
        <w:tc>
          <w:tcPr>
            <w:tcW w:w="1604" w:type="dxa"/>
            <w:tcBorders>
              <w:top w:val="single" w:color="auto" w:sz="4" w:space="0"/>
              <w:left w:val="single" w:color="auto" w:sz="4" w:space="0"/>
              <w:bottom w:val="single" w:color="auto" w:sz="4" w:space="0"/>
              <w:right w:val="single" w:color="auto" w:sz="4" w:space="0"/>
            </w:tcBorders>
          </w:tcPr>
          <w:p w14:paraId="4B4A8AEA">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14:paraId="34AB1BCE">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14:paraId="6B32F59F">
            <w:pPr>
              <w:adjustRightInd w:val="0"/>
              <w:rPr>
                <w:color w:val="auto"/>
                <w:szCs w:val="21"/>
                <w:highlight w:val="none"/>
              </w:rPr>
            </w:pPr>
          </w:p>
        </w:tc>
      </w:tr>
      <w:tr w14:paraId="14BE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08F23417">
            <w:pPr>
              <w:adjustRightInd w:val="0"/>
              <w:jc w:val="center"/>
              <w:rPr>
                <w:color w:val="auto"/>
                <w:szCs w:val="21"/>
                <w:highlight w:val="none"/>
              </w:rPr>
            </w:pPr>
            <w:r>
              <w:rPr>
                <w:rFonts w:hint="eastAsia"/>
                <w:color w:val="auto"/>
                <w:szCs w:val="21"/>
                <w:highlight w:val="none"/>
              </w:rPr>
              <w:t>6</w:t>
            </w:r>
          </w:p>
        </w:tc>
        <w:tc>
          <w:tcPr>
            <w:tcW w:w="8957" w:type="dxa"/>
            <w:tcBorders>
              <w:top w:val="single" w:color="auto" w:sz="4" w:space="0"/>
              <w:left w:val="single" w:color="auto" w:sz="4" w:space="0"/>
              <w:bottom w:val="single" w:color="auto" w:sz="4" w:space="0"/>
              <w:right w:val="single" w:color="auto" w:sz="4" w:space="0"/>
            </w:tcBorders>
            <w:vAlign w:val="center"/>
          </w:tcPr>
          <w:p w14:paraId="4FF6A153">
            <w:pPr>
              <w:adjustRightInd w:val="0"/>
              <w:rPr>
                <w:color w:val="auto"/>
                <w:szCs w:val="21"/>
                <w:highlight w:val="none"/>
              </w:rPr>
            </w:pPr>
            <w:r>
              <w:rPr>
                <w:rFonts w:hint="eastAsia"/>
                <w:color w:val="auto"/>
                <w:szCs w:val="21"/>
                <w:highlight w:val="none"/>
              </w:rPr>
              <w:t>无《参与编制技术标投标文件人员名单》的</w:t>
            </w:r>
          </w:p>
        </w:tc>
        <w:tc>
          <w:tcPr>
            <w:tcW w:w="1604" w:type="dxa"/>
            <w:tcBorders>
              <w:top w:val="single" w:color="auto" w:sz="4" w:space="0"/>
              <w:left w:val="single" w:color="auto" w:sz="4" w:space="0"/>
              <w:bottom w:val="single" w:color="auto" w:sz="4" w:space="0"/>
              <w:right w:val="single" w:color="auto" w:sz="4" w:space="0"/>
            </w:tcBorders>
          </w:tcPr>
          <w:p w14:paraId="3328F472">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14:paraId="14A75FE2">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14:paraId="75D6693E">
            <w:pPr>
              <w:adjustRightInd w:val="0"/>
              <w:rPr>
                <w:color w:val="auto"/>
                <w:szCs w:val="21"/>
                <w:highlight w:val="none"/>
              </w:rPr>
            </w:pPr>
          </w:p>
        </w:tc>
      </w:tr>
      <w:tr w14:paraId="285C1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14:paraId="0B5E38A1">
            <w:pPr>
              <w:adjustRightInd w:val="0"/>
              <w:jc w:val="center"/>
              <w:rPr>
                <w:color w:val="auto"/>
                <w:szCs w:val="21"/>
                <w:highlight w:val="none"/>
              </w:rPr>
            </w:pPr>
            <w:r>
              <w:rPr>
                <w:rFonts w:hint="eastAsia"/>
                <w:color w:val="auto"/>
                <w:szCs w:val="21"/>
                <w:highlight w:val="none"/>
              </w:rPr>
              <w:t>7</w:t>
            </w:r>
          </w:p>
        </w:tc>
        <w:tc>
          <w:tcPr>
            <w:tcW w:w="8957" w:type="dxa"/>
            <w:tcBorders>
              <w:top w:val="single" w:color="auto" w:sz="4" w:space="0"/>
              <w:left w:val="single" w:color="auto" w:sz="4" w:space="0"/>
              <w:bottom w:val="single" w:color="auto" w:sz="4" w:space="0"/>
              <w:right w:val="single" w:color="auto" w:sz="4" w:space="0"/>
            </w:tcBorders>
            <w:vAlign w:val="center"/>
          </w:tcPr>
          <w:p w14:paraId="0CAF45B7">
            <w:pPr>
              <w:adjustRightInd w:val="0"/>
              <w:rPr>
                <w:color w:val="auto"/>
                <w:szCs w:val="21"/>
                <w:highlight w:val="none"/>
              </w:rPr>
            </w:pPr>
            <w:r>
              <w:rPr>
                <w:rFonts w:hint="eastAsia"/>
                <w:color w:val="auto"/>
                <w:szCs w:val="21"/>
                <w:highlight w:val="none"/>
              </w:rPr>
              <w:t>投标人未按要求提交投标保证金的</w:t>
            </w:r>
          </w:p>
        </w:tc>
        <w:tc>
          <w:tcPr>
            <w:tcW w:w="1604" w:type="dxa"/>
            <w:tcBorders>
              <w:top w:val="single" w:color="auto" w:sz="4" w:space="0"/>
              <w:left w:val="single" w:color="auto" w:sz="4" w:space="0"/>
              <w:bottom w:val="single" w:color="auto" w:sz="4" w:space="0"/>
              <w:right w:val="single" w:color="auto" w:sz="4" w:space="0"/>
            </w:tcBorders>
          </w:tcPr>
          <w:p w14:paraId="05FCBEF6">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14:paraId="27AB5D49">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14:paraId="2339BA87">
            <w:pPr>
              <w:adjustRightInd w:val="0"/>
              <w:rPr>
                <w:color w:val="auto"/>
                <w:szCs w:val="21"/>
                <w:highlight w:val="none"/>
              </w:rPr>
            </w:pPr>
          </w:p>
        </w:tc>
      </w:tr>
      <w:tr w14:paraId="3CC0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0" w:type="dxa"/>
            <w:tcBorders>
              <w:top w:val="single" w:color="auto" w:sz="4" w:space="0"/>
              <w:left w:val="single" w:color="auto" w:sz="4" w:space="0"/>
              <w:bottom w:val="single" w:color="auto" w:sz="4" w:space="0"/>
              <w:right w:val="single" w:color="auto" w:sz="4" w:space="0"/>
            </w:tcBorders>
            <w:vAlign w:val="center"/>
          </w:tcPr>
          <w:p w14:paraId="350B541C">
            <w:pPr>
              <w:adjustRightInd w:val="0"/>
              <w:jc w:val="center"/>
              <w:rPr>
                <w:color w:val="auto"/>
                <w:szCs w:val="21"/>
                <w:highlight w:val="none"/>
              </w:rPr>
            </w:pPr>
            <w:r>
              <w:rPr>
                <w:rFonts w:hint="eastAsia"/>
                <w:color w:val="auto"/>
                <w:szCs w:val="21"/>
                <w:highlight w:val="none"/>
              </w:rPr>
              <w:t>8</w:t>
            </w:r>
          </w:p>
        </w:tc>
        <w:tc>
          <w:tcPr>
            <w:tcW w:w="8957" w:type="dxa"/>
            <w:tcBorders>
              <w:top w:val="single" w:color="auto" w:sz="4" w:space="0"/>
              <w:left w:val="single" w:color="auto" w:sz="4" w:space="0"/>
              <w:bottom w:val="single" w:color="auto" w:sz="4" w:space="0"/>
              <w:right w:val="single" w:color="auto" w:sz="4" w:space="0"/>
            </w:tcBorders>
            <w:vAlign w:val="center"/>
          </w:tcPr>
          <w:p w14:paraId="1C9AFB7F">
            <w:pPr>
              <w:adjustRightInd w:val="0"/>
              <w:rPr>
                <w:color w:val="auto"/>
                <w:szCs w:val="21"/>
                <w:highlight w:val="none"/>
              </w:rPr>
            </w:pPr>
            <w:r>
              <w:rPr>
                <w:rFonts w:hint="eastAsia"/>
                <w:color w:val="auto"/>
                <w:szCs w:val="21"/>
                <w:highlight w:val="none"/>
              </w:rPr>
              <w:t>投标人与本项目其他投标人加密打包投标文件电脑机器特征码一致的(以交易平台评标系统的检索信息为准)</w:t>
            </w:r>
          </w:p>
        </w:tc>
        <w:tc>
          <w:tcPr>
            <w:tcW w:w="1604" w:type="dxa"/>
            <w:tcBorders>
              <w:top w:val="single" w:color="auto" w:sz="4" w:space="0"/>
              <w:left w:val="single" w:color="auto" w:sz="4" w:space="0"/>
              <w:bottom w:val="single" w:color="auto" w:sz="4" w:space="0"/>
              <w:right w:val="single" w:color="auto" w:sz="4" w:space="0"/>
            </w:tcBorders>
          </w:tcPr>
          <w:p w14:paraId="15AA478B">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14:paraId="39E0A58F">
            <w:pPr>
              <w:adjustRightInd w:val="0"/>
              <w:rPr>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14:paraId="242B0289">
            <w:pPr>
              <w:adjustRightInd w:val="0"/>
              <w:rPr>
                <w:color w:val="auto"/>
                <w:szCs w:val="21"/>
                <w:highlight w:val="none"/>
              </w:rPr>
            </w:pPr>
          </w:p>
        </w:tc>
      </w:tr>
    </w:tbl>
    <w:p w14:paraId="201D7AD9">
      <w:pPr>
        <w:rPr>
          <w:color w:val="auto"/>
          <w:szCs w:val="21"/>
          <w:highlight w:val="none"/>
        </w:rPr>
      </w:pPr>
      <w:r>
        <w:rPr>
          <w:rFonts w:hint="eastAsia"/>
          <w:color w:val="auto"/>
          <w:szCs w:val="21"/>
          <w:highlight w:val="none"/>
        </w:rPr>
        <w:t>注：</w:t>
      </w:r>
      <w:r>
        <w:rPr>
          <w:color w:val="auto"/>
          <w:szCs w:val="21"/>
          <w:highlight w:val="none"/>
        </w:rPr>
        <w:t>1.</w:t>
      </w:r>
      <w:r>
        <w:rPr>
          <w:rFonts w:hint="eastAsia"/>
          <w:color w:val="auto"/>
          <w:szCs w:val="21"/>
          <w:highlight w:val="none"/>
        </w:rPr>
        <w:t>本表使用GZZB2018-3招标文件范本，与范本内容不同之处均以下划线标明。技术标评审中，响应性、承诺性内容不应作为评分因素，可在该表中对上述内容进行符合性审查。审查标准须具备可操作性。</w:t>
      </w:r>
    </w:p>
    <w:p w14:paraId="150FEC97">
      <w:pPr>
        <w:rPr>
          <w:color w:val="auto"/>
          <w:szCs w:val="21"/>
          <w:highlight w:val="none"/>
        </w:rPr>
      </w:pPr>
      <w:r>
        <w:rPr>
          <w:rFonts w:hint="eastAsia"/>
          <w:color w:val="auto"/>
          <w:szCs w:val="21"/>
          <w:highlight w:val="none"/>
        </w:rPr>
        <w:t xml:space="preserve">    2</w:t>
      </w:r>
      <w:r>
        <w:rPr>
          <w:color w:val="auto"/>
          <w:szCs w:val="21"/>
          <w:highlight w:val="none"/>
        </w:rPr>
        <w:t>.不得将</w:t>
      </w:r>
      <w:r>
        <w:rPr>
          <w:rFonts w:hint="eastAsia"/>
          <w:color w:val="auto"/>
          <w:szCs w:val="21"/>
          <w:highlight w:val="none"/>
        </w:rPr>
        <w:t>文件顺序、</w:t>
      </w:r>
      <w:r>
        <w:rPr>
          <w:color w:val="auto"/>
          <w:szCs w:val="21"/>
          <w:highlight w:val="none"/>
        </w:rPr>
        <w:t>明显的文字错误等列为否</w:t>
      </w:r>
      <w:r>
        <w:rPr>
          <w:rFonts w:hint="eastAsia"/>
          <w:color w:val="auto"/>
          <w:szCs w:val="21"/>
          <w:highlight w:val="none"/>
        </w:rPr>
        <w:t>决</w:t>
      </w:r>
      <w:r>
        <w:rPr>
          <w:color w:val="auto"/>
          <w:szCs w:val="21"/>
          <w:highlight w:val="none"/>
        </w:rPr>
        <w:t>投标的</w:t>
      </w:r>
      <w:r>
        <w:rPr>
          <w:rFonts w:hint="eastAsia"/>
          <w:color w:val="auto"/>
          <w:szCs w:val="21"/>
          <w:highlight w:val="none"/>
        </w:rPr>
        <w:t>情形。评委</w:t>
      </w:r>
      <w:r>
        <w:rPr>
          <w:color w:val="auto"/>
          <w:szCs w:val="21"/>
          <w:highlight w:val="none"/>
        </w:rPr>
        <w:t>发现投标</w:t>
      </w:r>
      <w:r>
        <w:rPr>
          <w:rFonts w:hint="eastAsia"/>
          <w:color w:val="auto"/>
          <w:szCs w:val="21"/>
          <w:highlight w:val="none"/>
        </w:rPr>
        <w:t>文件</w:t>
      </w:r>
      <w:r>
        <w:rPr>
          <w:color w:val="auto"/>
          <w:szCs w:val="21"/>
          <w:highlight w:val="none"/>
        </w:rPr>
        <w:t>中</w:t>
      </w:r>
      <w:r>
        <w:rPr>
          <w:rFonts w:hint="eastAsia"/>
          <w:color w:val="auto"/>
          <w:szCs w:val="21"/>
          <w:highlight w:val="none"/>
        </w:rPr>
        <w:t>含义不明确</w:t>
      </w:r>
      <w:r>
        <w:rPr>
          <w:color w:val="auto"/>
          <w:szCs w:val="21"/>
          <w:highlight w:val="none"/>
        </w:rPr>
        <w:t>、对同类问题表述不一致、有明显</w:t>
      </w:r>
      <w:r>
        <w:rPr>
          <w:rFonts w:hint="eastAsia"/>
          <w:color w:val="auto"/>
          <w:szCs w:val="21"/>
          <w:highlight w:val="none"/>
        </w:rPr>
        <w:t>文字</w:t>
      </w:r>
      <w:r>
        <w:rPr>
          <w:color w:val="auto"/>
          <w:szCs w:val="21"/>
          <w:highlight w:val="none"/>
        </w:rPr>
        <w:t>和计算错误</w:t>
      </w:r>
      <w:r>
        <w:rPr>
          <w:rFonts w:hint="eastAsia"/>
          <w:color w:val="auto"/>
          <w:szCs w:val="21"/>
          <w:highlight w:val="none"/>
        </w:rPr>
        <w:t>的，</w:t>
      </w:r>
      <w:r>
        <w:rPr>
          <w:color w:val="auto"/>
          <w:szCs w:val="21"/>
          <w:highlight w:val="none"/>
        </w:rPr>
        <w:t>应当</w:t>
      </w:r>
      <w:r>
        <w:rPr>
          <w:rFonts w:hint="eastAsia"/>
          <w:color w:val="auto"/>
          <w:szCs w:val="21"/>
          <w:highlight w:val="none"/>
        </w:rPr>
        <w:t>要求</w:t>
      </w:r>
      <w:r>
        <w:rPr>
          <w:color w:val="auto"/>
          <w:szCs w:val="21"/>
          <w:highlight w:val="none"/>
        </w:rPr>
        <w:t>投标人作必要的澄清、说明</w:t>
      </w:r>
      <w:r>
        <w:rPr>
          <w:rFonts w:hint="eastAsia"/>
          <w:color w:val="auto"/>
          <w:szCs w:val="21"/>
          <w:highlight w:val="none"/>
        </w:rPr>
        <w:t>后再判定投标人是否通过有效性审查</w:t>
      </w:r>
      <w:r>
        <w:rPr>
          <w:color w:val="auto"/>
          <w:szCs w:val="21"/>
          <w:highlight w:val="none"/>
        </w:rPr>
        <w:t>，不得直接否决投标</w:t>
      </w:r>
      <w:r>
        <w:rPr>
          <w:rFonts w:hint="eastAsia"/>
          <w:color w:val="auto"/>
          <w:szCs w:val="21"/>
          <w:highlight w:val="none"/>
        </w:rPr>
        <w:t>，若出现评标委员会否决投标的，应在评标报告中载明否决投标的具体情形、原因。</w:t>
      </w:r>
    </w:p>
    <w:p w14:paraId="6C6AFA9F">
      <w:pPr>
        <w:rPr>
          <w:color w:val="auto"/>
          <w:szCs w:val="21"/>
          <w:highlight w:val="none"/>
        </w:rPr>
      </w:pPr>
      <w:r>
        <w:rPr>
          <w:rFonts w:hint="eastAsia"/>
          <w:color w:val="auto"/>
          <w:szCs w:val="21"/>
          <w:highlight w:val="none"/>
        </w:rPr>
        <w:t xml:space="preserve">    3</w:t>
      </w:r>
      <w:r>
        <w:rPr>
          <w:color w:val="auto"/>
          <w:szCs w:val="21"/>
          <w:highlight w:val="none"/>
        </w:rPr>
        <w:t>.</w:t>
      </w:r>
      <w:r>
        <w:rPr>
          <w:rFonts w:hint="eastAsia"/>
          <w:color w:val="auto"/>
          <w:szCs w:val="21"/>
          <w:highlight w:val="none"/>
        </w:rPr>
        <w:t>凡出现以上任何一项情形，结论均为无效，否则就为有效。</w:t>
      </w:r>
    </w:p>
    <w:p w14:paraId="513BDF7D">
      <w:pPr>
        <w:ind w:firstLine="420" w:firstLineChars="200"/>
        <w:rPr>
          <w:color w:val="auto"/>
          <w:szCs w:val="21"/>
          <w:highlight w:val="none"/>
        </w:rPr>
      </w:pPr>
      <w:r>
        <w:rPr>
          <w:rFonts w:hint="eastAsia"/>
          <w:color w:val="auto"/>
          <w:szCs w:val="21"/>
          <w:highlight w:val="none"/>
        </w:rPr>
        <w:t>4</w:t>
      </w:r>
      <w:r>
        <w:rPr>
          <w:color w:val="auto"/>
          <w:szCs w:val="21"/>
          <w:highlight w:val="none"/>
        </w:rPr>
        <w:t>.</w:t>
      </w:r>
      <w:r>
        <w:rPr>
          <w:rFonts w:hint="eastAsia"/>
          <w:color w:val="auto"/>
          <w:szCs w:val="21"/>
          <w:highlight w:val="none"/>
        </w:rPr>
        <w:t>如对本表中某种情形的评审意见不一致时，以评标委员会过半数成员的意见作为评标委员会对该情形的认定结论。</w:t>
      </w:r>
    </w:p>
    <w:p w14:paraId="52D00888">
      <w:pPr>
        <w:ind w:firstLine="420" w:firstLineChars="200"/>
        <w:rPr>
          <w:color w:val="auto"/>
          <w:szCs w:val="21"/>
          <w:highlight w:val="none"/>
        </w:rPr>
      </w:pPr>
      <w:r>
        <w:rPr>
          <w:rFonts w:hint="eastAsia"/>
          <w:color w:val="auto"/>
          <w:szCs w:val="21"/>
          <w:highlight w:val="none"/>
        </w:rPr>
        <w:t>评委签名：</w:t>
      </w:r>
    </w:p>
    <w:p w14:paraId="1CD73BCE">
      <w:pPr>
        <w:rPr>
          <w:b/>
          <w:color w:val="auto"/>
          <w:sz w:val="36"/>
          <w:szCs w:val="36"/>
          <w:highlight w:val="none"/>
        </w:rPr>
      </w:pPr>
      <w:r>
        <w:rPr>
          <w:color w:val="auto"/>
          <w:highlight w:val="none"/>
        </w:rPr>
        <w:br w:type="page"/>
      </w:r>
      <w:r>
        <w:rPr>
          <w:rFonts w:hint="eastAsia"/>
          <w:color w:val="auto"/>
          <w:szCs w:val="21"/>
          <w:highlight w:val="none"/>
        </w:rPr>
        <w:t xml:space="preserve">附表三                                                     </w:t>
      </w:r>
      <w:r>
        <w:rPr>
          <w:rFonts w:hint="eastAsia"/>
          <w:b/>
          <w:color w:val="auto"/>
          <w:sz w:val="36"/>
          <w:szCs w:val="36"/>
          <w:highlight w:val="none"/>
        </w:rPr>
        <w:t>经济标有效性审查表</w:t>
      </w:r>
    </w:p>
    <w:p w14:paraId="08D64026">
      <w:pPr>
        <w:rPr>
          <w:color w:val="auto"/>
          <w:szCs w:val="21"/>
          <w:highlight w:val="none"/>
        </w:rPr>
      </w:pPr>
      <w:r>
        <w:rPr>
          <w:rFonts w:hint="eastAsia"/>
          <w:color w:val="auto"/>
          <w:szCs w:val="21"/>
          <w:highlight w:val="none"/>
        </w:rPr>
        <w:t>工程名称：</w:t>
      </w:r>
    </w:p>
    <w:tbl>
      <w:tblPr>
        <w:tblStyle w:val="27"/>
        <w:tblW w:w="1439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9539"/>
        <w:gridCol w:w="1397"/>
        <w:gridCol w:w="1397"/>
        <w:gridCol w:w="1397"/>
      </w:tblGrid>
      <w:tr w14:paraId="26BC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68" w:type="dxa"/>
            <w:tcBorders>
              <w:top w:val="single" w:color="auto" w:sz="4" w:space="0"/>
              <w:left w:val="single" w:color="auto" w:sz="4" w:space="0"/>
              <w:bottom w:val="single" w:color="auto" w:sz="4" w:space="0"/>
              <w:right w:val="single" w:color="auto" w:sz="4" w:space="0"/>
            </w:tcBorders>
            <w:vAlign w:val="center"/>
          </w:tcPr>
          <w:p w14:paraId="01C42ED3">
            <w:pPr>
              <w:rPr>
                <w:color w:val="auto"/>
                <w:szCs w:val="21"/>
                <w:highlight w:val="none"/>
              </w:rPr>
            </w:pPr>
            <w:r>
              <w:rPr>
                <w:rFonts w:hint="eastAsia"/>
                <w:color w:val="auto"/>
                <w:szCs w:val="21"/>
                <w:highlight w:val="none"/>
              </w:rPr>
              <w:t>序号</w:t>
            </w:r>
          </w:p>
        </w:tc>
        <w:tc>
          <w:tcPr>
            <w:tcW w:w="9539" w:type="dxa"/>
            <w:tcBorders>
              <w:top w:val="single" w:color="auto" w:sz="4" w:space="0"/>
              <w:left w:val="single" w:color="auto" w:sz="4" w:space="0"/>
              <w:bottom w:val="single" w:color="auto" w:sz="4" w:space="0"/>
              <w:right w:val="single" w:color="auto" w:sz="4" w:space="0"/>
              <w:tl2br w:val="single" w:color="auto" w:sz="4" w:space="0"/>
            </w:tcBorders>
          </w:tcPr>
          <w:p w14:paraId="37F44171">
            <w:pPr>
              <w:rPr>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rPr>
              <w:t xml:space="preserve">  </w:t>
            </w:r>
            <w:r>
              <w:rPr>
                <w:rFonts w:hint="eastAsia"/>
                <w:color w:val="auto"/>
                <w:szCs w:val="21"/>
                <w:highlight w:val="none"/>
              </w:rPr>
              <w:t xml:space="preserve">                                                      投标人</w:t>
            </w:r>
          </w:p>
          <w:p w14:paraId="01F8EC74">
            <w:pPr>
              <w:rPr>
                <w:color w:val="auto"/>
                <w:szCs w:val="21"/>
                <w:highlight w:val="none"/>
              </w:rPr>
            </w:pPr>
            <w:r>
              <w:rPr>
                <w:rFonts w:hint="eastAsia"/>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14:paraId="5DCC6ED8">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F0077BD">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620FD26">
            <w:pPr>
              <w:rPr>
                <w:color w:val="auto"/>
                <w:szCs w:val="21"/>
                <w:highlight w:val="none"/>
              </w:rPr>
            </w:pPr>
          </w:p>
        </w:tc>
      </w:tr>
      <w:tr w14:paraId="13F0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14:paraId="4B7A1180">
            <w:pPr>
              <w:jc w:val="center"/>
              <w:rPr>
                <w:color w:val="auto"/>
                <w:szCs w:val="21"/>
                <w:highlight w:val="none"/>
              </w:rPr>
            </w:pPr>
            <w:r>
              <w:rPr>
                <w:rFonts w:hint="eastAsia"/>
                <w:color w:val="auto"/>
                <w:szCs w:val="21"/>
                <w:highlight w:val="none"/>
              </w:rPr>
              <w:t>1</w:t>
            </w:r>
          </w:p>
        </w:tc>
        <w:tc>
          <w:tcPr>
            <w:tcW w:w="9539" w:type="dxa"/>
            <w:tcBorders>
              <w:top w:val="single" w:color="auto" w:sz="4" w:space="0"/>
              <w:left w:val="single" w:color="auto" w:sz="4" w:space="0"/>
              <w:bottom w:val="single" w:color="auto" w:sz="4" w:space="0"/>
              <w:right w:val="single" w:color="auto" w:sz="4" w:space="0"/>
            </w:tcBorders>
            <w:vAlign w:val="center"/>
          </w:tcPr>
          <w:p w14:paraId="75D62C0C">
            <w:pPr>
              <w:rPr>
                <w:rFonts w:hint="eastAsia" w:eastAsia="宋体"/>
                <w:color w:val="auto"/>
                <w:szCs w:val="21"/>
                <w:highlight w:val="none"/>
                <w:lang w:eastAsia="zh-CN"/>
              </w:rPr>
            </w:pPr>
            <w:r>
              <w:rPr>
                <w:rFonts w:hint="eastAsia"/>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14:paraId="1CBFA6CB">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26B7E2D">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468EB90">
            <w:pPr>
              <w:rPr>
                <w:color w:val="auto"/>
                <w:szCs w:val="21"/>
                <w:highlight w:val="none"/>
              </w:rPr>
            </w:pPr>
          </w:p>
        </w:tc>
      </w:tr>
      <w:tr w14:paraId="7D2B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14:paraId="7C6D09D9">
            <w:pPr>
              <w:jc w:val="center"/>
              <w:rPr>
                <w:color w:val="auto"/>
                <w:szCs w:val="21"/>
                <w:highlight w:val="none"/>
              </w:rPr>
            </w:pPr>
            <w:r>
              <w:rPr>
                <w:rFonts w:hint="eastAsia"/>
                <w:color w:val="auto"/>
                <w:szCs w:val="21"/>
                <w:highlight w:val="none"/>
              </w:rPr>
              <w:t>2</w:t>
            </w:r>
          </w:p>
        </w:tc>
        <w:tc>
          <w:tcPr>
            <w:tcW w:w="9539" w:type="dxa"/>
            <w:tcBorders>
              <w:top w:val="single" w:color="auto" w:sz="4" w:space="0"/>
              <w:left w:val="single" w:color="auto" w:sz="4" w:space="0"/>
              <w:bottom w:val="single" w:color="auto" w:sz="4" w:space="0"/>
              <w:right w:val="single" w:color="auto" w:sz="4" w:space="0"/>
            </w:tcBorders>
            <w:vAlign w:val="center"/>
          </w:tcPr>
          <w:p w14:paraId="501FF5F5">
            <w:pPr>
              <w:rPr>
                <w:rFonts w:hint="eastAsia" w:eastAsia="宋体"/>
                <w:color w:val="auto"/>
                <w:szCs w:val="21"/>
                <w:highlight w:val="none"/>
                <w:lang w:eastAsia="zh-CN"/>
              </w:rPr>
            </w:pPr>
            <w:r>
              <w:rPr>
                <w:rFonts w:hint="eastAsia"/>
                <w:color w:val="auto"/>
                <w:szCs w:val="21"/>
                <w:highlight w:val="none"/>
              </w:rPr>
              <w:t>投标报价高于最高投标限价的</w:t>
            </w:r>
            <w:r>
              <w:rPr>
                <w:rFonts w:hint="eastAsia" w:cs="宋体"/>
                <w:color w:val="auto"/>
                <w:szCs w:val="21"/>
                <w:highlight w:val="none"/>
                <w:u w:val="single"/>
              </w:rPr>
              <w:t>（以最高投标限价公布函公布的限价为准）</w:t>
            </w:r>
          </w:p>
        </w:tc>
        <w:tc>
          <w:tcPr>
            <w:tcW w:w="1397" w:type="dxa"/>
            <w:tcBorders>
              <w:top w:val="single" w:color="auto" w:sz="4" w:space="0"/>
              <w:left w:val="single" w:color="auto" w:sz="4" w:space="0"/>
              <w:bottom w:val="single" w:color="auto" w:sz="4" w:space="0"/>
              <w:right w:val="single" w:color="auto" w:sz="4" w:space="0"/>
            </w:tcBorders>
          </w:tcPr>
          <w:p w14:paraId="6D42AAAD">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8AAA62B">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3C69B85">
            <w:pPr>
              <w:rPr>
                <w:color w:val="auto"/>
                <w:szCs w:val="21"/>
                <w:highlight w:val="none"/>
              </w:rPr>
            </w:pPr>
          </w:p>
        </w:tc>
      </w:tr>
      <w:tr w14:paraId="30694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14:paraId="79C38866">
            <w:pPr>
              <w:jc w:val="center"/>
              <w:rPr>
                <w:rFonts w:hint="eastAsia" w:eastAsia="宋体"/>
                <w:color w:val="auto"/>
                <w:szCs w:val="21"/>
                <w:highlight w:val="none"/>
                <w:lang w:eastAsia="zh-CN"/>
              </w:rPr>
            </w:pPr>
            <w:r>
              <w:rPr>
                <w:rFonts w:hint="eastAsia"/>
                <w:color w:val="auto"/>
                <w:szCs w:val="21"/>
                <w:highlight w:val="none"/>
                <w:lang w:val="en-US" w:eastAsia="zh-CN"/>
              </w:rPr>
              <w:t>3</w:t>
            </w:r>
          </w:p>
        </w:tc>
        <w:tc>
          <w:tcPr>
            <w:tcW w:w="9539" w:type="dxa"/>
            <w:tcBorders>
              <w:top w:val="single" w:color="auto" w:sz="4" w:space="0"/>
              <w:left w:val="single" w:color="auto" w:sz="4" w:space="0"/>
              <w:bottom w:val="single" w:color="auto" w:sz="4" w:space="0"/>
              <w:right w:val="single" w:color="auto" w:sz="4" w:space="0"/>
            </w:tcBorders>
            <w:vAlign w:val="center"/>
          </w:tcPr>
          <w:p w14:paraId="793A28B8">
            <w:pPr>
              <w:rPr>
                <w:rFonts w:hint="eastAsia" w:eastAsia="宋体"/>
                <w:color w:val="auto"/>
                <w:szCs w:val="21"/>
                <w:highlight w:val="none"/>
                <w:lang w:eastAsia="zh-CN"/>
              </w:rPr>
            </w:pPr>
            <w:r>
              <w:rPr>
                <w:rFonts w:hint="eastAsia" w:cs="宋体"/>
                <w:color w:val="auto"/>
                <w:szCs w:val="21"/>
                <w:highlight w:val="none"/>
              </w:rPr>
              <w:t>投标文件未按规定的格式填写</w:t>
            </w:r>
            <w:r>
              <w:rPr>
                <w:rFonts w:hint="eastAsia" w:cs="宋体"/>
                <w:color w:val="auto"/>
                <w:szCs w:val="21"/>
                <w:highlight w:val="none"/>
                <w:u w:val="single"/>
              </w:rPr>
              <w:t>（指招标文件第四章提供格式的《广州建设工程施工招标投标书（经济标）》《对投标文件编制的承诺》等）</w:t>
            </w:r>
            <w:r>
              <w:rPr>
                <w:rFonts w:hint="eastAsia" w:cs="宋体"/>
                <w:color w:val="auto"/>
                <w:szCs w:val="21"/>
                <w:highlight w:val="none"/>
              </w:rPr>
              <w:t>，或主要内容不全，或关键字迹模糊、无法辨认的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14:paraId="0322CCC2">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3B9298C">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C6BCBC8">
            <w:pPr>
              <w:rPr>
                <w:color w:val="auto"/>
                <w:szCs w:val="21"/>
                <w:highlight w:val="none"/>
              </w:rPr>
            </w:pPr>
          </w:p>
        </w:tc>
      </w:tr>
      <w:tr w14:paraId="48DC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14:paraId="229ACD27">
            <w:pPr>
              <w:jc w:val="center"/>
              <w:rPr>
                <w:rFonts w:hint="eastAsia" w:eastAsia="宋体"/>
                <w:color w:val="auto"/>
                <w:szCs w:val="21"/>
                <w:highlight w:val="none"/>
                <w:lang w:eastAsia="zh-CN"/>
              </w:rPr>
            </w:pPr>
            <w:r>
              <w:rPr>
                <w:rFonts w:hint="eastAsia"/>
                <w:color w:val="auto"/>
                <w:szCs w:val="21"/>
                <w:highlight w:val="none"/>
                <w:lang w:val="en-US" w:eastAsia="zh-CN"/>
              </w:rPr>
              <w:t>4</w:t>
            </w:r>
          </w:p>
        </w:tc>
        <w:tc>
          <w:tcPr>
            <w:tcW w:w="9539" w:type="dxa"/>
            <w:tcBorders>
              <w:top w:val="single" w:color="auto" w:sz="4" w:space="0"/>
              <w:left w:val="single" w:color="auto" w:sz="4" w:space="0"/>
              <w:bottom w:val="single" w:color="auto" w:sz="4" w:space="0"/>
              <w:right w:val="single" w:color="auto" w:sz="4" w:space="0"/>
            </w:tcBorders>
            <w:vAlign w:val="center"/>
          </w:tcPr>
          <w:p w14:paraId="3D38A548">
            <w:pPr>
              <w:rPr>
                <w:rFonts w:hint="eastAsia" w:eastAsia="宋体"/>
                <w:color w:val="auto"/>
                <w:szCs w:val="21"/>
                <w:highlight w:val="none"/>
                <w:lang w:eastAsia="zh-CN"/>
              </w:rPr>
            </w:pPr>
            <w:r>
              <w:rPr>
                <w:rFonts w:hint="eastAsia"/>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14:paraId="0259A462">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ECF7B7D">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3796F19">
            <w:pPr>
              <w:rPr>
                <w:color w:val="auto"/>
                <w:szCs w:val="21"/>
                <w:highlight w:val="none"/>
              </w:rPr>
            </w:pPr>
          </w:p>
        </w:tc>
      </w:tr>
      <w:tr w14:paraId="79E9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14:paraId="7DD28938">
            <w:pPr>
              <w:jc w:val="center"/>
              <w:rPr>
                <w:rFonts w:hint="eastAsia" w:eastAsia="宋体"/>
                <w:color w:val="auto"/>
                <w:szCs w:val="21"/>
                <w:highlight w:val="none"/>
                <w:lang w:eastAsia="zh-CN"/>
              </w:rPr>
            </w:pPr>
            <w:r>
              <w:rPr>
                <w:rFonts w:hint="eastAsia"/>
                <w:color w:val="auto"/>
                <w:szCs w:val="21"/>
                <w:highlight w:val="none"/>
                <w:lang w:val="en-US" w:eastAsia="zh-CN"/>
              </w:rPr>
              <w:t>5</w:t>
            </w:r>
          </w:p>
        </w:tc>
        <w:tc>
          <w:tcPr>
            <w:tcW w:w="9539" w:type="dxa"/>
            <w:tcBorders>
              <w:top w:val="single" w:color="auto" w:sz="4" w:space="0"/>
              <w:left w:val="single" w:color="auto" w:sz="4" w:space="0"/>
              <w:bottom w:val="single" w:color="auto" w:sz="4" w:space="0"/>
              <w:right w:val="single" w:color="auto" w:sz="4" w:space="0"/>
            </w:tcBorders>
            <w:vAlign w:val="center"/>
          </w:tcPr>
          <w:p w14:paraId="4B10D07B">
            <w:pPr>
              <w:rPr>
                <w:rFonts w:hint="eastAsia" w:eastAsia="宋体"/>
                <w:color w:val="auto"/>
                <w:szCs w:val="21"/>
                <w:highlight w:val="none"/>
                <w:lang w:eastAsia="zh-CN"/>
              </w:rPr>
            </w:pPr>
            <w:r>
              <w:rPr>
                <w:rFonts w:hint="eastAsia"/>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14:paraId="778C5649">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60548D1">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A6FA367">
            <w:pPr>
              <w:rPr>
                <w:color w:val="auto"/>
                <w:szCs w:val="21"/>
                <w:highlight w:val="none"/>
              </w:rPr>
            </w:pPr>
          </w:p>
        </w:tc>
      </w:tr>
      <w:tr w14:paraId="7E13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14:paraId="4113FAD6">
            <w:pPr>
              <w:jc w:val="center"/>
              <w:rPr>
                <w:rFonts w:hint="eastAsia" w:eastAsia="宋体"/>
                <w:color w:val="auto"/>
                <w:szCs w:val="21"/>
                <w:highlight w:val="none"/>
                <w:lang w:eastAsia="zh-CN"/>
              </w:rPr>
            </w:pPr>
            <w:r>
              <w:rPr>
                <w:rFonts w:hint="eastAsia"/>
                <w:color w:val="auto"/>
                <w:szCs w:val="21"/>
                <w:highlight w:val="none"/>
                <w:lang w:val="en-US" w:eastAsia="zh-CN"/>
              </w:rPr>
              <w:t>6</w:t>
            </w:r>
          </w:p>
        </w:tc>
        <w:tc>
          <w:tcPr>
            <w:tcW w:w="9539" w:type="dxa"/>
            <w:tcBorders>
              <w:top w:val="single" w:color="auto" w:sz="4" w:space="0"/>
              <w:left w:val="single" w:color="auto" w:sz="4" w:space="0"/>
              <w:bottom w:val="single" w:color="auto" w:sz="4" w:space="0"/>
              <w:right w:val="single" w:color="auto" w:sz="4" w:space="0"/>
            </w:tcBorders>
            <w:vAlign w:val="center"/>
          </w:tcPr>
          <w:p w14:paraId="13479658">
            <w:pPr>
              <w:rPr>
                <w:rFonts w:hint="eastAsia" w:eastAsia="宋体"/>
                <w:color w:val="auto"/>
                <w:szCs w:val="21"/>
                <w:highlight w:val="none"/>
                <w:lang w:eastAsia="zh-CN"/>
              </w:rPr>
            </w:pPr>
            <w:r>
              <w:rPr>
                <w:rFonts w:hint="eastAsia"/>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14:paraId="75D5B16D">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8D00356">
            <w:pPr>
              <w:rPr>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D47F072">
            <w:pPr>
              <w:rPr>
                <w:color w:val="auto"/>
                <w:szCs w:val="21"/>
                <w:highlight w:val="none"/>
              </w:rPr>
            </w:pPr>
          </w:p>
        </w:tc>
      </w:tr>
    </w:tbl>
    <w:p w14:paraId="3900F4DF">
      <w:pPr>
        <w:ind w:firstLine="458"/>
        <w:rPr>
          <w:color w:val="auto"/>
          <w:szCs w:val="21"/>
          <w:highlight w:val="none"/>
        </w:rPr>
      </w:pPr>
      <w:r>
        <w:rPr>
          <w:rFonts w:hint="eastAsia"/>
          <w:color w:val="auto"/>
          <w:szCs w:val="21"/>
          <w:highlight w:val="none"/>
        </w:rPr>
        <w:t>注：</w:t>
      </w:r>
      <w:r>
        <w:rPr>
          <w:color w:val="auto"/>
          <w:szCs w:val="21"/>
          <w:highlight w:val="none"/>
        </w:rPr>
        <w:t>1.</w:t>
      </w:r>
      <w:r>
        <w:rPr>
          <w:rFonts w:hint="eastAsia"/>
          <w:color w:val="auto"/>
          <w:szCs w:val="21"/>
          <w:highlight w:val="none"/>
        </w:rPr>
        <w:t>本表使用GZZB2018-3招标文件范本，与范本内容不同之处均以下划线标明。</w:t>
      </w:r>
    </w:p>
    <w:p w14:paraId="097DCB51">
      <w:pPr>
        <w:ind w:firstLine="458"/>
        <w:rPr>
          <w:color w:val="auto"/>
          <w:szCs w:val="21"/>
          <w:highlight w:val="none"/>
        </w:rPr>
      </w:pPr>
      <w:r>
        <w:rPr>
          <w:color w:val="auto"/>
          <w:szCs w:val="21"/>
          <w:highlight w:val="none"/>
        </w:rPr>
        <w:t>2.</w:t>
      </w:r>
      <w:r>
        <w:rPr>
          <w:rFonts w:hint="eastAsia"/>
          <w:color w:val="auto"/>
          <w:szCs w:val="21"/>
          <w:highlight w:val="none"/>
        </w:rPr>
        <w:t>凡出现以上任何一项情形，结论均为无效，否则就为有效。</w:t>
      </w:r>
    </w:p>
    <w:p w14:paraId="2421D532">
      <w:pPr>
        <w:ind w:firstLine="458"/>
        <w:rPr>
          <w:rFonts w:hint="eastAsia"/>
          <w:color w:val="auto"/>
          <w:szCs w:val="21"/>
          <w:highlight w:val="none"/>
        </w:rPr>
      </w:pPr>
      <w:r>
        <w:rPr>
          <w:rFonts w:hint="eastAsia"/>
          <w:color w:val="auto"/>
          <w:szCs w:val="21"/>
          <w:highlight w:val="none"/>
        </w:rPr>
        <w:t>3</w:t>
      </w:r>
      <w:r>
        <w:rPr>
          <w:color w:val="auto"/>
          <w:szCs w:val="21"/>
          <w:highlight w:val="none"/>
        </w:rPr>
        <w:t>.</w:t>
      </w:r>
      <w:r>
        <w:rPr>
          <w:rFonts w:hint="eastAsia"/>
          <w:color w:val="auto"/>
          <w:szCs w:val="21"/>
          <w:highlight w:val="none"/>
        </w:rPr>
        <w:t>如对本表中某种情形的评审意见不一致时，以评标委员会过半数成员的意见作为评标委员会对该情形的认定结论。</w:t>
      </w:r>
    </w:p>
    <w:p w14:paraId="27EA3987">
      <w:pPr>
        <w:pStyle w:val="14"/>
        <w:ind w:firstLine="420" w:firstLineChars="200"/>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D013442">
      <w:pPr>
        <w:pStyle w:val="25"/>
        <w:ind w:firstLine="458"/>
        <w:rPr>
          <w:rFonts w:hint="eastAsia" w:ascii="宋体" w:hAnsi="宋体"/>
          <w:color w:val="auto"/>
          <w:szCs w:val="21"/>
          <w:highlight w:val="none"/>
        </w:rPr>
      </w:pPr>
      <w:r>
        <w:rPr>
          <w:rFonts w:hint="eastAsia" w:ascii="宋体" w:hAnsi="宋体"/>
          <w:color w:val="auto"/>
          <w:szCs w:val="21"/>
          <w:highlight w:val="none"/>
        </w:rPr>
        <w:t>评委签名：</w:t>
      </w:r>
    </w:p>
    <w:p w14:paraId="4C56805C">
      <w:pPr>
        <w:rPr>
          <w:rFonts w:hint="eastAsia" w:ascii="宋体" w:hAnsi="宋体"/>
          <w:color w:val="auto"/>
          <w:szCs w:val="21"/>
          <w:highlight w:val="none"/>
        </w:rPr>
      </w:pPr>
      <w:r>
        <w:rPr>
          <w:rFonts w:hint="eastAsia" w:ascii="宋体" w:hAnsi="宋体"/>
          <w:color w:val="auto"/>
          <w:szCs w:val="21"/>
          <w:highlight w:val="none"/>
        </w:rPr>
        <w:br w:type="page"/>
      </w:r>
    </w:p>
    <w:p w14:paraId="7136DEDA">
      <w:pPr>
        <w:spacing w:line="360" w:lineRule="auto"/>
        <w:jc w:val="center"/>
        <w:rPr>
          <w:rFonts w:hint="eastAsia" w:ascii="宋体" w:hAnsi="宋体" w:eastAsia="宋体" w:cs="宋体"/>
          <w:b/>
          <w:bCs/>
          <w:color w:val="auto"/>
          <w:sz w:val="28"/>
          <w:szCs w:val="28"/>
          <w:highlight w:val="none"/>
          <w:u w:val="single"/>
          <w:lang w:val="en-US" w:eastAsia="zh-CN"/>
        </w:rPr>
      </w:pPr>
      <w:r>
        <w:rPr>
          <w:rFonts w:hint="eastAsia" w:ascii="宋体" w:hAnsi="宋体" w:eastAsia="宋体" w:cs="宋体"/>
          <w:b/>
          <w:bCs/>
          <w:color w:val="auto"/>
          <w:sz w:val="28"/>
          <w:szCs w:val="28"/>
          <w:highlight w:val="none"/>
          <w:u w:val="single"/>
        </w:rPr>
        <w:t>综合技术服务方案评</w:t>
      </w:r>
      <w:r>
        <w:rPr>
          <w:rFonts w:hint="eastAsia" w:ascii="宋体" w:hAnsi="宋体" w:eastAsia="宋体" w:cs="宋体"/>
          <w:b/>
          <w:bCs/>
          <w:color w:val="auto"/>
          <w:sz w:val="28"/>
          <w:szCs w:val="28"/>
          <w:highlight w:val="none"/>
          <w:u w:val="single"/>
          <w:lang w:eastAsia="zh-CN"/>
        </w:rPr>
        <w:t>审</w:t>
      </w:r>
      <w:r>
        <w:rPr>
          <w:rFonts w:hint="eastAsia" w:ascii="宋体" w:hAnsi="宋体" w:eastAsia="宋体" w:cs="宋体"/>
          <w:b/>
          <w:bCs/>
          <w:color w:val="auto"/>
          <w:sz w:val="28"/>
          <w:szCs w:val="28"/>
          <w:highlight w:val="none"/>
          <w:u w:val="single"/>
          <w:lang w:val="en-US" w:eastAsia="zh-CN"/>
        </w:rPr>
        <w:t>记录表</w:t>
      </w:r>
    </w:p>
    <w:p w14:paraId="15D74B5E">
      <w:pPr>
        <w:keepNext w:val="0"/>
        <w:keepLines w:val="0"/>
        <w:widowControl/>
        <w:suppressLineNumbers w:val="0"/>
        <w:jc w:val="left"/>
        <w:rPr>
          <w:rFonts w:hint="eastAsia" w:ascii="微软雅黑" w:hAnsi="微软雅黑" w:eastAsia="微软雅黑" w:cs="微软雅黑"/>
          <w:color w:val="auto"/>
          <w:kern w:val="0"/>
          <w:sz w:val="21"/>
          <w:szCs w:val="21"/>
          <w:highlight w:val="none"/>
          <w:lang w:val="en-US" w:eastAsia="zh-CN" w:bidi="ar"/>
        </w:rPr>
      </w:pPr>
      <w:r>
        <w:rPr>
          <w:rFonts w:hint="default" w:ascii="Times New Roman" w:hAnsi="Times New Roman" w:eastAsia="宋体" w:cs="Times New Roman"/>
          <w:color w:val="auto"/>
          <w:highlight w:val="none"/>
          <w:lang w:val="en-US" w:eastAsia="zh-CN"/>
        </w:rPr>
        <w:t>项目名称</w:t>
      </w:r>
      <w:r>
        <w:rPr>
          <w:rFonts w:hint="eastAsia" w:ascii="Times New Roman" w:hAnsi="Times New Roman" w:eastAsia="宋体" w:cs="Times New Roman"/>
          <w:color w:val="auto"/>
          <w:highlight w:val="none"/>
          <w:lang w:val="en-US" w:eastAsia="zh-CN"/>
        </w:rPr>
        <w:t xml:space="preserve">：                       </w:t>
      </w:r>
      <w:r>
        <w:rPr>
          <w:rFonts w:hint="eastAsia" w:ascii="微软雅黑" w:hAnsi="微软雅黑" w:eastAsia="微软雅黑" w:cs="微软雅黑"/>
          <w:color w:val="auto"/>
          <w:kern w:val="0"/>
          <w:sz w:val="21"/>
          <w:szCs w:val="21"/>
          <w:highlight w:val="none"/>
          <w:lang w:val="en-US" w:eastAsia="zh-CN" w:bidi="ar"/>
        </w:rPr>
        <w:t xml:space="preserve">              </w:t>
      </w:r>
    </w:p>
    <w:p w14:paraId="630C8665">
      <w:pPr>
        <w:keepNext w:val="0"/>
        <w:keepLines w:val="0"/>
        <w:widowControl/>
        <w:suppressLineNumbers w:val="0"/>
        <w:jc w:val="left"/>
        <w:rPr>
          <w:rFonts w:hint="default"/>
          <w:color w:val="auto"/>
          <w:highlight w:val="none"/>
          <w:lang w:val="en-US" w:eastAsia="zh-CN"/>
        </w:rPr>
      </w:pPr>
      <w:r>
        <w:rPr>
          <w:rFonts w:hint="default"/>
          <w:color w:val="auto"/>
          <w:highlight w:val="none"/>
          <w:lang w:val="en-US" w:eastAsia="zh-CN"/>
        </w:rPr>
        <w:t>投标人名称：</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2589"/>
        <w:gridCol w:w="4489"/>
        <w:gridCol w:w="2144"/>
        <w:gridCol w:w="3133"/>
      </w:tblGrid>
      <w:tr w14:paraId="69A9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3" w:type="dxa"/>
            <w:noWrap w:val="0"/>
            <w:vAlign w:val="center"/>
          </w:tcPr>
          <w:p w14:paraId="076F9CA9">
            <w:pPr>
              <w:jc w:val="center"/>
              <w:rPr>
                <w:rFonts w:hint="default"/>
                <w:b/>
                <w:bCs/>
                <w:color w:val="auto"/>
                <w:highlight w:val="none"/>
                <w:lang w:val="en-US" w:eastAsia="zh-CN"/>
              </w:rPr>
            </w:pPr>
            <w:r>
              <w:rPr>
                <w:rFonts w:hint="eastAsia"/>
                <w:b/>
                <w:bCs/>
                <w:color w:val="auto"/>
                <w:highlight w:val="none"/>
                <w:lang w:val="en-US" w:eastAsia="zh-CN"/>
              </w:rPr>
              <w:t>序号</w:t>
            </w:r>
          </w:p>
        </w:tc>
        <w:tc>
          <w:tcPr>
            <w:tcW w:w="2589" w:type="dxa"/>
            <w:noWrap w:val="0"/>
            <w:vAlign w:val="center"/>
          </w:tcPr>
          <w:p w14:paraId="0EE10CA0">
            <w:pPr>
              <w:jc w:val="center"/>
              <w:rPr>
                <w:rFonts w:hint="default"/>
                <w:b/>
                <w:bCs/>
                <w:color w:val="auto"/>
                <w:highlight w:val="none"/>
                <w:lang w:val="en-US" w:eastAsia="zh-CN"/>
              </w:rPr>
            </w:pPr>
            <w:r>
              <w:rPr>
                <w:rFonts w:hint="default"/>
                <w:b/>
                <w:bCs/>
                <w:color w:val="auto"/>
                <w:highlight w:val="none"/>
                <w:lang w:val="en-US" w:eastAsia="zh-CN"/>
              </w:rPr>
              <w:t>评标要素</w:t>
            </w:r>
          </w:p>
        </w:tc>
        <w:tc>
          <w:tcPr>
            <w:tcW w:w="4489" w:type="dxa"/>
            <w:noWrap w:val="0"/>
            <w:vAlign w:val="center"/>
          </w:tcPr>
          <w:p w14:paraId="7F9EE053">
            <w:pPr>
              <w:jc w:val="center"/>
              <w:rPr>
                <w:rFonts w:hint="default"/>
                <w:b/>
                <w:bCs/>
                <w:color w:val="auto"/>
                <w:highlight w:val="none"/>
                <w:lang w:val="en-US" w:eastAsia="zh-CN"/>
              </w:rPr>
            </w:pPr>
            <w:r>
              <w:rPr>
                <w:rFonts w:hint="default"/>
                <w:b/>
                <w:bCs/>
                <w:color w:val="auto"/>
                <w:highlight w:val="none"/>
                <w:lang w:val="en-US" w:eastAsia="zh-CN"/>
              </w:rPr>
              <w:t>评审内容</w:t>
            </w:r>
          </w:p>
        </w:tc>
        <w:tc>
          <w:tcPr>
            <w:tcW w:w="2144" w:type="dxa"/>
            <w:noWrap w:val="0"/>
            <w:vAlign w:val="center"/>
          </w:tcPr>
          <w:p w14:paraId="4DF7E6E9">
            <w:pPr>
              <w:jc w:val="center"/>
              <w:rPr>
                <w:rFonts w:hint="default"/>
                <w:b/>
                <w:bCs/>
                <w:color w:val="auto"/>
                <w:highlight w:val="none"/>
                <w:lang w:val="en-US" w:eastAsia="zh-CN"/>
              </w:rPr>
            </w:pPr>
            <w:r>
              <w:rPr>
                <w:rFonts w:hint="eastAsia"/>
                <w:b/>
                <w:bCs/>
                <w:color w:val="auto"/>
                <w:highlight w:val="none"/>
                <w:lang w:val="en-US" w:eastAsia="zh-CN"/>
              </w:rPr>
              <w:t>优点</w:t>
            </w:r>
          </w:p>
        </w:tc>
        <w:tc>
          <w:tcPr>
            <w:tcW w:w="3133" w:type="dxa"/>
            <w:noWrap w:val="0"/>
            <w:vAlign w:val="center"/>
          </w:tcPr>
          <w:p w14:paraId="6C91F430">
            <w:pPr>
              <w:jc w:val="center"/>
              <w:rPr>
                <w:rFonts w:hint="default"/>
                <w:b/>
                <w:bCs/>
                <w:color w:val="auto"/>
                <w:highlight w:val="none"/>
                <w:lang w:val="en-US" w:eastAsia="zh-CN"/>
              </w:rPr>
            </w:pPr>
            <w:r>
              <w:rPr>
                <w:rFonts w:hint="default"/>
                <w:b/>
                <w:bCs/>
                <w:color w:val="auto"/>
                <w:highlight w:val="none"/>
                <w:lang w:val="en-US" w:eastAsia="zh-CN"/>
              </w:rPr>
              <w:t>存在缺陷或签订合同前应注意和澄清事项</w:t>
            </w:r>
          </w:p>
        </w:tc>
      </w:tr>
      <w:tr w14:paraId="2C66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43" w:type="dxa"/>
            <w:noWrap w:val="0"/>
            <w:vAlign w:val="center"/>
          </w:tcPr>
          <w:p w14:paraId="5BCF9921">
            <w:pPr>
              <w:jc w:val="center"/>
              <w:rPr>
                <w:rFonts w:hint="default"/>
                <w:color w:val="auto"/>
                <w:highlight w:val="none"/>
                <w:lang w:val="en-US" w:eastAsia="zh-CN"/>
              </w:rPr>
            </w:pPr>
            <w:r>
              <w:rPr>
                <w:rFonts w:hint="eastAsia"/>
                <w:color w:val="auto"/>
                <w:highlight w:val="none"/>
                <w:lang w:val="en-US" w:eastAsia="zh-CN"/>
              </w:rPr>
              <w:t>1</w:t>
            </w:r>
          </w:p>
        </w:tc>
        <w:tc>
          <w:tcPr>
            <w:tcW w:w="2589" w:type="dxa"/>
            <w:noWrap w:val="0"/>
            <w:vAlign w:val="center"/>
          </w:tcPr>
          <w:p w14:paraId="3B3794B5">
            <w:pPr>
              <w:jc w:val="center"/>
              <w:rPr>
                <w:rFonts w:hint="default"/>
                <w:color w:val="auto"/>
                <w:highlight w:val="none"/>
                <w:lang w:val="en-US" w:eastAsia="zh-CN"/>
              </w:rPr>
            </w:pPr>
            <w:r>
              <w:rPr>
                <w:rFonts w:hint="default"/>
                <w:color w:val="auto"/>
                <w:highlight w:val="none"/>
                <w:lang w:val="en-US" w:eastAsia="zh-CN"/>
              </w:rPr>
              <w:t>施工组织方案</w:t>
            </w:r>
          </w:p>
        </w:tc>
        <w:tc>
          <w:tcPr>
            <w:tcW w:w="4489" w:type="dxa"/>
            <w:noWrap w:val="0"/>
            <w:vAlign w:val="center"/>
          </w:tcPr>
          <w:p w14:paraId="35940E1B">
            <w:pPr>
              <w:jc w:val="center"/>
              <w:rPr>
                <w:rFonts w:hint="default"/>
                <w:color w:val="auto"/>
                <w:highlight w:val="none"/>
                <w:lang w:val="en-US" w:eastAsia="zh-CN"/>
              </w:rPr>
            </w:pPr>
            <w:r>
              <w:rPr>
                <w:rFonts w:hint="default"/>
                <w:color w:val="auto"/>
                <w:highlight w:val="none"/>
                <w:lang w:val="en-US" w:eastAsia="zh-CN"/>
              </w:rPr>
              <w:t>对本项目所在地区建设条件的认识程度及理解内容。</w:t>
            </w:r>
          </w:p>
        </w:tc>
        <w:tc>
          <w:tcPr>
            <w:tcW w:w="2144" w:type="dxa"/>
            <w:noWrap w:val="0"/>
            <w:vAlign w:val="center"/>
          </w:tcPr>
          <w:p w14:paraId="48C68061">
            <w:pPr>
              <w:jc w:val="center"/>
              <w:rPr>
                <w:rFonts w:hint="default"/>
                <w:color w:val="auto"/>
                <w:highlight w:val="none"/>
                <w:lang w:val="en-US" w:eastAsia="zh-CN"/>
              </w:rPr>
            </w:pPr>
          </w:p>
        </w:tc>
        <w:tc>
          <w:tcPr>
            <w:tcW w:w="3133" w:type="dxa"/>
            <w:noWrap w:val="0"/>
            <w:vAlign w:val="center"/>
          </w:tcPr>
          <w:p w14:paraId="0E7DD1AE">
            <w:pPr>
              <w:jc w:val="center"/>
              <w:rPr>
                <w:rFonts w:hint="default"/>
                <w:color w:val="auto"/>
                <w:highlight w:val="none"/>
                <w:lang w:val="en-US" w:eastAsia="zh-CN"/>
              </w:rPr>
            </w:pPr>
          </w:p>
        </w:tc>
      </w:tr>
      <w:tr w14:paraId="358A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43" w:type="dxa"/>
            <w:noWrap w:val="0"/>
            <w:vAlign w:val="center"/>
          </w:tcPr>
          <w:p w14:paraId="3AE88814">
            <w:pPr>
              <w:jc w:val="center"/>
              <w:rPr>
                <w:rFonts w:hint="default"/>
                <w:color w:val="auto"/>
                <w:highlight w:val="none"/>
                <w:lang w:val="en-US" w:eastAsia="zh-CN"/>
              </w:rPr>
            </w:pPr>
            <w:r>
              <w:rPr>
                <w:rFonts w:hint="eastAsia"/>
                <w:color w:val="auto"/>
                <w:highlight w:val="none"/>
                <w:lang w:val="en-US" w:eastAsia="zh-CN"/>
              </w:rPr>
              <w:t>2</w:t>
            </w:r>
          </w:p>
        </w:tc>
        <w:tc>
          <w:tcPr>
            <w:tcW w:w="2589" w:type="dxa"/>
            <w:noWrap w:val="0"/>
            <w:vAlign w:val="center"/>
          </w:tcPr>
          <w:p w14:paraId="4DC0BF29">
            <w:pPr>
              <w:spacing w:line="240" w:lineRule="auto"/>
              <w:jc w:val="center"/>
              <w:rPr>
                <w:rFonts w:hint="default"/>
                <w:color w:val="auto"/>
                <w:highlight w:val="none"/>
                <w:lang w:val="en-US" w:eastAsia="zh-CN"/>
              </w:rPr>
            </w:pPr>
            <w:r>
              <w:rPr>
                <w:rFonts w:hint="default" w:cs="Times New Roman"/>
                <w:color w:val="auto"/>
                <w:sz w:val="21"/>
                <w:highlight w:val="none"/>
              </w:rPr>
              <w:t>进度、质量管理保证措施</w:t>
            </w:r>
          </w:p>
        </w:tc>
        <w:tc>
          <w:tcPr>
            <w:tcW w:w="4489" w:type="dxa"/>
            <w:noWrap w:val="0"/>
            <w:vAlign w:val="center"/>
          </w:tcPr>
          <w:p w14:paraId="364591D7">
            <w:pPr>
              <w:jc w:val="center"/>
              <w:rPr>
                <w:rFonts w:hint="default"/>
                <w:color w:val="auto"/>
                <w:highlight w:val="none"/>
                <w:lang w:val="en-US" w:eastAsia="zh-CN"/>
              </w:rPr>
            </w:pPr>
            <w:r>
              <w:rPr>
                <w:rFonts w:hint="default"/>
                <w:color w:val="auto"/>
                <w:highlight w:val="none"/>
                <w:lang w:val="en-US" w:eastAsia="zh-CN"/>
              </w:rPr>
              <w:t>工作思路</w:t>
            </w:r>
            <w:r>
              <w:rPr>
                <w:rFonts w:hint="eastAsia"/>
                <w:color w:val="auto"/>
                <w:highlight w:val="none"/>
                <w:lang w:val="en-US" w:eastAsia="zh-CN"/>
              </w:rPr>
              <w:t>和</w:t>
            </w:r>
            <w:r>
              <w:rPr>
                <w:rFonts w:hint="default"/>
                <w:color w:val="auto"/>
                <w:highlight w:val="none"/>
                <w:lang w:val="en-US" w:eastAsia="zh-CN"/>
              </w:rPr>
              <w:t>工作方案</w:t>
            </w:r>
            <w:r>
              <w:rPr>
                <w:rFonts w:hint="eastAsia"/>
                <w:color w:val="auto"/>
                <w:highlight w:val="none"/>
                <w:lang w:val="en-US" w:eastAsia="zh-CN"/>
              </w:rPr>
              <w:t>内容</w:t>
            </w:r>
          </w:p>
        </w:tc>
        <w:tc>
          <w:tcPr>
            <w:tcW w:w="2144" w:type="dxa"/>
            <w:noWrap w:val="0"/>
            <w:vAlign w:val="center"/>
          </w:tcPr>
          <w:p w14:paraId="32A34A44">
            <w:pPr>
              <w:jc w:val="center"/>
              <w:rPr>
                <w:rFonts w:hint="default"/>
                <w:color w:val="auto"/>
                <w:highlight w:val="none"/>
                <w:lang w:val="en-US" w:eastAsia="zh-CN"/>
              </w:rPr>
            </w:pPr>
          </w:p>
        </w:tc>
        <w:tc>
          <w:tcPr>
            <w:tcW w:w="3133" w:type="dxa"/>
            <w:noWrap w:val="0"/>
            <w:vAlign w:val="center"/>
          </w:tcPr>
          <w:p w14:paraId="6782AE01">
            <w:pPr>
              <w:jc w:val="center"/>
              <w:rPr>
                <w:rFonts w:hint="default"/>
                <w:color w:val="auto"/>
                <w:highlight w:val="none"/>
                <w:lang w:val="en-US" w:eastAsia="zh-CN"/>
              </w:rPr>
            </w:pPr>
          </w:p>
        </w:tc>
      </w:tr>
      <w:tr w14:paraId="258F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43" w:type="dxa"/>
            <w:noWrap w:val="0"/>
            <w:vAlign w:val="center"/>
          </w:tcPr>
          <w:p w14:paraId="6F9C1044">
            <w:pPr>
              <w:jc w:val="center"/>
              <w:rPr>
                <w:rFonts w:hint="default"/>
                <w:color w:val="auto"/>
                <w:highlight w:val="none"/>
                <w:lang w:val="en-US" w:eastAsia="zh-CN"/>
              </w:rPr>
            </w:pPr>
            <w:r>
              <w:rPr>
                <w:rFonts w:hint="eastAsia"/>
                <w:color w:val="auto"/>
                <w:highlight w:val="none"/>
                <w:lang w:val="en-US" w:eastAsia="zh-CN"/>
              </w:rPr>
              <w:t>3</w:t>
            </w:r>
          </w:p>
        </w:tc>
        <w:tc>
          <w:tcPr>
            <w:tcW w:w="2589" w:type="dxa"/>
            <w:noWrap w:val="0"/>
            <w:vAlign w:val="center"/>
          </w:tcPr>
          <w:p w14:paraId="5B4C7904">
            <w:pPr>
              <w:spacing w:line="240" w:lineRule="auto"/>
              <w:jc w:val="center"/>
              <w:rPr>
                <w:rFonts w:hint="default" w:eastAsia="宋体"/>
                <w:color w:val="auto"/>
                <w:highlight w:val="none"/>
                <w:lang w:val="en-US" w:eastAsia="zh-CN"/>
              </w:rPr>
            </w:pPr>
            <w:r>
              <w:rPr>
                <w:rFonts w:hint="default" w:cs="Times New Roman"/>
                <w:color w:val="auto"/>
                <w:sz w:val="21"/>
                <w:highlight w:val="none"/>
              </w:rPr>
              <w:t>安全文明施工、绿色施工措施</w:t>
            </w:r>
          </w:p>
        </w:tc>
        <w:tc>
          <w:tcPr>
            <w:tcW w:w="4489" w:type="dxa"/>
            <w:noWrap w:val="0"/>
            <w:vAlign w:val="center"/>
          </w:tcPr>
          <w:p w14:paraId="0F3A54F7">
            <w:pPr>
              <w:jc w:val="center"/>
              <w:rPr>
                <w:rFonts w:hint="default"/>
                <w:color w:val="auto"/>
                <w:highlight w:val="none"/>
                <w:lang w:val="en-US" w:eastAsia="zh-CN"/>
              </w:rPr>
            </w:pPr>
            <w:r>
              <w:rPr>
                <w:color w:val="auto"/>
                <w:highlight w:val="none"/>
              </w:rPr>
              <w:t>项目重点</w:t>
            </w:r>
            <w:r>
              <w:rPr>
                <w:rFonts w:hint="eastAsia"/>
                <w:color w:val="auto"/>
                <w:highlight w:val="none"/>
                <w:lang w:eastAsia="zh-CN"/>
              </w:rPr>
              <w:t>、</w:t>
            </w:r>
            <w:r>
              <w:rPr>
                <w:color w:val="auto"/>
                <w:highlight w:val="none"/>
              </w:rPr>
              <w:t>难点分析</w:t>
            </w:r>
            <w:r>
              <w:rPr>
                <w:rFonts w:hint="eastAsia"/>
                <w:color w:val="auto"/>
                <w:highlight w:val="none"/>
                <w:lang w:val="en-US" w:eastAsia="zh-CN"/>
              </w:rPr>
              <w:t>及对应措施内容</w:t>
            </w:r>
          </w:p>
        </w:tc>
        <w:tc>
          <w:tcPr>
            <w:tcW w:w="2144" w:type="dxa"/>
            <w:noWrap w:val="0"/>
            <w:vAlign w:val="center"/>
          </w:tcPr>
          <w:p w14:paraId="0893BB22">
            <w:pPr>
              <w:jc w:val="center"/>
              <w:rPr>
                <w:rFonts w:hint="default"/>
                <w:color w:val="auto"/>
                <w:highlight w:val="none"/>
                <w:lang w:val="en-US" w:eastAsia="zh-CN"/>
              </w:rPr>
            </w:pPr>
          </w:p>
        </w:tc>
        <w:tc>
          <w:tcPr>
            <w:tcW w:w="3133" w:type="dxa"/>
            <w:noWrap w:val="0"/>
            <w:vAlign w:val="center"/>
          </w:tcPr>
          <w:p w14:paraId="2818269E">
            <w:pPr>
              <w:jc w:val="center"/>
              <w:rPr>
                <w:rFonts w:hint="default"/>
                <w:color w:val="auto"/>
                <w:highlight w:val="none"/>
                <w:lang w:val="en-US" w:eastAsia="zh-CN"/>
              </w:rPr>
            </w:pPr>
          </w:p>
        </w:tc>
      </w:tr>
      <w:tr w14:paraId="2107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43" w:type="dxa"/>
            <w:noWrap w:val="0"/>
            <w:vAlign w:val="center"/>
          </w:tcPr>
          <w:p w14:paraId="4AF662C8">
            <w:pPr>
              <w:jc w:val="center"/>
              <w:rPr>
                <w:rFonts w:hint="default"/>
                <w:color w:val="auto"/>
                <w:highlight w:val="none"/>
                <w:lang w:val="en-US" w:eastAsia="zh-CN"/>
              </w:rPr>
            </w:pPr>
            <w:r>
              <w:rPr>
                <w:rFonts w:hint="eastAsia"/>
                <w:color w:val="auto"/>
                <w:highlight w:val="none"/>
                <w:lang w:val="en-US" w:eastAsia="zh-CN"/>
              </w:rPr>
              <w:t>4</w:t>
            </w:r>
          </w:p>
        </w:tc>
        <w:tc>
          <w:tcPr>
            <w:tcW w:w="2589" w:type="dxa"/>
            <w:noWrap w:val="0"/>
            <w:vAlign w:val="center"/>
          </w:tcPr>
          <w:p w14:paraId="3C90F794">
            <w:pPr>
              <w:jc w:val="center"/>
              <w:rPr>
                <w:rFonts w:hint="default" w:eastAsia="宋体"/>
                <w:color w:val="auto"/>
                <w:highlight w:val="none"/>
                <w:lang w:val="en-US" w:eastAsia="zh-CN"/>
              </w:rPr>
            </w:pPr>
            <w:r>
              <w:rPr>
                <w:rFonts w:hint="default" w:eastAsia="宋体"/>
                <w:color w:val="auto"/>
                <w:highlight w:val="none"/>
                <w:lang w:val="en-US" w:eastAsia="zh-CN"/>
              </w:rPr>
              <w:t>资源配备计划</w:t>
            </w:r>
          </w:p>
        </w:tc>
        <w:tc>
          <w:tcPr>
            <w:tcW w:w="4489" w:type="dxa"/>
            <w:noWrap w:val="0"/>
            <w:vAlign w:val="center"/>
          </w:tcPr>
          <w:p w14:paraId="0FB9CE52">
            <w:pPr>
              <w:jc w:val="center"/>
              <w:rPr>
                <w:rFonts w:hint="default"/>
                <w:color w:val="auto"/>
                <w:highlight w:val="none"/>
                <w:lang w:val="en-US" w:eastAsia="zh-CN"/>
              </w:rPr>
            </w:pPr>
            <w:r>
              <w:rPr>
                <w:rFonts w:hint="default"/>
                <w:color w:val="auto"/>
                <w:highlight w:val="none"/>
                <w:lang w:val="en-US" w:eastAsia="zh-CN"/>
              </w:rPr>
              <w:t>资源配备计划、项目管理人员机构安排计划、满足工程进度计划及施工管理措施需要的主要机械设备、劳动力、施工机具、架料、模板及安全防护用品情</w:t>
            </w:r>
            <w:r>
              <w:rPr>
                <w:rFonts w:hint="eastAsia"/>
                <w:color w:val="auto"/>
                <w:highlight w:val="none"/>
                <w:lang w:val="en-US" w:eastAsia="zh-CN"/>
              </w:rPr>
              <w:t>况</w:t>
            </w:r>
          </w:p>
        </w:tc>
        <w:tc>
          <w:tcPr>
            <w:tcW w:w="2144" w:type="dxa"/>
            <w:noWrap w:val="0"/>
            <w:vAlign w:val="center"/>
          </w:tcPr>
          <w:p w14:paraId="28D452F7">
            <w:pPr>
              <w:jc w:val="center"/>
              <w:rPr>
                <w:rFonts w:hint="default"/>
                <w:color w:val="auto"/>
                <w:highlight w:val="none"/>
                <w:lang w:val="en-US" w:eastAsia="zh-CN"/>
              </w:rPr>
            </w:pPr>
          </w:p>
        </w:tc>
        <w:tc>
          <w:tcPr>
            <w:tcW w:w="3133" w:type="dxa"/>
            <w:noWrap w:val="0"/>
            <w:vAlign w:val="center"/>
          </w:tcPr>
          <w:p w14:paraId="6BB9C585">
            <w:pPr>
              <w:jc w:val="center"/>
              <w:rPr>
                <w:rFonts w:hint="default"/>
                <w:color w:val="auto"/>
                <w:highlight w:val="none"/>
                <w:lang w:val="en-US" w:eastAsia="zh-CN"/>
              </w:rPr>
            </w:pPr>
          </w:p>
        </w:tc>
      </w:tr>
      <w:tr w14:paraId="0D64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43" w:type="dxa"/>
            <w:noWrap w:val="0"/>
            <w:vAlign w:val="center"/>
          </w:tcPr>
          <w:p w14:paraId="31E8D466">
            <w:pPr>
              <w:jc w:val="center"/>
              <w:rPr>
                <w:rFonts w:hint="default"/>
                <w:color w:val="auto"/>
                <w:highlight w:val="none"/>
                <w:lang w:val="en-US" w:eastAsia="zh-CN"/>
              </w:rPr>
            </w:pPr>
            <w:r>
              <w:rPr>
                <w:rFonts w:hint="eastAsia"/>
                <w:color w:val="auto"/>
                <w:highlight w:val="none"/>
                <w:lang w:val="en-US" w:eastAsia="zh-CN"/>
              </w:rPr>
              <w:t>5</w:t>
            </w:r>
          </w:p>
        </w:tc>
        <w:tc>
          <w:tcPr>
            <w:tcW w:w="2589" w:type="dxa"/>
            <w:noWrap w:val="0"/>
            <w:vAlign w:val="center"/>
          </w:tcPr>
          <w:p w14:paraId="19ED126C">
            <w:pPr>
              <w:jc w:val="center"/>
              <w:rPr>
                <w:rFonts w:hint="eastAsia" w:eastAsia="宋体"/>
                <w:color w:val="auto"/>
                <w:highlight w:val="none"/>
                <w:lang w:val="en-US" w:eastAsia="zh-CN"/>
              </w:rPr>
            </w:pPr>
            <w:r>
              <w:rPr>
                <w:rFonts w:hint="default"/>
                <w:color w:val="auto"/>
                <w:highlight w:val="none"/>
                <w:lang w:val="en-US" w:eastAsia="zh-CN"/>
              </w:rPr>
              <w:t>合理化建议</w:t>
            </w:r>
          </w:p>
        </w:tc>
        <w:tc>
          <w:tcPr>
            <w:tcW w:w="4489" w:type="dxa"/>
            <w:noWrap w:val="0"/>
            <w:vAlign w:val="center"/>
          </w:tcPr>
          <w:p w14:paraId="0BB2B5DE">
            <w:pPr>
              <w:widowControl/>
              <w:jc w:val="center"/>
              <w:rPr>
                <w:rFonts w:hint="eastAsia" w:cs="宋体"/>
                <w:color w:val="auto"/>
                <w:sz w:val="22"/>
                <w:highlight w:val="none"/>
                <w:lang w:val="en-US" w:eastAsia="zh-CN"/>
              </w:rPr>
            </w:pPr>
            <w:r>
              <w:rPr>
                <w:rFonts w:hint="eastAsia" w:ascii="宋体" w:hAnsi="宋体" w:eastAsia="宋体" w:cs="Times New Roman"/>
                <w:color w:val="auto"/>
                <w:kern w:val="2"/>
                <w:sz w:val="21"/>
                <w:szCs w:val="22"/>
                <w:highlight w:val="none"/>
                <w:lang w:val="en-US" w:eastAsia="zh-CN" w:bidi="ar"/>
              </w:rPr>
              <w:t>本工程的合理化建议</w:t>
            </w:r>
          </w:p>
        </w:tc>
        <w:tc>
          <w:tcPr>
            <w:tcW w:w="2144" w:type="dxa"/>
            <w:noWrap w:val="0"/>
            <w:vAlign w:val="center"/>
          </w:tcPr>
          <w:p w14:paraId="59FC7390">
            <w:pPr>
              <w:jc w:val="center"/>
              <w:rPr>
                <w:rFonts w:hint="default"/>
                <w:color w:val="auto"/>
                <w:highlight w:val="none"/>
                <w:lang w:val="en-US" w:eastAsia="zh-CN"/>
              </w:rPr>
            </w:pPr>
          </w:p>
        </w:tc>
        <w:tc>
          <w:tcPr>
            <w:tcW w:w="3133" w:type="dxa"/>
            <w:noWrap w:val="0"/>
            <w:vAlign w:val="center"/>
          </w:tcPr>
          <w:p w14:paraId="1A3B7F22">
            <w:pPr>
              <w:jc w:val="center"/>
              <w:rPr>
                <w:rFonts w:hint="default"/>
                <w:color w:val="auto"/>
                <w:highlight w:val="none"/>
                <w:lang w:val="en-US" w:eastAsia="zh-CN"/>
              </w:rPr>
            </w:pPr>
          </w:p>
        </w:tc>
      </w:tr>
      <w:tr w14:paraId="24483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43" w:type="dxa"/>
            <w:noWrap w:val="0"/>
            <w:vAlign w:val="center"/>
          </w:tcPr>
          <w:p w14:paraId="4F18B8A4">
            <w:pPr>
              <w:jc w:val="center"/>
              <w:rPr>
                <w:rFonts w:hint="default"/>
                <w:color w:val="auto"/>
                <w:highlight w:val="none"/>
                <w:lang w:val="en-US" w:eastAsia="zh-CN"/>
              </w:rPr>
            </w:pPr>
            <w:r>
              <w:rPr>
                <w:rFonts w:hint="eastAsia"/>
                <w:color w:val="auto"/>
                <w:highlight w:val="none"/>
                <w:lang w:val="en-US" w:eastAsia="zh-CN"/>
              </w:rPr>
              <w:t>6</w:t>
            </w:r>
          </w:p>
        </w:tc>
        <w:tc>
          <w:tcPr>
            <w:tcW w:w="2589" w:type="dxa"/>
            <w:noWrap w:val="0"/>
            <w:vAlign w:val="center"/>
          </w:tcPr>
          <w:p w14:paraId="728F9A76">
            <w:pPr>
              <w:jc w:val="center"/>
              <w:rPr>
                <w:rFonts w:hint="eastAsia" w:eastAsia="宋体"/>
                <w:color w:val="auto"/>
                <w:highlight w:val="none"/>
                <w:lang w:val="en-US" w:eastAsia="zh-CN"/>
              </w:rPr>
            </w:pPr>
            <w:r>
              <w:rPr>
                <w:rFonts w:hint="default"/>
                <w:color w:val="auto"/>
                <w:highlight w:val="none"/>
                <w:lang w:val="en-US" w:eastAsia="zh-CN"/>
              </w:rPr>
              <w:t>其他意见</w:t>
            </w:r>
          </w:p>
        </w:tc>
        <w:tc>
          <w:tcPr>
            <w:tcW w:w="4489" w:type="dxa"/>
            <w:noWrap w:val="0"/>
            <w:vAlign w:val="center"/>
          </w:tcPr>
          <w:p w14:paraId="5D66590A">
            <w:pPr>
              <w:spacing w:line="400" w:lineRule="exact"/>
              <w:jc w:val="center"/>
              <w:rPr>
                <w:rFonts w:hint="eastAsia" w:cs="宋体"/>
                <w:color w:val="auto"/>
                <w:sz w:val="22"/>
                <w:highlight w:val="none"/>
                <w:lang w:val="en-US" w:eastAsia="zh-CN"/>
              </w:rPr>
            </w:pPr>
            <w:r>
              <w:rPr>
                <w:rFonts w:hint="eastAsia" w:cs="宋体"/>
                <w:color w:val="auto"/>
                <w:sz w:val="22"/>
                <w:highlight w:val="none"/>
                <w:lang w:val="en-US" w:eastAsia="zh-CN"/>
              </w:rPr>
              <w:t>对投标文件的其它意见</w:t>
            </w:r>
          </w:p>
        </w:tc>
        <w:tc>
          <w:tcPr>
            <w:tcW w:w="2144" w:type="dxa"/>
            <w:noWrap w:val="0"/>
            <w:vAlign w:val="center"/>
          </w:tcPr>
          <w:p w14:paraId="665B5347">
            <w:pPr>
              <w:jc w:val="center"/>
              <w:rPr>
                <w:rFonts w:hint="default"/>
                <w:color w:val="auto"/>
                <w:highlight w:val="none"/>
                <w:lang w:val="en-US" w:eastAsia="zh-CN"/>
              </w:rPr>
            </w:pPr>
          </w:p>
        </w:tc>
        <w:tc>
          <w:tcPr>
            <w:tcW w:w="3133" w:type="dxa"/>
            <w:noWrap w:val="0"/>
            <w:vAlign w:val="center"/>
          </w:tcPr>
          <w:p w14:paraId="6C2856BD">
            <w:pPr>
              <w:jc w:val="center"/>
              <w:rPr>
                <w:rFonts w:hint="default"/>
                <w:color w:val="auto"/>
                <w:highlight w:val="none"/>
                <w:lang w:val="en-US" w:eastAsia="zh-CN"/>
              </w:rPr>
            </w:pPr>
          </w:p>
        </w:tc>
      </w:tr>
    </w:tbl>
    <w:p w14:paraId="76730883">
      <w:pPr>
        <w:keepNext w:val="0"/>
        <w:keepLines w:val="0"/>
        <w:widowControl/>
        <w:suppressLineNumbers w:val="0"/>
        <w:jc w:val="left"/>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 xml:space="preserve">评委签名： </w:t>
      </w:r>
    </w:p>
    <w:p w14:paraId="5215795D">
      <w:pPr>
        <w:keepNext w:val="0"/>
        <w:keepLines w:val="0"/>
        <w:widowControl/>
        <w:suppressLineNumbers w:val="0"/>
        <w:jc w:val="left"/>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日期：</w:t>
      </w:r>
    </w:p>
    <w:p w14:paraId="05AB0075">
      <w:pPr>
        <w:rPr>
          <w:rFonts w:hint="eastAsia" w:ascii="宋体" w:hAnsi="宋体"/>
          <w:color w:val="auto"/>
          <w:szCs w:val="21"/>
          <w:highlight w:val="none"/>
        </w:rPr>
      </w:pPr>
      <w:r>
        <w:rPr>
          <w:rFonts w:hint="eastAsia" w:ascii="宋体" w:hAnsi="宋体"/>
          <w:color w:val="auto"/>
          <w:szCs w:val="21"/>
          <w:highlight w:val="none"/>
        </w:rPr>
        <w:br w:type="page"/>
      </w:r>
    </w:p>
    <w:p w14:paraId="5B31A767">
      <w:pPr>
        <w:pStyle w:val="25"/>
        <w:ind w:firstLine="458"/>
        <w:rPr>
          <w:rFonts w:hint="eastAsia" w:ascii="宋体" w:hAnsi="宋体"/>
          <w:color w:val="auto"/>
          <w:szCs w:val="21"/>
          <w:highlight w:val="none"/>
        </w:rPr>
        <w:sectPr>
          <w:endnotePr>
            <w:numFmt w:val="decimal"/>
          </w:endnotePr>
          <w:pgSz w:w="16838" w:h="11905" w:orient="landscape"/>
          <w:pgMar w:top="1474" w:right="1440" w:bottom="1474" w:left="1440" w:header="850" w:footer="907" w:gutter="0"/>
          <w:pgNumType w:fmt="decimal"/>
          <w:cols w:space="0" w:num="1"/>
          <w:titlePg/>
          <w:docGrid w:type="lines" w:linePitch="319" w:charSpace="0"/>
        </w:sectPr>
      </w:pPr>
    </w:p>
    <w:p w14:paraId="001F47C4">
      <w:pPr>
        <w:tabs>
          <w:tab w:val="left" w:pos="3570"/>
        </w:tabs>
        <w:spacing w:line="276" w:lineRule="auto"/>
        <w:jc w:val="left"/>
        <w:rPr>
          <w:color w:val="auto"/>
          <w:szCs w:val="21"/>
          <w:highlight w:val="none"/>
        </w:rPr>
      </w:pPr>
      <w:r>
        <w:rPr>
          <w:rFonts w:hint="eastAsia"/>
          <w:color w:val="auto"/>
          <w:szCs w:val="21"/>
          <w:highlight w:val="none"/>
        </w:rPr>
        <w:t>附表四</w:t>
      </w:r>
      <w:r>
        <w:rPr>
          <w:rFonts w:hint="eastAsia"/>
          <w:color w:val="auto"/>
          <w:szCs w:val="21"/>
          <w:highlight w:val="none"/>
          <w:lang w:val="en-US" w:eastAsia="zh-CN"/>
        </w:rPr>
        <w:t xml:space="preserve">                                                 </w:t>
      </w:r>
      <w:r>
        <w:rPr>
          <w:rFonts w:hint="eastAsia"/>
          <w:b/>
          <w:color w:val="auto"/>
          <w:sz w:val="36"/>
          <w:szCs w:val="36"/>
          <w:highlight w:val="none"/>
          <w:lang w:val="en-US" w:eastAsia="zh-CN"/>
        </w:rPr>
        <w:t>定标因素</w:t>
      </w:r>
      <w:r>
        <w:rPr>
          <w:rFonts w:hint="eastAsia"/>
          <w:b/>
          <w:color w:val="auto"/>
          <w:sz w:val="36"/>
          <w:szCs w:val="36"/>
          <w:highlight w:val="none"/>
        </w:rPr>
        <w:t>表</w:t>
      </w:r>
      <w:r>
        <w:rPr>
          <w:rFonts w:hint="eastAsia" w:ascii="宋体" w:hAnsi="宋体" w:cs="宋体"/>
          <w:b/>
          <w:color w:val="auto"/>
          <w:sz w:val="32"/>
          <w:szCs w:val="32"/>
          <w:highlight w:val="none"/>
        </w:rPr>
        <w:t>（定标阶段用表）</w:t>
      </w:r>
    </w:p>
    <w:tbl>
      <w:tblPr>
        <w:tblStyle w:val="27"/>
        <w:tblW w:w="13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91"/>
        <w:gridCol w:w="5"/>
        <w:gridCol w:w="11548"/>
      </w:tblGrid>
      <w:tr w14:paraId="342D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59" w:type="dxa"/>
            <w:noWrap w:val="0"/>
            <w:vAlign w:val="center"/>
          </w:tcPr>
          <w:p w14:paraId="4EB14B79">
            <w:pPr>
              <w:spacing w:line="400" w:lineRule="exact"/>
              <w:jc w:val="center"/>
              <w:rPr>
                <w:rFonts w:cs="宋体"/>
                <w:color w:val="auto"/>
                <w:sz w:val="22"/>
                <w:highlight w:val="none"/>
              </w:rPr>
            </w:pPr>
            <w:r>
              <w:rPr>
                <w:rFonts w:hint="eastAsia" w:cs="宋体"/>
                <w:color w:val="auto"/>
                <w:sz w:val="22"/>
                <w:highlight w:val="none"/>
                <w:lang w:bidi="ar"/>
              </w:rPr>
              <w:t>评分内容</w:t>
            </w:r>
          </w:p>
        </w:tc>
        <w:tc>
          <w:tcPr>
            <w:tcW w:w="791" w:type="dxa"/>
            <w:noWrap w:val="0"/>
            <w:vAlign w:val="center"/>
          </w:tcPr>
          <w:p w14:paraId="6FDB2BB7">
            <w:pPr>
              <w:spacing w:line="400" w:lineRule="exact"/>
              <w:jc w:val="center"/>
              <w:rPr>
                <w:rFonts w:cs="宋体"/>
                <w:color w:val="auto"/>
                <w:sz w:val="22"/>
                <w:highlight w:val="none"/>
              </w:rPr>
            </w:pPr>
            <w:r>
              <w:rPr>
                <w:rFonts w:hint="eastAsia" w:cs="宋体"/>
                <w:color w:val="auto"/>
                <w:sz w:val="22"/>
                <w:highlight w:val="none"/>
                <w:lang w:bidi="ar"/>
              </w:rPr>
              <w:t>分值</w:t>
            </w:r>
          </w:p>
        </w:tc>
        <w:tc>
          <w:tcPr>
            <w:tcW w:w="11553" w:type="dxa"/>
            <w:gridSpan w:val="2"/>
            <w:noWrap w:val="0"/>
            <w:vAlign w:val="center"/>
          </w:tcPr>
          <w:p w14:paraId="02FAF12D">
            <w:pPr>
              <w:spacing w:line="400" w:lineRule="exact"/>
              <w:jc w:val="center"/>
              <w:rPr>
                <w:rFonts w:cs="宋体"/>
                <w:color w:val="auto"/>
                <w:sz w:val="22"/>
                <w:highlight w:val="none"/>
              </w:rPr>
            </w:pPr>
            <w:r>
              <w:rPr>
                <w:rFonts w:hint="eastAsia" w:cs="宋体"/>
                <w:color w:val="auto"/>
                <w:sz w:val="22"/>
                <w:highlight w:val="none"/>
                <w:lang w:val="en-US" w:eastAsia="zh-CN" w:bidi="ar"/>
              </w:rPr>
              <w:t>定标</w:t>
            </w:r>
            <w:r>
              <w:rPr>
                <w:rFonts w:hint="eastAsia" w:cs="宋体"/>
                <w:color w:val="auto"/>
                <w:sz w:val="22"/>
                <w:highlight w:val="none"/>
                <w:lang w:bidi="ar"/>
              </w:rPr>
              <w:t>评审标准</w:t>
            </w:r>
          </w:p>
        </w:tc>
      </w:tr>
      <w:tr w14:paraId="5D6B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9" w:type="dxa"/>
            <w:noWrap w:val="0"/>
            <w:vAlign w:val="center"/>
          </w:tcPr>
          <w:p w14:paraId="2FB3CA53">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bidi="ar"/>
              </w:rPr>
              <w:t>企业业绩</w:t>
            </w:r>
          </w:p>
        </w:tc>
        <w:tc>
          <w:tcPr>
            <w:tcW w:w="791" w:type="dxa"/>
            <w:noWrap w:val="0"/>
            <w:vAlign w:val="center"/>
          </w:tcPr>
          <w:p w14:paraId="6695E78D">
            <w:pPr>
              <w:spacing w:line="400" w:lineRule="exact"/>
              <w:jc w:val="center"/>
              <w:rPr>
                <w:rFonts w:hint="default" w:eastAsia="宋体" w:cs="宋体"/>
                <w:color w:val="auto"/>
                <w:sz w:val="22"/>
                <w:highlight w:val="none"/>
                <w:lang w:val="en-US" w:eastAsia="zh-CN"/>
              </w:rPr>
            </w:pPr>
            <w:r>
              <w:rPr>
                <w:rFonts w:hint="eastAsia" w:cs="宋体"/>
                <w:color w:val="auto"/>
                <w:sz w:val="22"/>
                <w:highlight w:val="none"/>
                <w:lang w:val="en-US" w:eastAsia="zh-CN" w:bidi="ar"/>
              </w:rPr>
              <w:t>10</w:t>
            </w:r>
          </w:p>
        </w:tc>
        <w:tc>
          <w:tcPr>
            <w:tcW w:w="11553" w:type="dxa"/>
            <w:gridSpan w:val="2"/>
            <w:noWrap w:val="0"/>
            <w:vAlign w:val="center"/>
          </w:tcPr>
          <w:p w14:paraId="1503FA89">
            <w:pPr>
              <w:widowControl/>
              <w:snapToGrid w:val="0"/>
              <w:spacing w:line="400" w:lineRule="exact"/>
              <w:ind w:firstLine="440" w:firstLineChars="200"/>
              <w:jc w:val="left"/>
              <w:rPr>
                <w:rFonts w:cs="宋体"/>
                <w:color w:val="auto"/>
                <w:sz w:val="22"/>
                <w:szCs w:val="22"/>
                <w:highlight w:val="none"/>
              </w:rPr>
            </w:pPr>
            <w:r>
              <w:rPr>
                <w:rFonts w:hint="eastAsia" w:cs="宋体"/>
                <w:color w:val="auto"/>
                <w:sz w:val="22"/>
                <w:szCs w:val="22"/>
                <w:highlight w:val="none"/>
              </w:rPr>
              <w:t>投标人</w:t>
            </w:r>
            <w:r>
              <w:rPr>
                <w:rFonts w:hint="eastAsia" w:cs="宋体"/>
                <w:color w:val="auto"/>
                <w:sz w:val="22"/>
                <w:szCs w:val="22"/>
                <w:highlight w:val="none"/>
                <w:lang w:val="en-US" w:eastAsia="zh-CN"/>
              </w:rPr>
              <w:t>提供近五年以来</w:t>
            </w:r>
            <w:r>
              <w:rPr>
                <w:rFonts w:hint="eastAsia" w:ascii="宋体" w:hAnsi="宋体" w:eastAsia="宋体" w:cs="宋体"/>
                <w:color w:val="auto"/>
                <w:sz w:val="22"/>
                <w:szCs w:val="22"/>
                <w:highlight w:val="none"/>
                <w:lang w:val="en-US" w:eastAsia="zh-CN"/>
              </w:rPr>
              <w:t>已完成过质量合格的单项合同</w:t>
            </w:r>
            <w:r>
              <w:rPr>
                <w:rFonts w:hint="eastAsia" w:ascii="宋体" w:hAnsi="宋体" w:eastAsia="宋体" w:cs="宋体"/>
                <w:strike w:val="0"/>
                <w:color w:val="auto"/>
                <w:kern w:val="2"/>
                <w:sz w:val="22"/>
                <w:szCs w:val="22"/>
                <w:highlight w:val="none"/>
                <w:lang w:val="en-US" w:eastAsia="zh-CN"/>
              </w:rPr>
              <w:t>金</w:t>
            </w:r>
            <w:r>
              <w:rPr>
                <w:rFonts w:hint="eastAsia" w:cs="宋体"/>
                <w:color w:val="auto"/>
                <w:sz w:val="22"/>
                <w:szCs w:val="22"/>
                <w:highlight w:val="none"/>
                <w:lang w:val="en-US" w:eastAsia="zh-CN"/>
              </w:rPr>
              <w:t>额≥660万元</w:t>
            </w:r>
            <w:r>
              <w:rPr>
                <w:rFonts w:hint="eastAsia"/>
                <w:color w:val="auto"/>
                <w:sz w:val="22"/>
                <w:szCs w:val="22"/>
                <w:highlight w:val="none"/>
              </w:rPr>
              <w:t>的</w:t>
            </w:r>
            <w:r>
              <w:rPr>
                <w:rFonts w:hint="eastAsia" w:cs="宋体"/>
                <w:color w:val="auto"/>
                <w:sz w:val="22"/>
                <w:szCs w:val="22"/>
                <w:highlight w:val="none"/>
                <w:lang w:val="en-US" w:eastAsia="zh-CN"/>
              </w:rPr>
              <w:t>建筑物或构筑物泛光照明工程施工项目业绩，每项得5分，满分10</w:t>
            </w:r>
            <w:r>
              <w:rPr>
                <w:rFonts w:hint="eastAsia" w:cs="宋体"/>
                <w:color w:val="auto"/>
                <w:sz w:val="22"/>
                <w:szCs w:val="22"/>
                <w:highlight w:val="none"/>
              </w:rPr>
              <w:t>分。</w:t>
            </w:r>
          </w:p>
        </w:tc>
      </w:tr>
      <w:tr w14:paraId="516B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9" w:type="dxa"/>
            <w:noWrap w:val="0"/>
            <w:vAlign w:val="center"/>
          </w:tcPr>
          <w:p w14:paraId="17293A7C">
            <w:pPr>
              <w:spacing w:line="400" w:lineRule="exact"/>
              <w:jc w:val="both"/>
              <w:rPr>
                <w:rFonts w:hint="default" w:asciiTheme="minorEastAsia" w:hAnsiTheme="minorEastAsia" w:eastAsiaTheme="minorEastAsia" w:cstheme="minorEastAsia"/>
                <w:color w:val="auto"/>
                <w:sz w:val="22"/>
                <w:szCs w:val="22"/>
                <w:highlight w:val="none"/>
                <w:lang w:val="en-US" w:eastAsia="zh-CN" w:bidi="ar"/>
              </w:rPr>
            </w:pPr>
            <w:r>
              <w:rPr>
                <w:rFonts w:hint="eastAsia" w:asciiTheme="minorEastAsia" w:hAnsiTheme="minorEastAsia" w:eastAsiaTheme="minorEastAsia" w:cstheme="minorEastAsia"/>
                <w:color w:val="auto"/>
                <w:sz w:val="22"/>
                <w:szCs w:val="22"/>
                <w:highlight w:val="none"/>
                <w:lang w:val="en-US" w:eastAsia="zh-CN" w:bidi="ar"/>
              </w:rPr>
              <w:t>项目负责人业绩</w:t>
            </w:r>
          </w:p>
        </w:tc>
        <w:tc>
          <w:tcPr>
            <w:tcW w:w="791" w:type="dxa"/>
            <w:noWrap w:val="0"/>
            <w:vAlign w:val="center"/>
          </w:tcPr>
          <w:p w14:paraId="1C8331BC">
            <w:pPr>
              <w:spacing w:line="400" w:lineRule="exact"/>
              <w:jc w:val="center"/>
              <w:rPr>
                <w:rFonts w:hint="default" w:eastAsia="宋体" w:cs="宋体"/>
                <w:color w:val="auto"/>
                <w:sz w:val="22"/>
                <w:highlight w:val="none"/>
                <w:lang w:val="en-US" w:eastAsia="zh-CN" w:bidi="ar"/>
              </w:rPr>
            </w:pPr>
            <w:r>
              <w:rPr>
                <w:rFonts w:hint="eastAsia" w:cs="宋体"/>
                <w:color w:val="auto"/>
                <w:sz w:val="22"/>
                <w:highlight w:val="none"/>
                <w:lang w:val="en-US" w:eastAsia="zh-CN" w:bidi="ar"/>
              </w:rPr>
              <w:t>10</w:t>
            </w:r>
          </w:p>
        </w:tc>
        <w:tc>
          <w:tcPr>
            <w:tcW w:w="11553" w:type="dxa"/>
            <w:gridSpan w:val="2"/>
            <w:noWrap w:val="0"/>
            <w:vAlign w:val="center"/>
          </w:tcPr>
          <w:p w14:paraId="1E97244B">
            <w:pPr>
              <w:widowControl/>
              <w:numPr>
                <w:ilvl w:val="-1"/>
                <w:numId w:val="0"/>
              </w:numPr>
              <w:snapToGrid w:val="0"/>
              <w:spacing w:line="400" w:lineRule="exact"/>
              <w:ind w:firstLine="440" w:firstLineChars="200"/>
              <w:jc w:val="left"/>
              <w:rPr>
                <w:rFonts w:cs="宋体"/>
                <w:color w:val="auto"/>
                <w:sz w:val="22"/>
                <w:szCs w:val="22"/>
                <w:highlight w:val="none"/>
              </w:rPr>
            </w:pPr>
            <w:r>
              <w:rPr>
                <w:rFonts w:hint="eastAsia" w:cs="宋体"/>
                <w:color w:val="auto"/>
                <w:sz w:val="22"/>
                <w:szCs w:val="22"/>
                <w:highlight w:val="none"/>
              </w:rPr>
              <w:t>投标人</w:t>
            </w:r>
            <w:r>
              <w:rPr>
                <w:rFonts w:hint="eastAsia" w:cs="宋体"/>
                <w:color w:val="auto"/>
                <w:sz w:val="22"/>
                <w:szCs w:val="22"/>
                <w:highlight w:val="none"/>
                <w:lang w:val="en-US" w:eastAsia="zh-CN"/>
              </w:rPr>
              <w:t>提供拟派项目负责人近五年以来担任项目负责人</w:t>
            </w:r>
            <w:r>
              <w:rPr>
                <w:rFonts w:hint="eastAsia" w:ascii="宋体" w:hAnsi="宋体" w:eastAsia="宋体" w:cs="宋体"/>
                <w:color w:val="auto"/>
                <w:sz w:val="22"/>
                <w:szCs w:val="22"/>
                <w:highlight w:val="none"/>
                <w:lang w:val="en-US" w:eastAsia="zh-CN"/>
              </w:rPr>
              <w:t>完成过质量合格的单项合同</w:t>
            </w:r>
            <w:r>
              <w:rPr>
                <w:rFonts w:hint="eastAsia" w:ascii="宋体" w:hAnsi="宋体" w:eastAsia="宋体" w:cs="宋体"/>
                <w:strike w:val="0"/>
                <w:color w:val="auto"/>
                <w:kern w:val="2"/>
                <w:sz w:val="22"/>
                <w:szCs w:val="22"/>
                <w:highlight w:val="none"/>
                <w:lang w:val="en-US" w:eastAsia="zh-CN"/>
              </w:rPr>
              <w:t>金</w:t>
            </w:r>
            <w:r>
              <w:rPr>
                <w:rFonts w:hint="eastAsia" w:cs="宋体"/>
                <w:color w:val="auto"/>
                <w:sz w:val="22"/>
                <w:szCs w:val="22"/>
                <w:highlight w:val="none"/>
                <w:lang w:val="en-US" w:eastAsia="zh-CN"/>
              </w:rPr>
              <w:t>额≥660万元</w:t>
            </w:r>
            <w:r>
              <w:rPr>
                <w:rFonts w:hint="eastAsia"/>
                <w:color w:val="auto"/>
                <w:sz w:val="22"/>
                <w:szCs w:val="22"/>
                <w:highlight w:val="none"/>
              </w:rPr>
              <w:t>的</w:t>
            </w:r>
            <w:r>
              <w:rPr>
                <w:rFonts w:hint="eastAsia" w:cs="宋体"/>
                <w:color w:val="auto"/>
                <w:sz w:val="22"/>
                <w:szCs w:val="22"/>
                <w:highlight w:val="none"/>
                <w:lang w:val="en-US" w:eastAsia="zh-CN"/>
              </w:rPr>
              <w:t>建筑物或构筑物泛光照明项目施工项目业绩，每项得5分，满分10</w:t>
            </w:r>
            <w:r>
              <w:rPr>
                <w:rFonts w:hint="eastAsia" w:cs="宋体"/>
                <w:color w:val="auto"/>
                <w:sz w:val="22"/>
                <w:szCs w:val="22"/>
                <w:highlight w:val="none"/>
              </w:rPr>
              <w:t>分。</w:t>
            </w:r>
          </w:p>
        </w:tc>
      </w:tr>
      <w:tr w14:paraId="5D31F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9" w:type="dxa"/>
            <w:noWrap w:val="0"/>
            <w:vAlign w:val="center"/>
          </w:tcPr>
          <w:p w14:paraId="37FE5A44">
            <w:pPr>
              <w:spacing w:line="400" w:lineRule="exact"/>
              <w:jc w:val="both"/>
              <w:rPr>
                <w:rFonts w:hint="default" w:asciiTheme="minorEastAsia" w:hAnsiTheme="minorEastAsia" w:eastAsiaTheme="minorEastAsia" w:cstheme="minorEastAsia"/>
                <w:color w:val="auto"/>
                <w:sz w:val="22"/>
                <w:szCs w:val="22"/>
                <w:highlight w:val="none"/>
                <w:lang w:val="en-US" w:eastAsia="zh-CN" w:bidi="ar"/>
              </w:rPr>
            </w:pPr>
            <w:r>
              <w:rPr>
                <w:rFonts w:hint="eastAsia" w:cs="宋体"/>
                <w:color w:val="auto"/>
                <w:sz w:val="22"/>
                <w:highlight w:val="none"/>
                <w:lang w:bidi="ar"/>
              </w:rPr>
              <w:t>工程奖项</w:t>
            </w:r>
          </w:p>
        </w:tc>
        <w:tc>
          <w:tcPr>
            <w:tcW w:w="791" w:type="dxa"/>
            <w:noWrap w:val="0"/>
            <w:vAlign w:val="center"/>
          </w:tcPr>
          <w:p w14:paraId="26231588">
            <w:pPr>
              <w:spacing w:line="400" w:lineRule="exact"/>
              <w:jc w:val="center"/>
              <w:rPr>
                <w:rFonts w:hint="default" w:cs="宋体"/>
                <w:color w:val="auto"/>
                <w:sz w:val="22"/>
                <w:highlight w:val="none"/>
                <w:lang w:val="en-US" w:eastAsia="zh-CN" w:bidi="ar"/>
              </w:rPr>
            </w:pPr>
            <w:r>
              <w:rPr>
                <w:rFonts w:hint="eastAsia" w:cs="宋体"/>
                <w:color w:val="auto"/>
                <w:sz w:val="22"/>
                <w:highlight w:val="none"/>
                <w:lang w:val="en-US" w:eastAsia="zh-CN" w:bidi="ar"/>
              </w:rPr>
              <w:t>15</w:t>
            </w:r>
          </w:p>
        </w:tc>
        <w:tc>
          <w:tcPr>
            <w:tcW w:w="11553" w:type="dxa"/>
            <w:gridSpan w:val="2"/>
            <w:noWrap w:val="0"/>
            <w:vAlign w:val="center"/>
          </w:tcPr>
          <w:p w14:paraId="5E2C0D17">
            <w:pPr>
              <w:widowControl/>
              <w:numPr>
                <w:ilvl w:val="0"/>
                <w:numId w:val="0"/>
              </w:numPr>
              <w:snapToGrid w:val="0"/>
              <w:spacing w:line="400" w:lineRule="exact"/>
              <w:jc w:val="left"/>
              <w:rPr>
                <w:rFonts w:hint="default" w:cs="宋体"/>
                <w:color w:val="auto"/>
                <w:kern w:val="2"/>
                <w:sz w:val="22"/>
                <w:szCs w:val="22"/>
                <w:highlight w:val="none"/>
                <w:lang w:val="en-US" w:eastAsia="zh-CN" w:bidi="ar-SA"/>
              </w:rPr>
            </w:pPr>
            <w:r>
              <w:rPr>
                <w:rFonts w:hint="eastAsia" w:cs="宋体"/>
                <w:color w:val="auto"/>
                <w:sz w:val="22"/>
                <w:highlight w:val="none"/>
              </w:rPr>
              <w:t>投标人提供近五年以来承建的</w:t>
            </w:r>
            <w:r>
              <w:rPr>
                <w:rFonts w:hint="eastAsia" w:cs="宋体"/>
                <w:color w:val="auto"/>
                <w:sz w:val="22"/>
                <w:highlight w:val="none"/>
                <w:lang w:val="en-US" w:eastAsia="zh-CN"/>
              </w:rPr>
              <w:t>泛光照明</w:t>
            </w:r>
            <w:r>
              <w:rPr>
                <w:rFonts w:hint="eastAsia" w:cs="宋体"/>
                <w:color w:val="auto"/>
                <w:sz w:val="22"/>
                <w:highlight w:val="none"/>
              </w:rPr>
              <w:t>类工程施工项目获得过行政主管部门或行业</w:t>
            </w:r>
            <w:r>
              <w:rPr>
                <w:rFonts w:hint="eastAsia" w:cs="宋体"/>
                <w:color w:val="auto"/>
                <w:sz w:val="22"/>
                <w:highlight w:val="none"/>
                <w:lang w:val="en-US" w:eastAsia="zh-CN"/>
              </w:rPr>
              <w:t>学（协）</w:t>
            </w:r>
            <w:r>
              <w:rPr>
                <w:rFonts w:hint="eastAsia" w:cs="宋体"/>
                <w:color w:val="auto"/>
                <w:sz w:val="22"/>
                <w:highlight w:val="none"/>
              </w:rPr>
              <w:t>会颁发的工程类奖项的</w:t>
            </w:r>
            <w:r>
              <w:rPr>
                <w:rFonts w:hint="eastAsia" w:cs="宋体"/>
                <w:color w:val="auto"/>
                <w:sz w:val="22"/>
                <w:highlight w:val="none"/>
                <w:lang w:eastAsia="zh-CN"/>
              </w:rPr>
              <w:t>，</w:t>
            </w:r>
            <w:r>
              <w:rPr>
                <w:rFonts w:hint="eastAsia" w:cs="宋体"/>
                <w:color w:val="auto"/>
                <w:sz w:val="22"/>
                <w:highlight w:val="none"/>
                <w:lang w:val="en-US" w:eastAsia="zh-CN"/>
              </w:rPr>
              <w:t>每提供一项得5分，满分15分。</w:t>
            </w:r>
          </w:p>
        </w:tc>
      </w:tr>
      <w:tr w14:paraId="40DE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159" w:type="dxa"/>
            <w:noWrap w:val="0"/>
            <w:vAlign w:val="center"/>
          </w:tcPr>
          <w:p w14:paraId="4E1C4891">
            <w:pPr>
              <w:spacing w:line="400" w:lineRule="exact"/>
              <w:jc w:val="center"/>
              <w:rPr>
                <w:rFonts w:hint="default" w:asciiTheme="minorEastAsia" w:hAnsiTheme="minorEastAsia" w:eastAsiaTheme="minorEastAsia" w:cstheme="minorEastAsia"/>
                <w:color w:val="auto"/>
                <w:kern w:val="0"/>
                <w:sz w:val="22"/>
                <w:szCs w:val="22"/>
                <w:highlight w:val="none"/>
                <w:lang w:val="en-US" w:eastAsia="zh-CN"/>
              </w:rPr>
            </w:pPr>
            <w:r>
              <w:rPr>
                <w:rFonts w:hint="default" w:asciiTheme="minorEastAsia" w:hAnsiTheme="minorEastAsia" w:eastAsiaTheme="minorEastAsia" w:cstheme="minorEastAsia"/>
                <w:color w:val="auto"/>
                <w:kern w:val="0"/>
                <w:sz w:val="22"/>
                <w:szCs w:val="22"/>
                <w:highlight w:val="none"/>
                <w:lang w:val="en-US" w:eastAsia="zh-CN"/>
              </w:rPr>
              <w:t>项目团队</w:t>
            </w:r>
            <w:r>
              <w:rPr>
                <w:rFonts w:hint="eastAsia" w:asciiTheme="minorEastAsia" w:hAnsiTheme="minorEastAsia" w:eastAsiaTheme="minorEastAsia" w:cstheme="minorEastAsia"/>
                <w:color w:val="auto"/>
                <w:kern w:val="0"/>
                <w:sz w:val="22"/>
                <w:szCs w:val="22"/>
                <w:highlight w:val="none"/>
                <w:lang w:val="en-US" w:eastAsia="zh-CN"/>
              </w:rPr>
              <w:t>其他成员</w:t>
            </w:r>
            <w:r>
              <w:rPr>
                <w:rFonts w:hint="default" w:asciiTheme="minorEastAsia" w:hAnsiTheme="minorEastAsia" w:eastAsiaTheme="minorEastAsia" w:cstheme="minorEastAsia"/>
                <w:color w:val="auto"/>
                <w:kern w:val="0"/>
                <w:sz w:val="22"/>
                <w:szCs w:val="22"/>
                <w:highlight w:val="none"/>
                <w:lang w:val="en-US" w:eastAsia="zh-CN"/>
              </w:rPr>
              <w:t>（项目负责</w:t>
            </w:r>
            <w:r>
              <w:rPr>
                <w:rFonts w:hint="eastAsia" w:asciiTheme="minorEastAsia" w:hAnsiTheme="minorEastAsia" w:eastAsiaTheme="minorEastAsia" w:cstheme="minorEastAsia"/>
                <w:color w:val="auto"/>
                <w:kern w:val="0"/>
                <w:sz w:val="22"/>
                <w:szCs w:val="22"/>
                <w:highlight w:val="none"/>
                <w:lang w:val="en-US" w:eastAsia="zh-CN"/>
              </w:rPr>
              <w:t>人除</w:t>
            </w:r>
            <w:r>
              <w:rPr>
                <w:rFonts w:hint="default" w:asciiTheme="minorEastAsia" w:hAnsiTheme="minorEastAsia" w:eastAsiaTheme="minorEastAsia" w:cstheme="minorEastAsia"/>
                <w:color w:val="auto"/>
                <w:kern w:val="0"/>
                <w:sz w:val="22"/>
                <w:szCs w:val="22"/>
                <w:highlight w:val="none"/>
                <w:lang w:val="en-US" w:eastAsia="zh-CN"/>
              </w:rPr>
              <w:t>外）</w:t>
            </w:r>
            <w:r>
              <w:rPr>
                <w:rFonts w:hint="eastAsia" w:asciiTheme="minorEastAsia" w:hAnsiTheme="minorEastAsia" w:eastAsiaTheme="minorEastAsia" w:cstheme="minorEastAsia"/>
                <w:color w:val="auto"/>
                <w:kern w:val="0"/>
                <w:sz w:val="22"/>
                <w:szCs w:val="22"/>
                <w:highlight w:val="none"/>
                <w:lang w:val="en-US" w:eastAsia="zh-CN"/>
              </w:rPr>
              <w:t>业绩</w:t>
            </w:r>
          </w:p>
        </w:tc>
        <w:tc>
          <w:tcPr>
            <w:tcW w:w="791" w:type="dxa"/>
            <w:noWrap w:val="0"/>
            <w:vAlign w:val="center"/>
          </w:tcPr>
          <w:p w14:paraId="251188ED">
            <w:pPr>
              <w:spacing w:line="400" w:lineRule="exact"/>
              <w:jc w:val="center"/>
              <w:rPr>
                <w:rFonts w:hint="default" w:cs="宋体"/>
                <w:color w:val="auto"/>
                <w:sz w:val="22"/>
                <w:highlight w:val="none"/>
                <w:lang w:val="en-US" w:eastAsia="zh-CN" w:bidi="ar"/>
              </w:rPr>
            </w:pPr>
            <w:r>
              <w:rPr>
                <w:rFonts w:hint="eastAsia" w:cs="宋体"/>
                <w:color w:val="auto"/>
                <w:sz w:val="22"/>
                <w:highlight w:val="none"/>
                <w:lang w:val="en-US" w:eastAsia="zh-CN" w:bidi="ar"/>
              </w:rPr>
              <w:t>5</w:t>
            </w:r>
          </w:p>
        </w:tc>
        <w:tc>
          <w:tcPr>
            <w:tcW w:w="11553" w:type="dxa"/>
            <w:gridSpan w:val="2"/>
            <w:noWrap w:val="0"/>
            <w:vAlign w:val="center"/>
          </w:tcPr>
          <w:p w14:paraId="426376BC">
            <w:pPr>
              <w:widowControl/>
              <w:numPr>
                <w:ilvl w:val="0"/>
                <w:numId w:val="0"/>
              </w:numPr>
              <w:snapToGrid w:val="0"/>
              <w:spacing w:line="400" w:lineRule="exact"/>
              <w:ind w:leftChars="100" w:firstLine="220" w:firstLineChars="100"/>
              <w:jc w:val="left"/>
              <w:rPr>
                <w:rFonts w:hint="eastAsia" w:ascii="宋体" w:hAnsi="宋体" w:eastAsia="宋体" w:cs="宋体"/>
                <w:color w:val="auto"/>
                <w:kern w:val="2"/>
                <w:sz w:val="22"/>
                <w:szCs w:val="22"/>
                <w:highlight w:val="none"/>
                <w:lang w:val="en-US" w:eastAsia="zh-CN" w:bidi="ar-SA"/>
              </w:rPr>
            </w:pPr>
            <w:r>
              <w:rPr>
                <w:rFonts w:hint="eastAsia"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val="en-US" w:eastAsia="zh-CN" w:bidi="ar-SA"/>
              </w:rPr>
              <w:t>.拟</w:t>
            </w:r>
            <w:r>
              <w:rPr>
                <w:rFonts w:hint="eastAsia" w:cs="宋体"/>
                <w:color w:val="auto"/>
                <w:kern w:val="2"/>
                <w:sz w:val="22"/>
                <w:szCs w:val="22"/>
                <w:highlight w:val="none"/>
                <w:lang w:val="en-US" w:eastAsia="zh-CN" w:bidi="ar-SA"/>
              </w:rPr>
              <w:t>派</w:t>
            </w:r>
            <w:r>
              <w:rPr>
                <w:rFonts w:hint="eastAsia" w:ascii="宋体" w:hAnsi="宋体" w:eastAsia="宋体" w:cs="宋体"/>
                <w:color w:val="auto"/>
                <w:kern w:val="2"/>
                <w:sz w:val="22"/>
                <w:szCs w:val="22"/>
                <w:highlight w:val="none"/>
                <w:lang w:val="en-US" w:eastAsia="zh-CN" w:bidi="ar-SA"/>
              </w:rPr>
              <w:t>本项目其他团队成员（项目负责人除外）近五年以来参建过单项合同金额</w:t>
            </w:r>
            <w:r>
              <w:rPr>
                <w:rFonts w:hint="eastAsia" w:cs="宋体"/>
                <w:color w:val="auto"/>
                <w:kern w:val="2"/>
                <w:sz w:val="22"/>
                <w:szCs w:val="22"/>
                <w:highlight w:val="none"/>
                <w:lang w:val="en-US" w:eastAsia="zh-CN" w:bidi="ar-SA"/>
              </w:rPr>
              <w:t>＜</w:t>
            </w:r>
            <w:r>
              <w:rPr>
                <w:rFonts w:hint="eastAsia" w:ascii="宋体" w:hAnsi="宋体" w:eastAsia="宋体" w:cs="宋体"/>
                <w:color w:val="auto"/>
                <w:kern w:val="2"/>
                <w:sz w:val="22"/>
                <w:szCs w:val="22"/>
                <w:highlight w:val="none"/>
                <w:lang w:val="en-US" w:eastAsia="zh-CN" w:bidi="ar-SA"/>
              </w:rPr>
              <w:t>400万元的建筑物或构筑物泛光照明项目施工项目业绩，每项得</w:t>
            </w:r>
            <w:r>
              <w:rPr>
                <w:rFonts w:hint="eastAsia" w:cs="宋体"/>
                <w:color w:val="auto"/>
                <w:kern w:val="2"/>
                <w:sz w:val="22"/>
                <w:szCs w:val="22"/>
                <w:highlight w:val="none"/>
                <w:lang w:val="en-US" w:eastAsia="zh-CN" w:bidi="ar-SA"/>
              </w:rPr>
              <w:t>0.5</w:t>
            </w:r>
            <w:r>
              <w:rPr>
                <w:rFonts w:hint="eastAsia" w:ascii="宋体" w:hAnsi="宋体" w:eastAsia="宋体" w:cs="宋体"/>
                <w:color w:val="auto"/>
                <w:kern w:val="2"/>
                <w:sz w:val="22"/>
                <w:szCs w:val="22"/>
                <w:highlight w:val="none"/>
                <w:lang w:val="en-US" w:eastAsia="zh-CN" w:bidi="ar-SA"/>
              </w:rPr>
              <w:t>分，满分</w:t>
            </w:r>
            <w:r>
              <w:rPr>
                <w:rFonts w:hint="eastAsia"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val="en-US" w:eastAsia="zh-CN" w:bidi="ar-SA"/>
              </w:rPr>
              <w:t>分；</w:t>
            </w:r>
          </w:p>
          <w:p w14:paraId="629D45E5">
            <w:pPr>
              <w:widowControl/>
              <w:numPr>
                <w:ilvl w:val="0"/>
                <w:numId w:val="0"/>
              </w:numPr>
              <w:snapToGrid w:val="0"/>
              <w:spacing w:line="400" w:lineRule="exact"/>
              <w:ind w:leftChars="100" w:firstLine="220" w:firstLineChars="100"/>
              <w:jc w:val="left"/>
              <w:rPr>
                <w:rFonts w:hint="eastAsia" w:ascii="宋体" w:hAnsi="宋体" w:eastAsia="宋体" w:cs="宋体"/>
                <w:color w:val="auto"/>
                <w:kern w:val="2"/>
                <w:sz w:val="22"/>
                <w:szCs w:val="22"/>
                <w:highlight w:val="none"/>
                <w:lang w:val="en-US" w:eastAsia="zh-CN" w:bidi="ar-SA"/>
              </w:rPr>
            </w:pPr>
            <w:r>
              <w:rPr>
                <w:rFonts w:hint="eastAsia"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.拟</w:t>
            </w:r>
            <w:r>
              <w:rPr>
                <w:rFonts w:hint="eastAsia" w:cs="宋体"/>
                <w:color w:val="auto"/>
                <w:kern w:val="2"/>
                <w:sz w:val="22"/>
                <w:szCs w:val="22"/>
                <w:highlight w:val="none"/>
                <w:lang w:val="en-US" w:eastAsia="zh-CN" w:bidi="ar-SA"/>
              </w:rPr>
              <w:t>派</w:t>
            </w:r>
            <w:r>
              <w:rPr>
                <w:rFonts w:hint="eastAsia" w:ascii="宋体" w:hAnsi="宋体" w:eastAsia="宋体" w:cs="宋体"/>
                <w:color w:val="auto"/>
                <w:kern w:val="2"/>
                <w:sz w:val="22"/>
                <w:szCs w:val="22"/>
                <w:highlight w:val="none"/>
                <w:lang w:val="en-US" w:eastAsia="zh-CN" w:bidi="ar-SA"/>
              </w:rPr>
              <w:t>本项目其他团队成员（项目负责人除外）近五年以来参建过单项合同金额</w:t>
            </w:r>
            <w:r>
              <w:rPr>
                <w:rFonts w:hint="eastAsia" w:cs="宋体"/>
                <w:color w:val="auto"/>
                <w:kern w:val="2"/>
                <w:sz w:val="22"/>
                <w:szCs w:val="22"/>
                <w:highlight w:val="none"/>
                <w:lang w:val="en-US" w:eastAsia="zh-CN" w:bidi="ar-SA"/>
              </w:rPr>
              <w:t>＜66</w:t>
            </w:r>
            <w:r>
              <w:rPr>
                <w:rFonts w:hint="eastAsia" w:ascii="宋体" w:hAnsi="宋体" w:eastAsia="宋体" w:cs="宋体"/>
                <w:color w:val="auto"/>
                <w:kern w:val="2"/>
                <w:sz w:val="22"/>
                <w:szCs w:val="22"/>
                <w:highlight w:val="none"/>
                <w:lang w:val="en-US" w:eastAsia="zh-CN" w:bidi="ar-SA"/>
              </w:rPr>
              <w:t>0万元的建筑物或构筑物泛光照明项目施工项目业绩，每项得</w:t>
            </w:r>
            <w:r>
              <w:rPr>
                <w:rFonts w:hint="eastAsia" w:cs="宋体"/>
                <w:color w:val="auto"/>
                <w:kern w:val="2"/>
                <w:sz w:val="22"/>
                <w:szCs w:val="22"/>
                <w:highlight w:val="none"/>
                <w:lang w:val="en-US" w:eastAsia="zh-CN" w:bidi="ar-SA"/>
              </w:rPr>
              <w:t>1</w:t>
            </w:r>
            <w:r>
              <w:rPr>
                <w:rFonts w:hint="eastAsia" w:ascii="宋体" w:hAnsi="宋体" w:eastAsia="宋体" w:cs="宋体"/>
                <w:color w:val="auto"/>
                <w:kern w:val="2"/>
                <w:sz w:val="22"/>
                <w:szCs w:val="22"/>
                <w:highlight w:val="none"/>
                <w:lang w:val="en-US" w:eastAsia="zh-CN" w:bidi="ar-SA"/>
              </w:rPr>
              <w:t>分，满分</w:t>
            </w:r>
            <w:r>
              <w:rPr>
                <w:rFonts w:hint="eastAsia"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分；</w:t>
            </w:r>
          </w:p>
          <w:p w14:paraId="55FE56BE">
            <w:pPr>
              <w:widowControl/>
              <w:numPr>
                <w:ilvl w:val="0"/>
                <w:numId w:val="0"/>
              </w:numPr>
              <w:snapToGrid w:val="0"/>
              <w:spacing w:line="400" w:lineRule="exact"/>
              <w:ind w:leftChars="100" w:firstLine="220" w:firstLineChars="100"/>
              <w:jc w:val="left"/>
              <w:rPr>
                <w:rFonts w:hint="eastAsia" w:cs="宋体"/>
                <w:color w:val="auto"/>
                <w:sz w:val="22"/>
                <w:szCs w:val="22"/>
                <w:highlight w:val="none"/>
                <w:lang w:val="en-US" w:eastAsia="zh-CN"/>
              </w:rPr>
            </w:pPr>
            <w:r>
              <w:rPr>
                <w:rFonts w:hint="eastAsia" w:cs="宋体"/>
                <w:color w:val="auto"/>
                <w:kern w:val="2"/>
                <w:sz w:val="22"/>
                <w:szCs w:val="22"/>
                <w:highlight w:val="none"/>
                <w:lang w:val="en-US" w:eastAsia="zh-CN" w:bidi="ar-SA"/>
              </w:rPr>
              <w:t>3</w:t>
            </w:r>
            <w:r>
              <w:rPr>
                <w:rFonts w:hint="eastAsia" w:ascii="宋体" w:hAnsi="宋体" w:eastAsia="宋体" w:cs="宋体"/>
                <w:color w:val="auto"/>
                <w:kern w:val="2"/>
                <w:sz w:val="22"/>
                <w:szCs w:val="22"/>
                <w:highlight w:val="none"/>
                <w:lang w:val="en-US" w:eastAsia="zh-CN" w:bidi="ar-SA"/>
              </w:rPr>
              <w:t>.拟</w:t>
            </w:r>
            <w:r>
              <w:rPr>
                <w:rFonts w:hint="eastAsia" w:cs="宋体"/>
                <w:color w:val="auto"/>
                <w:kern w:val="2"/>
                <w:sz w:val="22"/>
                <w:szCs w:val="22"/>
                <w:highlight w:val="none"/>
                <w:lang w:val="en-US" w:eastAsia="zh-CN" w:bidi="ar-SA"/>
              </w:rPr>
              <w:t>派</w:t>
            </w:r>
            <w:r>
              <w:rPr>
                <w:rFonts w:hint="eastAsia" w:ascii="宋体" w:hAnsi="宋体" w:eastAsia="宋体" w:cs="宋体"/>
                <w:color w:val="auto"/>
                <w:kern w:val="2"/>
                <w:sz w:val="22"/>
                <w:szCs w:val="22"/>
                <w:highlight w:val="none"/>
                <w:lang w:val="en-US" w:eastAsia="zh-CN" w:bidi="ar-SA"/>
              </w:rPr>
              <w:t>本项目其他团队成员</w:t>
            </w:r>
            <w:r>
              <w:rPr>
                <w:rFonts w:hint="default" w:asciiTheme="minorEastAsia" w:hAnsiTheme="minorEastAsia" w:eastAsiaTheme="minorEastAsia" w:cstheme="minorEastAsia"/>
                <w:color w:val="auto"/>
                <w:kern w:val="0"/>
                <w:sz w:val="22"/>
                <w:szCs w:val="22"/>
                <w:highlight w:val="none"/>
                <w:lang w:val="en-US" w:eastAsia="zh-CN"/>
              </w:rPr>
              <w:t>（项目负责</w:t>
            </w:r>
            <w:r>
              <w:rPr>
                <w:rFonts w:hint="eastAsia" w:asciiTheme="minorEastAsia" w:hAnsiTheme="minorEastAsia" w:eastAsiaTheme="minorEastAsia" w:cstheme="minorEastAsia"/>
                <w:color w:val="auto"/>
                <w:kern w:val="0"/>
                <w:sz w:val="22"/>
                <w:szCs w:val="22"/>
                <w:highlight w:val="none"/>
                <w:lang w:val="en-US" w:eastAsia="zh-CN"/>
              </w:rPr>
              <w:t>人除</w:t>
            </w:r>
            <w:r>
              <w:rPr>
                <w:rFonts w:hint="default" w:asciiTheme="minorEastAsia" w:hAnsiTheme="minorEastAsia" w:eastAsiaTheme="minorEastAsia" w:cstheme="minorEastAsia"/>
                <w:color w:val="auto"/>
                <w:kern w:val="0"/>
                <w:sz w:val="22"/>
                <w:szCs w:val="22"/>
                <w:highlight w:val="none"/>
                <w:lang w:val="en-US" w:eastAsia="zh-CN"/>
              </w:rPr>
              <w:t>外）</w:t>
            </w:r>
            <w:r>
              <w:rPr>
                <w:rFonts w:hint="eastAsia" w:cs="宋体"/>
                <w:color w:val="auto"/>
                <w:kern w:val="2"/>
                <w:sz w:val="22"/>
                <w:szCs w:val="22"/>
                <w:highlight w:val="none"/>
                <w:lang w:val="en-US" w:eastAsia="zh-CN" w:bidi="ar-SA"/>
              </w:rPr>
              <w:t>近五年以来参建过</w:t>
            </w:r>
            <w:r>
              <w:rPr>
                <w:rFonts w:hint="eastAsia" w:cs="宋体"/>
                <w:color w:val="auto"/>
                <w:sz w:val="22"/>
                <w:szCs w:val="22"/>
                <w:highlight w:val="none"/>
                <w:lang w:val="en-US" w:eastAsia="zh-CN"/>
              </w:rPr>
              <w:t>单项合同金额≥660万元的建筑物或构筑物泛光照明项目施工项目业绩，每项得2.5分，满分5分；</w:t>
            </w:r>
          </w:p>
          <w:p w14:paraId="6143AA32">
            <w:pPr>
              <w:widowControl/>
              <w:numPr>
                <w:ilvl w:val="0"/>
                <w:numId w:val="0"/>
              </w:numPr>
              <w:snapToGrid w:val="0"/>
              <w:spacing w:line="400" w:lineRule="exact"/>
              <w:ind w:leftChars="100" w:firstLine="220" w:firstLineChars="100"/>
              <w:jc w:val="left"/>
              <w:rPr>
                <w:rFonts w:hint="default" w:cs="宋体"/>
                <w:color w:val="auto"/>
                <w:sz w:val="22"/>
                <w:szCs w:val="22"/>
                <w:highlight w:val="none"/>
                <w:lang w:val="en-US" w:eastAsia="zh-CN"/>
              </w:rPr>
            </w:pPr>
            <w:r>
              <w:rPr>
                <w:rFonts w:hint="eastAsia" w:cs="宋体"/>
                <w:color w:val="auto"/>
                <w:sz w:val="22"/>
                <w:szCs w:val="22"/>
                <w:highlight w:val="none"/>
                <w:lang w:val="en-US" w:eastAsia="zh-CN"/>
              </w:rPr>
              <w:t>注：每人只计取一项业绩，最多计取两人的业绩。</w:t>
            </w:r>
          </w:p>
        </w:tc>
      </w:tr>
      <w:tr w14:paraId="1CD3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59" w:type="dxa"/>
            <w:noWrap w:val="0"/>
            <w:vAlign w:val="center"/>
          </w:tcPr>
          <w:p w14:paraId="2451DE1B">
            <w:pPr>
              <w:spacing w:line="400" w:lineRule="exac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综合技术服务方案（15分）</w:t>
            </w:r>
          </w:p>
        </w:tc>
        <w:tc>
          <w:tcPr>
            <w:tcW w:w="791" w:type="dxa"/>
            <w:noWrap w:val="0"/>
            <w:vAlign w:val="center"/>
          </w:tcPr>
          <w:p w14:paraId="29BE578B">
            <w:pPr>
              <w:spacing w:line="400" w:lineRule="exact"/>
              <w:jc w:val="center"/>
              <w:rPr>
                <w:rFonts w:hint="default" w:asciiTheme="minorEastAsia" w:hAnsiTheme="minorEastAsia" w:eastAsiaTheme="minorEastAsia" w:cstheme="minorEastAsia"/>
                <w:color w:val="auto"/>
                <w:sz w:val="22"/>
                <w:szCs w:val="22"/>
                <w:highlight w:val="none"/>
                <w:lang w:val="en-US" w:eastAsia="zh-CN"/>
              </w:rPr>
            </w:pPr>
            <w:r>
              <w:rPr>
                <w:rFonts w:hint="eastAsia" w:cs="宋体"/>
                <w:color w:val="auto"/>
                <w:sz w:val="22"/>
                <w:highlight w:val="none"/>
                <w:lang w:val="en-US" w:eastAsia="zh-CN" w:bidi="ar"/>
              </w:rPr>
              <w:t>15</w:t>
            </w:r>
          </w:p>
        </w:tc>
        <w:tc>
          <w:tcPr>
            <w:tcW w:w="11553" w:type="dxa"/>
            <w:gridSpan w:val="2"/>
            <w:noWrap w:val="0"/>
            <w:vAlign w:val="center"/>
          </w:tcPr>
          <w:p w14:paraId="5CDED786">
            <w:pPr>
              <w:widowControl/>
              <w:numPr>
                <w:ilvl w:val="0"/>
                <w:numId w:val="0"/>
              </w:numPr>
              <w:snapToGrid w:val="0"/>
              <w:spacing w:line="400" w:lineRule="exact"/>
              <w:ind w:leftChars="100" w:firstLine="220" w:firstLineChars="100"/>
              <w:jc w:val="left"/>
              <w:rPr>
                <w:rFonts w:hint="eastAsia" w:ascii="宋体" w:hAnsi="宋体" w:eastAsia="宋体" w:cs="宋体"/>
                <w:bCs w:val="0"/>
                <w:color w:val="auto"/>
                <w:sz w:val="22"/>
                <w:szCs w:val="22"/>
                <w:highlight w:val="none"/>
                <w:lang w:val="en-US" w:eastAsia="zh-CN"/>
              </w:rPr>
            </w:pPr>
            <w:r>
              <w:rPr>
                <w:rFonts w:hint="eastAsia" w:ascii="宋体" w:hAnsi="宋体" w:eastAsia="宋体" w:cs="宋体"/>
                <w:bCs w:val="0"/>
                <w:color w:val="auto"/>
                <w:sz w:val="22"/>
                <w:szCs w:val="22"/>
                <w:highlight w:val="none"/>
                <w:lang w:val="en-US" w:eastAsia="zh-CN"/>
              </w:rPr>
              <w:t>考察投标人提供的</w:t>
            </w:r>
            <w:r>
              <w:rPr>
                <w:rFonts w:hint="eastAsia" w:ascii="宋体" w:hAnsi="宋体" w:eastAsia="宋体" w:cs="宋体"/>
                <w:color w:val="auto"/>
                <w:sz w:val="22"/>
                <w:szCs w:val="22"/>
                <w:highlight w:val="none"/>
                <w:lang w:val="en-US" w:eastAsia="zh-CN"/>
              </w:rPr>
              <w:t>综合技术服务方案</w:t>
            </w:r>
            <w:r>
              <w:rPr>
                <w:rFonts w:hint="eastAsia" w:ascii="宋体" w:hAnsi="宋体" w:eastAsia="宋体" w:cs="宋体"/>
                <w:bCs w:val="0"/>
                <w:color w:val="auto"/>
                <w:sz w:val="22"/>
                <w:szCs w:val="22"/>
                <w:highlight w:val="none"/>
                <w:lang w:val="en-US" w:eastAsia="zh-CN"/>
              </w:rPr>
              <w:t>，结合评标委员会对各个投标人技术标书的分析的优点、存在缺陷或签订合同前应注意和澄清事项进行综合考虑及评估。</w:t>
            </w:r>
          </w:p>
          <w:p w14:paraId="573EA78F">
            <w:pPr>
              <w:widowControl/>
              <w:snapToGrid w:val="0"/>
              <w:spacing w:line="400" w:lineRule="exact"/>
              <w:jc w:val="left"/>
              <w:rPr>
                <w:rFonts w:hint="eastAsia" w:asciiTheme="minorEastAsia" w:hAnsiTheme="minorEastAsia" w:eastAsiaTheme="minorEastAsia" w:cstheme="minorEastAsia"/>
                <w:color w:val="auto"/>
                <w:sz w:val="22"/>
                <w:szCs w:val="22"/>
                <w:highlight w:val="none"/>
                <w:lang w:bidi="ar"/>
              </w:rPr>
            </w:pPr>
            <w:r>
              <w:rPr>
                <w:rFonts w:hint="eastAsia" w:ascii="宋体" w:hAnsi="宋体" w:eastAsia="宋体" w:cs="宋体"/>
                <w:color w:val="auto"/>
                <w:sz w:val="22"/>
                <w:szCs w:val="22"/>
                <w:highlight w:val="none"/>
                <w:u w:val="none"/>
                <w:lang w:bidi="ar"/>
              </w:rPr>
              <w:t>【优】</w:t>
            </w:r>
            <w:r>
              <w:rPr>
                <w:rFonts w:hint="eastAsia" w:ascii="宋体" w:hAnsi="宋体" w:eastAsia="宋体" w:cs="宋体"/>
                <w:b w:val="0"/>
                <w:bCs w:val="0"/>
                <w:color w:val="auto"/>
                <w:kern w:val="0"/>
                <w:sz w:val="22"/>
                <w:szCs w:val="22"/>
                <w:highlight w:val="none"/>
                <w:u w:val="none"/>
                <w:lang w:val="en-US" w:eastAsia="zh-CN" w:bidi="ar-SA"/>
              </w:rPr>
              <w:t>得</w:t>
            </w:r>
            <w:r>
              <w:rPr>
                <w:rFonts w:hint="eastAsia" w:ascii="宋体" w:hAnsi="宋体" w:eastAsia="宋体" w:cs="宋体"/>
                <w:color w:val="auto"/>
                <w:kern w:val="0"/>
                <w:sz w:val="22"/>
                <w:szCs w:val="22"/>
                <w:highlight w:val="none"/>
                <w:u w:val="none"/>
                <w:lang w:val="en-US" w:eastAsia="zh-CN" w:bidi="ar-SA"/>
              </w:rPr>
              <w:t>[15，10）</w:t>
            </w:r>
            <w:r>
              <w:rPr>
                <w:rFonts w:hint="eastAsia" w:ascii="宋体" w:hAnsi="宋体" w:eastAsia="宋体" w:cs="宋体"/>
                <w:b w:val="0"/>
                <w:bCs w:val="0"/>
                <w:color w:val="auto"/>
                <w:kern w:val="0"/>
                <w:sz w:val="22"/>
                <w:szCs w:val="22"/>
                <w:highlight w:val="none"/>
                <w:u w:val="none"/>
                <w:lang w:val="en-US" w:eastAsia="zh-CN" w:bidi="ar-SA"/>
              </w:rPr>
              <w:t>分，</w:t>
            </w:r>
            <w:r>
              <w:rPr>
                <w:rFonts w:hint="eastAsia" w:ascii="宋体" w:hAnsi="宋体" w:eastAsia="宋体" w:cs="宋体"/>
                <w:color w:val="auto"/>
                <w:sz w:val="22"/>
                <w:szCs w:val="22"/>
                <w:highlight w:val="none"/>
                <w:u w:val="none"/>
                <w:lang w:bidi="ar"/>
              </w:rPr>
              <w:t>【中】</w:t>
            </w:r>
            <w:r>
              <w:rPr>
                <w:rFonts w:hint="eastAsia" w:ascii="宋体" w:hAnsi="宋体" w:eastAsia="宋体" w:cs="宋体"/>
                <w:b w:val="0"/>
                <w:bCs w:val="0"/>
                <w:color w:val="auto"/>
                <w:kern w:val="0"/>
                <w:sz w:val="22"/>
                <w:szCs w:val="22"/>
                <w:highlight w:val="none"/>
                <w:u w:val="none"/>
                <w:lang w:val="en-US" w:eastAsia="zh-CN" w:bidi="ar-SA"/>
              </w:rPr>
              <w:t>得</w:t>
            </w:r>
            <w:r>
              <w:rPr>
                <w:rFonts w:hint="eastAsia" w:ascii="宋体" w:hAnsi="宋体" w:eastAsia="宋体" w:cs="宋体"/>
                <w:color w:val="auto"/>
                <w:kern w:val="0"/>
                <w:sz w:val="22"/>
                <w:szCs w:val="22"/>
                <w:highlight w:val="none"/>
                <w:u w:val="none"/>
                <w:lang w:val="en-US" w:eastAsia="zh-CN" w:bidi="ar-SA"/>
              </w:rPr>
              <w:t>[10，5）</w:t>
            </w:r>
            <w:r>
              <w:rPr>
                <w:rFonts w:hint="eastAsia" w:ascii="宋体" w:hAnsi="宋体" w:eastAsia="宋体" w:cs="宋体"/>
                <w:b w:val="0"/>
                <w:bCs w:val="0"/>
                <w:color w:val="auto"/>
                <w:kern w:val="0"/>
                <w:sz w:val="22"/>
                <w:szCs w:val="22"/>
                <w:highlight w:val="none"/>
                <w:u w:val="none"/>
                <w:lang w:val="en-US" w:eastAsia="zh-CN" w:bidi="ar-SA"/>
              </w:rPr>
              <w:t>分，</w:t>
            </w:r>
            <w:r>
              <w:rPr>
                <w:rFonts w:hint="eastAsia" w:ascii="宋体" w:hAnsi="宋体" w:eastAsia="宋体" w:cs="宋体"/>
                <w:color w:val="auto"/>
                <w:sz w:val="22"/>
                <w:szCs w:val="22"/>
                <w:highlight w:val="none"/>
                <w:u w:val="none"/>
                <w:lang w:bidi="ar"/>
              </w:rPr>
              <w:t>【差】</w:t>
            </w:r>
            <w:r>
              <w:rPr>
                <w:rFonts w:hint="eastAsia" w:ascii="宋体" w:hAnsi="宋体" w:eastAsia="宋体" w:cs="宋体"/>
                <w:b w:val="0"/>
                <w:bCs w:val="0"/>
                <w:color w:val="auto"/>
                <w:kern w:val="0"/>
                <w:sz w:val="22"/>
                <w:szCs w:val="22"/>
                <w:highlight w:val="none"/>
                <w:u w:val="none"/>
                <w:lang w:val="en-US" w:eastAsia="zh-CN" w:bidi="ar-SA"/>
              </w:rPr>
              <w:t>得</w:t>
            </w:r>
            <w:r>
              <w:rPr>
                <w:rFonts w:hint="eastAsia" w:ascii="宋体" w:hAnsi="宋体" w:eastAsia="宋体" w:cs="宋体"/>
                <w:color w:val="auto"/>
                <w:kern w:val="0"/>
                <w:sz w:val="22"/>
                <w:szCs w:val="22"/>
                <w:highlight w:val="none"/>
                <w:u w:val="none"/>
                <w:lang w:val="en-US" w:eastAsia="zh-CN" w:bidi="ar-SA"/>
              </w:rPr>
              <w:t>[5，0]</w:t>
            </w:r>
            <w:r>
              <w:rPr>
                <w:rFonts w:hint="eastAsia" w:ascii="宋体" w:hAnsi="宋体" w:eastAsia="宋体" w:cs="宋体"/>
                <w:b w:val="0"/>
                <w:bCs w:val="0"/>
                <w:color w:val="auto"/>
                <w:kern w:val="0"/>
                <w:sz w:val="22"/>
                <w:szCs w:val="22"/>
                <w:highlight w:val="none"/>
                <w:u w:val="none"/>
                <w:lang w:val="en-US" w:eastAsia="zh-CN" w:bidi="ar-SA"/>
              </w:rPr>
              <w:t>分。</w:t>
            </w:r>
          </w:p>
        </w:tc>
      </w:tr>
      <w:tr w14:paraId="1A2D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59" w:type="dxa"/>
            <w:shd w:val="clear" w:color="auto" w:fill="auto"/>
            <w:noWrap w:val="0"/>
            <w:vAlign w:val="center"/>
          </w:tcPr>
          <w:p w14:paraId="4EF6A0D7">
            <w:pPr>
              <w:spacing w:line="400" w:lineRule="exact"/>
              <w:jc w:val="center"/>
              <w:rPr>
                <w:rFonts w:hint="eastAsia" w:ascii="宋体" w:hAnsi="宋体" w:eastAsia="宋体" w:cs="宋体"/>
                <w:color w:val="auto"/>
                <w:kern w:val="2"/>
                <w:sz w:val="22"/>
                <w:szCs w:val="22"/>
                <w:highlight w:val="none"/>
                <w:lang w:val="en-US" w:eastAsia="zh-CN" w:bidi="ar-SA"/>
              </w:rPr>
            </w:pPr>
            <w:r>
              <w:rPr>
                <w:rFonts w:hint="eastAsia" w:cs="宋体"/>
                <w:color w:val="auto"/>
                <w:sz w:val="22"/>
                <w:highlight w:val="none"/>
              </w:rPr>
              <w:t>项目负责人</w:t>
            </w:r>
            <w:r>
              <w:rPr>
                <w:rFonts w:hint="eastAsia" w:cs="宋体"/>
                <w:color w:val="auto"/>
                <w:sz w:val="22"/>
                <w:highlight w:val="none"/>
                <w:lang w:val="en-US" w:eastAsia="zh-CN"/>
              </w:rPr>
              <w:t>答辩</w:t>
            </w:r>
          </w:p>
        </w:tc>
        <w:tc>
          <w:tcPr>
            <w:tcW w:w="791" w:type="dxa"/>
            <w:shd w:val="clear" w:color="auto" w:fill="auto"/>
            <w:noWrap w:val="0"/>
            <w:vAlign w:val="center"/>
          </w:tcPr>
          <w:p w14:paraId="25F129AE">
            <w:pPr>
              <w:spacing w:line="400" w:lineRule="exact"/>
              <w:jc w:val="center"/>
              <w:rPr>
                <w:rFonts w:hint="default" w:ascii="宋体" w:hAnsi="宋体" w:eastAsia="宋体" w:cs="宋体"/>
                <w:color w:val="auto"/>
                <w:kern w:val="2"/>
                <w:sz w:val="22"/>
                <w:szCs w:val="22"/>
                <w:highlight w:val="none"/>
                <w:lang w:val="en-US" w:eastAsia="zh-CN" w:bidi="ar-SA"/>
              </w:rPr>
            </w:pPr>
            <w:r>
              <w:rPr>
                <w:rFonts w:hint="eastAsia" w:cs="宋体"/>
                <w:color w:val="auto"/>
                <w:sz w:val="22"/>
                <w:highlight w:val="none"/>
                <w:lang w:val="en-US" w:eastAsia="zh-CN"/>
              </w:rPr>
              <w:t>25</w:t>
            </w:r>
          </w:p>
        </w:tc>
        <w:tc>
          <w:tcPr>
            <w:tcW w:w="11553" w:type="dxa"/>
            <w:gridSpan w:val="2"/>
            <w:shd w:val="clear" w:color="auto" w:fill="auto"/>
            <w:noWrap w:val="0"/>
            <w:vAlign w:val="center"/>
          </w:tcPr>
          <w:p w14:paraId="46A2A43D">
            <w:pPr>
              <w:widowControl/>
              <w:jc w:val="left"/>
              <w:rPr>
                <w:rFonts w:hAnsi="Calibri" w:cs="宋体"/>
                <w:color w:val="auto"/>
                <w:kern w:val="0"/>
                <w:sz w:val="22"/>
                <w:highlight w:val="none"/>
              </w:rPr>
            </w:pPr>
            <w:r>
              <w:rPr>
                <w:rFonts w:hint="eastAsia" w:hAnsi="Calibri" w:cs="宋体"/>
                <w:color w:val="auto"/>
                <w:kern w:val="0"/>
                <w:sz w:val="22"/>
                <w:highlight w:val="none"/>
              </w:rPr>
              <w:t>1、</w:t>
            </w:r>
            <w:r>
              <w:rPr>
                <w:rFonts w:hint="eastAsia" w:hAnsi="Calibri" w:cs="宋体"/>
                <w:color w:val="auto"/>
                <w:kern w:val="0"/>
                <w:sz w:val="22"/>
                <w:highlight w:val="none"/>
                <w:lang w:val="en-US" w:eastAsia="zh-CN"/>
              </w:rPr>
              <w:t>项目负责人</w:t>
            </w:r>
            <w:r>
              <w:rPr>
                <w:rFonts w:hint="eastAsia" w:hAnsi="Calibri" w:cs="宋体"/>
                <w:color w:val="auto"/>
                <w:kern w:val="0"/>
                <w:sz w:val="22"/>
                <w:highlight w:val="none"/>
              </w:rPr>
              <w:t>陈述（包括但不限于以下）：</w:t>
            </w:r>
          </w:p>
          <w:p w14:paraId="2758E963">
            <w:pPr>
              <w:widowControl/>
              <w:jc w:val="left"/>
              <w:rPr>
                <w:rFonts w:hint="eastAsia" w:hAnsi="Calibri" w:cs="宋体"/>
                <w:color w:val="auto"/>
                <w:kern w:val="0"/>
                <w:sz w:val="22"/>
                <w:highlight w:val="none"/>
              </w:rPr>
            </w:pPr>
            <w:r>
              <w:rPr>
                <w:rFonts w:hint="eastAsia" w:hAnsi="Calibri" w:cs="宋体"/>
                <w:color w:val="auto"/>
                <w:kern w:val="0"/>
                <w:sz w:val="22"/>
                <w:highlight w:val="none"/>
              </w:rPr>
              <w:t>（1）介绍</w:t>
            </w:r>
            <w:r>
              <w:rPr>
                <w:rFonts w:hint="eastAsia" w:hAnsi="Calibri" w:cs="宋体"/>
                <w:color w:val="auto"/>
                <w:kern w:val="0"/>
                <w:sz w:val="22"/>
                <w:highlight w:val="none"/>
                <w:lang w:eastAsia="zh-CN"/>
              </w:rPr>
              <w:t>项目管理机构</w:t>
            </w:r>
            <w:r>
              <w:rPr>
                <w:rFonts w:hint="eastAsia" w:hAnsi="Calibri" w:cs="宋体"/>
                <w:color w:val="auto"/>
                <w:kern w:val="0"/>
                <w:sz w:val="22"/>
                <w:highlight w:val="none"/>
              </w:rPr>
              <w:t>情况；</w:t>
            </w:r>
          </w:p>
          <w:p w14:paraId="587514A9">
            <w:pPr>
              <w:widowControl/>
              <w:jc w:val="left"/>
              <w:rPr>
                <w:rFonts w:hint="eastAsia" w:hAnsi="Calibri" w:cs="宋体"/>
                <w:color w:val="auto"/>
                <w:kern w:val="0"/>
                <w:sz w:val="22"/>
                <w:highlight w:val="none"/>
              </w:rPr>
            </w:pPr>
            <w:r>
              <w:rPr>
                <w:rFonts w:hint="eastAsia" w:hAnsi="Calibri" w:cs="宋体"/>
                <w:color w:val="auto"/>
                <w:kern w:val="0"/>
                <w:sz w:val="22"/>
                <w:highlight w:val="none"/>
              </w:rPr>
              <w:t>（2）对参与投标项目的了解情况；</w:t>
            </w:r>
          </w:p>
          <w:p w14:paraId="1BD024B0">
            <w:pPr>
              <w:widowControl/>
              <w:jc w:val="left"/>
              <w:rPr>
                <w:rFonts w:hAnsi="Calibri" w:cs="宋体"/>
                <w:color w:val="auto"/>
                <w:kern w:val="0"/>
                <w:sz w:val="22"/>
                <w:highlight w:val="none"/>
              </w:rPr>
            </w:pPr>
            <w:r>
              <w:rPr>
                <w:rFonts w:hint="eastAsia" w:hAnsi="Calibri" w:cs="宋体"/>
                <w:color w:val="auto"/>
                <w:kern w:val="0"/>
                <w:sz w:val="22"/>
                <w:highlight w:val="none"/>
              </w:rPr>
              <w:t>（3）施工组织方案要点、危大工程安全防范措施；</w:t>
            </w:r>
          </w:p>
          <w:p w14:paraId="2238258A">
            <w:pPr>
              <w:widowControl/>
              <w:jc w:val="left"/>
              <w:rPr>
                <w:rFonts w:hint="eastAsia" w:hAnsi="Calibri" w:cs="宋体"/>
                <w:color w:val="auto"/>
                <w:kern w:val="0"/>
                <w:sz w:val="22"/>
                <w:highlight w:val="none"/>
              </w:rPr>
            </w:pPr>
            <w:r>
              <w:rPr>
                <w:rFonts w:hint="eastAsia" w:hAnsi="Calibri" w:cs="宋体"/>
                <w:color w:val="auto"/>
                <w:kern w:val="0"/>
                <w:sz w:val="22"/>
                <w:highlight w:val="none"/>
              </w:rPr>
              <w:t>（4）项目施工组织的重点、难点分析及应对措施；</w:t>
            </w:r>
          </w:p>
          <w:p w14:paraId="0ACD682E">
            <w:pPr>
              <w:widowControl/>
              <w:jc w:val="left"/>
              <w:rPr>
                <w:rFonts w:hint="eastAsia" w:hAnsi="Calibri" w:cs="宋体"/>
                <w:color w:val="auto"/>
                <w:kern w:val="0"/>
                <w:sz w:val="22"/>
                <w:highlight w:val="none"/>
              </w:rPr>
            </w:pPr>
            <w:r>
              <w:rPr>
                <w:rFonts w:hint="eastAsia" w:hAnsi="Calibri" w:cs="宋体"/>
                <w:color w:val="auto"/>
                <w:kern w:val="0"/>
                <w:sz w:val="22"/>
                <w:highlight w:val="none"/>
              </w:rPr>
              <w:t>（5）人员、设备投入计划。</w:t>
            </w:r>
          </w:p>
          <w:p w14:paraId="02CBD822">
            <w:pPr>
              <w:widowControl/>
              <w:jc w:val="left"/>
              <w:rPr>
                <w:rFonts w:hAnsi="Calibri" w:cs="宋体"/>
                <w:color w:val="auto"/>
                <w:kern w:val="0"/>
                <w:sz w:val="22"/>
                <w:highlight w:val="none"/>
              </w:rPr>
            </w:pPr>
            <w:r>
              <w:rPr>
                <w:rFonts w:hint="eastAsia" w:hAnsi="Calibri" w:cs="宋体"/>
                <w:color w:val="auto"/>
                <w:kern w:val="0"/>
                <w:sz w:val="22"/>
                <w:highlight w:val="none"/>
              </w:rPr>
              <w:t>2、评委针对其陈述内容及方案所提的相关问题</w:t>
            </w:r>
          </w:p>
          <w:p w14:paraId="709CED4D">
            <w:pPr>
              <w:widowControl/>
              <w:jc w:val="left"/>
              <w:rPr>
                <w:rFonts w:hAnsi="Calibri" w:cs="宋体"/>
                <w:color w:val="auto"/>
                <w:kern w:val="0"/>
                <w:sz w:val="22"/>
                <w:highlight w:val="none"/>
                <w:u w:val="none"/>
              </w:rPr>
            </w:pPr>
            <w:r>
              <w:rPr>
                <w:rFonts w:hint="eastAsia" w:hAnsi="Calibri" w:cs="宋体"/>
                <w:color w:val="auto"/>
                <w:kern w:val="0"/>
                <w:sz w:val="22"/>
                <w:highlight w:val="none"/>
              </w:rPr>
              <w:t>优：【</w:t>
            </w:r>
            <w:r>
              <w:rPr>
                <w:rFonts w:hAnsi="Calibri" w:cs="宋体"/>
                <w:color w:val="auto"/>
                <w:kern w:val="0"/>
                <w:sz w:val="22"/>
                <w:highlight w:val="none"/>
              </w:rPr>
              <w:t>2</w:t>
            </w:r>
            <w:r>
              <w:rPr>
                <w:rFonts w:hint="eastAsia" w:hAnsi="Calibri" w:cs="宋体"/>
                <w:color w:val="auto"/>
                <w:kern w:val="0"/>
                <w:sz w:val="22"/>
                <w:highlight w:val="none"/>
                <w:lang w:val="en-US" w:eastAsia="zh-CN"/>
              </w:rPr>
              <w:t>5</w:t>
            </w:r>
            <w:r>
              <w:rPr>
                <w:rFonts w:hint="eastAsia" w:hAnsi="Calibri" w:cs="宋体"/>
                <w:color w:val="auto"/>
                <w:kern w:val="0"/>
                <w:sz w:val="22"/>
                <w:highlight w:val="none"/>
              </w:rPr>
              <w:t>，</w:t>
            </w:r>
            <w:r>
              <w:rPr>
                <w:rFonts w:hint="eastAsia" w:hAnsi="Calibri" w:cs="宋体"/>
                <w:color w:val="auto"/>
                <w:kern w:val="0"/>
                <w:sz w:val="22"/>
                <w:highlight w:val="none"/>
                <w:lang w:val="en-US" w:eastAsia="zh-CN"/>
              </w:rPr>
              <w:t>15</w:t>
            </w:r>
            <w:r>
              <w:rPr>
                <w:rFonts w:hint="eastAsia" w:hAnsi="Calibri" w:cs="宋体"/>
                <w:color w:val="auto"/>
                <w:kern w:val="0"/>
                <w:sz w:val="22"/>
                <w:highlight w:val="none"/>
              </w:rPr>
              <w:t>）</w:t>
            </w:r>
            <w:r>
              <w:rPr>
                <w:rFonts w:hAnsi="Calibri" w:cs="宋体"/>
                <w:color w:val="auto"/>
                <w:kern w:val="0"/>
                <w:sz w:val="22"/>
                <w:highlight w:val="none"/>
                <w:u w:val="none"/>
              </w:rPr>
              <w:t>分，</w:t>
            </w:r>
            <w:r>
              <w:rPr>
                <w:rFonts w:hint="eastAsia" w:hAnsi="Calibri" w:cs="宋体"/>
                <w:color w:val="auto"/>
                <w:kern w:val="0"/>
                <w:sz w:val="22"/>
                <w:highlight w:val="none"/>
                <w:u w:val="none"/>
                <w:lang w:eastAsia="zh-CN"/>
              </w:rPr>
              <w:t>项目管理机构</w:t>
            </w:r>
            <w:r>
              <w:rPr>
                <w:rFonts w:hint="eastAsia" w:hAnsi="Calibri" w:cs="宋体"/>
                <w:color w:val="auto"/>
                <w:kern w:val="0"/>
                <w:sz w:val="22"/>
                <w:highlight w:val="none"/>
                <w:u w:val="none"/>
              </w:rPr>
              <w:t>掌握项目情况，对施工组织方案认识清晰，对施工的重点、难点认识深刻，危大工程安全防范措施、</w:t>
            </w:r>
            <w:r>
              <w:rPr>
                <w:rFonts w:hint="eastAsia" w:cs="宋体"/>
                <w:color w:val="auto"/>
                <w:sz w:val="22"/>
                <w:highlight w:val="none"/>
                <w:u w:val="none"/>
              </w:rPr>
              <w:t>关键节点工期</w:t>
            </w:r>
            <w:r>
              <w:rPr>
                <w:rFonts w:hint="eastAsia" w:hAnsi="Calibri" w:cs="宋体"/>
                <w:color w:val="auto"/>
                <w:kern w:val="0"/>
                <w:sz w:val="22"/>
                <w:highlight w:val="none"/>
                <w:u w:val="none"/>
              </w:rPr>
              <w:t>及其他应对措施合理可行，人员、设备投入计划对工程进度有保障，对设计工作的配合方案合理可行，施工组织方案对工程质量、工期的保证合理可行；回答评委提问思路清晰、内容准确。</w:t>
            </w:r>
          </w:p>
          <w:p w14:paraId="0BA20CDA">
            <w:pPr>
              <w:widowControl/>
              <w:jc w:val="left"/>
              <w:rPr>
                <w:rFonts w:hAnsi="Calibri" w:cs="宋体"/>
                <w:color w:val="auto"/>
                <w:kern w:val="0"/>
                <w:sz w:val="22"/>
                <w:highlight w:val="none"/>
                <w:u w:val="none"/>
              </w:rPr>
            </w:pPr>
            <w:r>
              <w:rPr>
                <w:rFonts w:hint="eastAsia" w:hAnsi="Calibri" w:cs="宋体"/>
                <w:color w:val="auto"/>
                <w:kern w:val="0"/>
                <w:sz w:val="22"/>
                <w:highlight w:val="none"/>
                <w:u w:val="none"/>
              </w:rPr>
              <w:t>中：【</w:t>
            </w:r>
            <w:r>
              <w:rPr>
                <w:rFonts w:hint="eastAsia" w:hAnsi="Calibri" w:cs="宋体"/>
                <w:color w:val="auto"/>
                <w:kern w:val="0"/>
                <w:sz w:val="22"/>
                <w:highlight w:val="none"/>
                <w:u w:val="none"/>
                <w:lang w:val="en-US" w:eastAsia="zh-CN"/>
              </w:rPr>
              <w:t>15</w:t>
            </w:r>
            <w:r>
              <w:rPr>
                <w:rFonts w:hint="eastAsia" w:hAnsi="Calibri" w:cs="宋体"/>
                <w:color w:val="auto"/>
                <w:kern w:val="0"/>
                <w:sz w:val="22"/>
                <w:highlight w:val="none"/>
                <w:u w:val="none"/>
              </w:rPr>
              <w:t>,</w:t>
            </w:r>
            <w:r>
              <w:rPr>
                <w:rFonts w:hint="eastAsia" w:hAnsi="Calibri" w:cs="宋体"/>
                <w:color w:val="auto"/>
                <w:kern w:val="0"/>
                <w:sz w:val="22"/>
                <w:highlight w:val="none"/>
                <w:u w:val="none"/>
                <w:lang w:val="en-US" w:eastAsia="zh-CN"/>
              </w:rPr>
              <w:t>5</w:t>
            </w:r>
            <w:r>
              <w:rPr>
                <w:rFonts w:hint="eastAsia" w:hAnsi="Calibri" w:cs="宋体"/>
                <w:color w:val="auto"/>
                <w:kern w:val="0"/>
                <w:sz w:val="22"/>
                <w:highlight w:val="none"/>
                <w:u w:val="none"/>
              </w:rPr>
              <w:t>）</w:t>
            </w:r>
            <w:r>
              <w:rPr>
                <w:rFonts w:hAnsi="Calibri" w:cs="宋体"/>
                <w:color w:val="auto"/>
                <w:kern w:val="0"/>
                <w:sz w:val="22"/>
                <w:highlight w:val="none"/>
                <w:u w:val="none"/>
              </w:rPr>
              <w:t>分，</w:t>
            </w:r>
            <w:r>
              <w:rPr>
                <w:rFonts w:hint="eastAsia" w:hAnsi="Calibri" w:cs="宋体"/>
                <w:color w:val="auto"/>
                <w:kern w:val="0"/>
                <w:sz w:val="22"/>
                <w:highlight w:val="none"/>
                <w:u w:val="none"/>
                <w:lang w:eastAsia="zh-CN"/>
              </w:rPr>
              <w:t>项目管理机构</w:t>
            </w:r>
            <w:r>
              <w:rPr>
                <w:rFonts w:hint="eastAsia" w:hAnsi="Calibri" w:cs="宋体"/>
                <w:color w:val="auto"/>
                <w:kern w:val="0"/>
                <w:sz w:val="22"/>
                <w:highlight w:val="none"/>
                <w:u w:val="none"/>
              </w:rPr>
              <w:t>了解项目基本情况，对施工组织方案、施工的重难点认识有基本认知，危大工程安全防范措施、</w:t>
            </w:r>
            <w:r>
              <w:rPr>
                <w:rFonts w:hint="eastAsia" w:cs="宋体"/>
                <w:color w:val="auto"/>
                <w:sz w:val="22"/>
                <w:highlight w:val="none"/>
                <w:u w:val="none"/>
              </w:rPr>
              <w:t>关键节点工期</w:t>
            </w:r>
            <w:r>
              <w:rPr>
                <w:rFonts w:hint="eastAsia" w:hAnsi="Calibri" w:cs="宋体"/>
                <w:color w:val="auto"/>
                <w:kern w:val="0"/>
                <w:sz w:val="22"/>
                <w:highlight w:val="none"/>
                <w:u w:val="none"/>
              </w:rPr>
              <w:t>及其他应对措施基本合理，人员、设备投入计划对工程进度基本有保障，对设计工作的配合方案基本可行，施工组织方案对工程质量、工期的保证基本合理可行；回答评委提问有基本清晰的思路、内容相关。</w:t>
            </w:r>
          </w:p>
          <w:p w14:paraId="3BB03252">
            <w:pPr>
              <w:rPr>
                <w:rFonts w:cs="宋体"/>
                <w:color w:val="auto"/>
                <w:kern w:val="0"/>
                <w:sz w:val="22"/>
                <w:highlight w:val="none"/>
                <w:lang w:bidi="ar"/>
              </w:rPr>
            </w:pPr>
            <w:r>
              <w:rPr>
                <w:rFonts w:hint="eastAsia" w:hAnsi="Calibri" w:cs="宋体"/>
                <w:color w:val="auto"/>
                <w:kern w:val="0"/>
                <w:sz w:val="22"/>
                <w:highlight w:val="none"/>
                <w:u w:val="none"/>
              </w:rPr>
              <w:t>差：【</w:t>
            </w:r>
            <w:r>
              <w:rPr>
                <w:rFonts w:hint="eastAsia" w:hAnsi="Calibri" w:cs="宋体"/>
                <w:color w:val="auto"/>
                <w:kern w:val="0"/>
                <w:sz w:val="22"/>
                <w:highlight w:val="none"/>
                <w:u w:val="none"/>
                <w:lang w:val="en-US" w:eastAsia="zh-CN"/>
              </w:rPr>
              <w:t>5</w:t>
            </w:r>
            <w:r>
              <w:rPr>
                <w:rFonts w:hint="eastAsia" w:hAnsi="Calibri" w:cs="宋体"/>
                <w:color w:val="auto"/>
                <w:kern w:val="0"/>
                <w:sz w:val="22"/>
                <w:highlight w:val="none"/>
                <w:u w:val="none"/>
              </w:rPr>
              <w:t>,</w:t>
            </w:r>
            <w:r>
              <w:rPr>
                <w:rFonts w:hint="eastAsia" w:hAnsi="Calibri" w:cs="宋体"/>
                <w:color w:val="auto"/>
                <w:kern w:val="0"/>
                <w:sz w:val="22"/>
                <w:highlight w:val="none"/>
                <w:lang w:val="en-US" w:eastAsia="zh-CN"/>
              </w:rPr>
              <w:t>0</w:t>
            </w:r>
            <w:r>
              <w:rPr>
                <w:rFonts w:hint="eastAsia" w:cs="宋体"/>
                <w:color w:val="auto"/>
                <w:sz w:val="22"/>
                <w:highlight w:val="none"/>
              </w:rPr>
              <w:t>】</w:t>
            </w:r>
            <w:r>
              <w:rPr>
                <w:rFonts w:hAnsi="Calibri" w:cs="宋体"/>
                <w:color w:val="auto"/>
                <w:kern w:val="0"/>
                <w:sz w:val="22"/>
                <w:highlight w:val="none"/>
                <w:u w:val="none"/>
              </w:rPr>
              <w:t>分，</w:t>
            </w:r>
            <w:r>
              <w:rPr>
                <w:rFonts w:hint="eastAsia" w:hAnsi="Calibri" w:cs="宋体"/>
                <w:color w:val="auto"/>
                <w:kern w:val="0"/>
                <w:sz w:val="22"/>
                <w:highlight w:val="none"/>
                <w:u w:val="none"/>
                <w:lang w:eastAsia="zh-CN"/>
              </w:rPr>
              <w:t>项目管理机构</w:t>
            </w:r>
            <w:r>
              <w:rPr>
                <w:rFonts w:hint="eastAsia" w:hAnsi="Calibri" w:cs="宋体"/>
                <w:color w:val="auto"/>
                <w:kern w:val="0"/>
                <w:sz w:val="22"/>
                <w:highlight w:val="none"/>
                <w:u w:val="none"/>
              </w:rPr>
              <w:t>不了解项目情况；或对施工组织方案认识一般；或未能把握施工的重点、难点；</w:t>
            </w:r>
            <w:r>
              <w:rPr>
                <w:rFonts w:hint="eastAsia" w:cs="宋体"/>
                <w:color w:val="auto"/>
                <w:kern w:val="0"/>
                <w:sz w:val="22"/>
                <w:highlight w:val="none"/>
                <w:u w:val="none"/>
                <w:lang w:bidi="ar"/>
              </w:rPr>
              <w:t>或危大工程安全防范措施、</w:t>
            </w:r>
            <w:r>
              <w:rPr>
                <w:rFonts w:hint="eastAsia" w:cs="宋体"/>
                <w:color w:val="auto"/>
                <w:sz w:val="22"/>
                <w:highlight w:val="none"/>
                <w:u w:val="none"/>
              </w:rPr>
              <w:t>关键节点工期</w:t>
            </w:r>
            <w:r>
              <w:rPr>
                <w:rFonts w:hint="eastAsia" w:cs="宋体"/>
                <w:color w:val="auto"/>
                <w:kern w:val="0"/>
                <w:sz w:val="22"/>
                <w:highlight w:val="none"/>
                <w:u w:val="none"/>
                <w:lang w:bidi="ar"/>
              </w:rPr>
              <w:t>及其</w:t>
            </w:r>
            <w:r>
              <w:rPr>
                <w:rFonts w:hint="eastAsia" w:cs="宋体"/>
                <w:color w:val="auto"/>
                <w:kern w:val="0"/>
                <w:sz w:val="22"/>
                <w:highlight w:val="none"/>
                <w:lang w:bidi="ar"/>
              </w:rPr>
              <w:t>他应对措施欠合理；或人员、设备投入计划对工程进度保障差；或对设计工作的配合方案可行性较差，施工组织方案对工程质量、工期的保证可行性较差；或回答评委提问思路不清晰、答非所问。</w:t>
            </w:r>
          </w:p>
          <w:p w14:paraId="16CF714F">
            <w:pPr>
              <w:widowControl/>
              <w:snapToGrid w:val="0"/>
              <w:spacing w:line="400" w:lineRule="exact"/>
              <w:jc w:val="left"/>
              <w:rPr>
                <w:rFonts w:hint="eastAsia"/>
                <w:color w:val="auto"/>
                <w:highlight w:val="none"/>
                <w:lang w:bidi="ar"/>
              </w:rPr>
            </w:pPr>
            <w:r>
              <w:rPr>
                <w:rFonts w:hint="eastAsia" w:cs="宋体"/>
                <w:color w:val="auto"/>
                <w:sz w:val="22"/>
                <w:highlight w:val="none"/>
              </w:rPr>
              <w:t>未参与答辩不得分。</w:t>
            </w:r>
          </w:p>
          <w:p w14:paraId="6D3B4285">
            <w:pPr>
              <w:widowControl/>
              <w:snapToGrid w:val="0"/>
              <w:spacing w:line="400" w:lineRule="exact"/>
              <w:jc w:val="left"/>
              <w:rPr>
                <w:rFonts w:hint="eastAsia" w:ascii="宋体" w:hAnsi="宋体" w:eastAsia="宋体" w:cs="宋体"/>
                <w:color w:val="auto"/>
                <w:kern w:val="2"/>
                <w:sz w:val="22"/>
                <w:szCs w:val="22"/>
                <w:highlight w:val="none"/>
                <w:lang w:val="en-US" w:eastAsia="zh-CN" w:bidi="ar"/>
              </w:rPr>
            </w:pPr>
            <w:r>
              <w:rPr>
                <w:rFonts w:hint="eastAsia" w:cs="宋体"/>
                <w:color w:val="auto"/>
                <w:sz w:val="22"/>
                <w:highlight w:val="none"/>
                <w:lang w:bidi="ar"/>
              </w:rPr>
              <w:t>3.答辩人员可结合辅助材料（PPT演示文稿形式、word文件形式、excel文件形式、pdf文件形式）进行答辩（仅可选取其中一种形式）。辅助材料请使用U盘存储，答辩时由答辩人员自行携带进行答辩，答辩结束时现场交招标代理进行存档。</w:t>
            </w:r>
            <w:r>
              <w:rPr>
                <w:rFonts w:hint="eastAsia" w:ascii="宋体" w:hAnsi="宋体" w:eastAsia="宋体" w:cs="宋体"/>
                <w:b/>
                <w:bCs/>
                <w:color w:val="auto"/>
                <w:kern w:val="0"/>
                <w:sz w:val="21"/>
                <w:szCs w:val="21"/>
                <w:highlight w:val="none"/>
                <w:u w:val="none"/>
                <w:lang w:val="en-US" w:eastAsia="zh-CN" w:bidi="ar-SA"/>
              </w:rPr>
              <w:t>答辩辅助材料的内容与定标文件中的内容不一致，以定标文件内容为准。</w:t>
            </w:r>
          </w:p>
        </w:tc>
      </w:tr>
      <w:tr w14:paraId="1B74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9" w:type="dxa"/>
            <w:noWrap w:val="0"/>
            <w:vAlign w:val="center"/>
          </w:tcPr>
          <w:p w14:paraId="17DE9922">
            <w:pPr>
              <w:spacing w:line="400" w:lineRule="exact"/>
              <w:jc w:val="center"/>
              <w:rPr>
                <w:rFonts w:hint="default" w:eastAsia="宋体" w:cs="宋体"/>
                <w:color w:val="auto"/>
                <w:sz w:val="22"/>
                <w:highlight w:val="none"/>
                <w:lang w:val="en-US" w:eastAsia="zh-CN"/>
              </w:rPr>
            </w:pPr>
            <w:r>
              <w:rPr>
                <w:rFonts w:hint="eastAsia" w:ascii="宋体" w:hAnsi="宋体" w:eastAsia="宋体" w:cs="宋体"/>
                <w:color w:val="auto"/>
                <w:szCs w:val="21"/>
                <w:highlight w:val="none"/>
                <w:u w:val="none"/>
                <w:lang w:val="en-US" w:eastAsia="zh-CN" w:bidi="ar"/>
              </w:rPr>
              <w:t>价格因素</w:t>
            </w:r>
          </w:p>
        </w:tc>
        <w:tc>
          <w:tcPr>
            <w:tcW w:w="796" w:type="dxa"/>
            <w:gridSpan w:val="2"/>
            <w:noWrap w:val="0"/>
            <w:vAlign w:val="center"/>
          </w:tcPr>
          <w:p w14:paraId="5E75832B">
            <w:pPr>
              <w:spacing w:line="400" w:lineRule="exact"/>
              <w:rPr>
                <w:rFonts w:cs="宋体"/>
                <w:color w:val="auto"/>
                <w:sz w:val="22"/>
                <w:highlight w:val="none"/>
              </w:rPr>
            </w:pPr>
            <w:r>
              <w:rPr>
                <w:rFonts w:hint="eastAsia" w:ascii="宋体" w:hAnsi="宋体" w:eastAsia="宋体" w:cs="宋体"/>
                <w:color w:val="auto"/>
                <w:szCs w:val="21"/>
                <w:highlight w:val="none"/>
                <w:u w:val="none"/>
                <w:lang w:val="en-US" w:eastAsia="zh-CN" w:bidi="ar"/>
              </w:rPr>
              <w:t>20</w:t>
            </w:r>
          </w:p>
        </w:tc>
        <w:tc>
          <w:tcPr>
            <w:tcW w:w="11548" w:type="dxa"/>
            <w:noWrap w:val="0"/>
            <w:vAlign w:val="center"/>
          </w:tcPr>
          <w:p w14:paraId="571150A2">
            <w:pPr>
              <w:spacing w:line="312" w:lineRule="auto"/>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（1）如果</w:t>
            </w:r>
            <w:r>
              <w:rPr>
                <w:rFonts w:hint="eastAsia" w:ascii="宋体" w:hAnsi="宋体" w:eastAsia="宋体" w:cs="宋体"/>
                <w:color w:val="auto"/>
                <w:kern w:val="0"/>
                <w:szCs w:val="21"/>
                <w:highlight w:val="none"/>
                <w:u w:val="none"/>
                <w:lang w:eastAsia="zh-CN"/>
              </w:rPr>
              <w:t>投标人</w:t>
            </w:r>
            <w:r>
              <w:rPr>
                <w:rFonts w:hint="eastAsia" w:ascii="宋体" w:hAnsi="宋体" w:eastAsia="宋体" w:cs="宋体"/>
                <w:color w:val="auto"/>
                <w:kern w:val="0"/>
                <w:szCs w:val="21"/>
                <w:highlight w:val="none"/>
                <w:u w:val="none"/>
              </w:rPr>
              <w:t>的</w:t>
            </w:r>
            <w:r>
              <w:rPr>
                <w:rFonts w:hint="eastAsia" w:ascii="宋体" w:hAnsi="宋体" w:eastAsia="宋体" w:cs="宋体"/>
                <w:color w:val="auto"/>
                <w:kern w:val="0"/>
                <w:szCs w:val="21"/>
                <w:highlight w:val="none"/>
                <w:u w:val="none"/>
                <w:lang w:val="en-US" w:eastAsia="zh-CN"/>
              </w:rPr>
              <w:t>投标</w:t>
            </w:r>
            <w:r>
              <w:rPr>
                <w:rFonts w:hint="eastAsia" w:ascii="宋体" w:hAnsi="宋体" w:eastAsia="宋体" w:cs="宋体"/>
                <w:color w:val="auto"/>
                <w:kern w:val="0"/>
                <w:szCs w:val="21"/>
                <w:highlight w:val="none"/>
                <w:u w:val="none"/>
              </w:rPr>
              <w:t>报价&gt;</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，则报价得分＝20-偏差率×100×1；</w:t>
            </w:r>
          </w:p>
          <w:p w14:paraId="271C1C24">
            <w:pPr>
              <w:spacing w:line="312" w:lineRule="auto"/>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（2）如果</w:t>
            </w:r>
            <w:r>
              <w:rPr>
                <w:rFonts w:hint="eastAsia" w:ascii="宋体" w:hAnsi="宋体" w:eastAsia="宋体" w:cs="宋体"/>
                <w:color w:val="auto"/>
                <w:kern w:val="0"/>
                <w:szCs w:val="21"/>
                <w:highlight w:val="none"/>
                <w:u w:val="none"/>
                <w:lang w:eastAsia="zh-CN"/>
              </w:rPr>
              <w:t>投标人</w:t>
            </w:r>
            <w:r>
              <w:rPr>
                <w:rFonts w:hint="eastAsia" w:ascii="宋体" w:hAnsi="宋体" w:eastAsia="宋体" w:cs="宋体"/>
                <w:color w:val="auto"/>
                <w:kern w:val="0"/>
                <w:szCs w:val="21"/>
                <w:highlight w:val="none"/>
                <w:u w:val="none"/>
              </w:rPr>
              <w:t>的</w:t>
            </w:r>
            <w:r>
              <w:rPr>
                <w:rFonts w:hint="eastAsia" w:ascii="宋体" w:hAnsi="宋体" w:eastAsia="宋体" w:cs="宋体"/>
                <w:color w:val="auto"/>
                <w:kern w:val="0"/>
                <w:szCs w:val="21"/>
                <w:highlight w:val="none"/>
                <w:u w:val="none"/>
                <w:lang w:val="en-US" w:eastAsia="zh-CN"/>
              </w:rPr>
              <w:t>投标</w:t>
            </w:r>
            <w:r>
              <w:rPr>
                <w:rFonts w:hint="eastAsia" w:ascii="宋体" w:hAnsi="宋体" w:eastAsia="宋体" w:cs="宋体"/>
                <w:color w:val="auto"/>
                <w:kern w:val="0"/>
                <w:szCs w:val="21"/>
                <w:highlight w:val="none"/>
                <w:u w:val="none"/>
              </w:rPr>
              <w:t>报价≤</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，则报价得分＝20-偏差率×100×0.5。</w:t>
            </w:r>
          </w:p>
          <w:p w14:paraId="3F762ECD">
            <w:pPr>
              <w:spacing w:line="312" w:lineRule="auto"/>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备注：</w:t>
            </w:r>
          </w:p>
          <w:p w14:paraId="7DB8FEBB">
            <w:pPr>
              <w:spacing w:line="312" w:lineRule="auto"/>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①偏差率=|（</w:t>
            </w:r>
            <w:r>
              <w:rPr>
                <w:rFonts w:hint="eastAsia" w:ascii="宋体" w:hAnsi="宋体" w:eastAsia="宋体" w:cs="宋体"/>
                <w:color w:val="auto"/>
                <w:kern w:val="0"/>
                <w:szCs w:val="21"/>
                <w:highlight w:val="none"/>
                <w:u w:val="none"/>
                <w:lang w:eastAsia="zh-CN"/>
              </w:rPr>
              <w:t>投标人</w:t>
            </w:r>
            <w:r>
              <w:rPr>
                <w:rFonts w:hint="eastAsia" w:ascii="宋体" w:hAnsi="宋体" w:eastAsia="宋体" w:cs="宋体"/>
                <w:color w:val="auto"/>
                <w:kern w:val="0"/>
                <w:szCs w:val="21"/>
                <w:highlight w:val="none"/>
                <w:u w:val="none"/>
                <w:lang w:val="en-US" w:eastAsia="zh-CN"/>
              </w:rPr>
              <w:t>投标</w:t>
            </w:r>
            <w:r>
              <w:rPr>
                <w:rFonts w:hint="eastAsia" w:ascii="宋体" w:hAnsi="宋体" w:eastAsia="宋体" w:cs="宋体"/>
                <w:color w:val="auto"/>
                <w:kern w:val="0"/>
                <w:szCs w:val="21"/>
                <w:highlight w:val="none"/>
                <w:u w:val="none"/>
              </w:rPr>
              <w:t>报价-</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|（取绝对值），偏差率保留2位小数。</w:t>
            </w:r>
          </w:p>
          <w:p w14:paraId="6068DE3F">
            <w:pPr>
              <w:spacing w:line="312" w:lineRule="auto"/>
              <w:jc w:val="lef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②</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：当所有</w:t>
            </w:r>
            <w:r>
              <w:rPr>
                <w:rFonts w:hint="eastAsia" w:ascii="宋体" w:hAnsi="宋体" w:eastAsia="宋体" w:cs="宋体"/>
                <w:color w:val="auto"/>
                <w:kern w:val="0"/>
                <w:szCs w:val="21"/>
                <w:highlight w:val="none"/>
                <w:u w:val="none"/>
                <w:lang w:eastAsia="zh-CN"/>
              </w:rPr>
              <w:t>合格的中标候选人</w:t>
            </w:r>
            <w:r>
              <w:rPr>
                <w:rFonts w:hint="eastAsia" w:ascii="宋体" w:hAnsi="宋体" w:eastAsia="宋体" w:cs="宋体"/>
                <w:color w:val="auto"/>
                <w:kern w:val="0"/>
                <w:szCs w:val="21"/>
                <w:highlight w:val="none"/>
                <w:u w:val="none"/>
              </w:rPr>
              <w:t>家数小于5家时，取所有</w:t>
            </w:r>
            <w:r>
              <w:rPr>
                <w:rFonts w:hint="eastAsia" w:ascii="宋体" w:hAnsi="宋体" w:eastAsia="宋体" w:cs="宋体"/>
                <w:color w:val="auto"/>
                <w:kern w:val="0"/>
                <w:szCs w:val="21"/>
                <w:highlight w:val="none"/>
                <w:u w:val="none"/>
                <w:lang w:val="en-US" w:eastAsia="zh-CN"/>
              </w:rPr>
              <w:t>投标</w:t>
            </w:r>
            <w:r>
              <w:rPr>
                <w:rFonts w:hint="eastAsia" w:ascii="宋体" w:hAnsi="宋体" w:eastAsia="宋体" w:cs="宋体"/>
                <w:color w:val="auto"/>
                <w:kern w:val="0"/>
                <w:szCs w:val="21"/>
                <w:highlight w:val="none"/>
                <w:u w:val="none"/>
              </w:rPr>
              <w:t>报价平均值为</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；当所有</w:t>
            </w:r>
            <w:r>
              <w:rPr>
                <w:rFonts w:hint="eastAsia" w:ascii="宋体" w:hAnsi="宋体" w:eastAsia="宋体" w:cs="宋体"/>
                <w:color w:val="auto"/>
                <w:kern w:val="0"/>
                <w:szCs w:val="21"/>
                <w:highlight w:val="none"/>
                <w:u w:val="none"/>
                <w:lang w:eastAsia="zh-CN"/>
              </w:rPr>
              <w:t>合格的中标候选人</w:t>
            </w:r>
            <w:r>
              <w:rPr>
                <w:rFonts w:hint="eastAsia" w:ascii="宋体" w:hAnsi="宋体" w:eastAsia="宋体" w:cs="宋体"/>
                <w:color w:val="auto"/>
                <w:kern w:val="0"/>
                <w:szCs w:val="21"/>
                <w:highlight w:val="none"/>
                <w:u w:val="none"/>
              </w:rPr>
              <w:t>家数大于等于5家小于10家时，去掉一个最高价和一个最低价后，取剩余所有</w:t>
            </w:r>
            <w:r>
              <w:rPr>
                <w:rFonts w:hint="eastAsia" w:ascii="宋体" w:hAnsi="宋体" w:eastAsia="宋体" w:cs="宋体"/>
                <w:color w:val="auto"/>
                <w:kern w:val="0"/>
                <w:szCs w:val="21"/>
                <w:highlight w:val="none"/>
                <w:u w:val="none"/>
                <w:lang w:val="en-US" w:eastAsia="zh-CN"/>
              </w:rPr>
              <w:t>投标</w:t>
            </w:r>
            <w:r>
              <w:rPr>
                <w:rFonts w:hint="eastAsia" w:ascii="宋体" w:hAnsi="宋体" w:eastAsia="宋体" w:cs="宋体"/>
                <w:color w:val="auto"/>
                <w:kern w:val="0"/>
                <w:szCs w:val="21"/>
                <w:highlight w:val="none"/>
                <w:u w:val="none"/>
              </w:rPr>
              <w:t>报价平均值为</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；当所有</w:t>
            </w:r>
            <w:r>
              <w:rPr>
                <w:rFonts w:hint="eastAsia" w:ascii="宋体" w:hAnsi="宋体" w:eastAsia="宋体" w:cs="宋体"/>
                <w:color w:val="auto"/>
                <w:kern w:val="0"/>
                <w:szCs w:val="21"/>
                <w:highlight w:val="none"/>
                <w:u w:val="none"/>
                <w:lang w:eastAsia="zh-CN"/>
              </w:rPr>
              <w:t>合格的中标候选人</w:t>
            </w:r>
            <w:r>
              <w:rPr>
                <w:rFonts w:hint="eastAsia" w:ascii="宋体" w:hAnsi="宋体" w:eastAsia="宋体" w:cs="宋体"/>
                <w:color w:val="auto"/>
                <w:kern w:val="0"/>
                <w:szCs w:val="21"/>
                <w:highlight w:val="none"/>
                <w:u w:val="none"/>
              </w:rPr>
              <w:t>家数大于等于10家时，去掉两个最高价和两个最低价后，取剩余所有</w:t>
            </w:r>
            <w:r>
              <w:rPr>
                <w:rFonts w:hint="eastAsia" w:ascii="宋体" w:hAnsi="宋体" w:eastAsia="宋体" w:cs="宋体"/>
                <w:color w:val="auto"/>
                <w:kern w:val="0"/>
                <w:szCs w:val="21"/>
                <w:highlight w:val="none"/>
                <w:u w:val="none"/>
                <w:lang w:val="en-US" w:eastAsia="zh-CN"/>
              </w:rPr>
              <w:t>投标</w:t>
            </w:r>
            <w:r>
              <w:rPr>
                <w:rFonts w:hint="eastAsia" w:ascii="宋体" w:hAnsi="宋体" w:eastAsia="宋体" w:cs="宋体"/>
                <w:color w:val="auto"/>
                <w:kern w:val="0"/>
                <w:szCs w:val="21"/>
                <w:highlight w:val="none"/>
                <w:u w:val="none"/>
              </w:rPr>
              <w:t>报价平均值为</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。按以上方式计算出的</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高于最高投标限价的95%时，以最高投标限价的95%作为</w:t>
            </w:r>
            <w:r>
              <w:rPr>
                <w:rFonts w:hint="eastAsia" w:ascii="宋体" w:hAnsi="宋体" w:eastAsia="宋体" w:cs="宋体"/>
                <w:color w:val="auto"/>
                <w:kern w:val="0"/>
                <w:szCs w:val="21"/>
                <w:highlight w:val="none"/>
                <w:u w:val="none"/>
                <w:lang w:eastAsia="zh-CN"/>
              </w:rPr>
              <w:t>评标参考价</w:t>
            </w:r>
            <w:r>
              <w:rPr>
                <w:rFonts w:hint="eastAsia" w:ascii="宋体" w:hAnsi="宋体" w:eastAsia="宋体" w:cs="宋体"/>
                <w:color w:val="auto"/>
                <w:kern w:val="0"/>
                <w:szCs w:val="21"/>
                <w:highlight w:val="none"/>
                <w:u w:val="none"/>
              </w:rPr>
              <w:t>。</w:t>
            </w:r>
          </w:p>
          <w:p w14:paraId="0E35933B">
            <w:pPr>
              <w:spacing w:line="400" w:lineRule="exact"/>
              <w:rPr>
                <w:rFonts w:hint="eastAsia"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③按上述公式计算的得分小于0时，按0分计算</w:t>
            </w:r>
          </w:p>
        </w:tc>
      </w:tr>
      <w:tr w14:paraId="4043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9" w:type="dxa"/>
            <w:shd w:val="clear" w:color="auto" w:fill="auto"/>
            <w:noWrap w:val="0"/>
            <w:vAlign w:val="center"/>
          </w:tcPr>
          <w:p w14:paraId="29C25C7D">
            <w:pPr>
              <w:spacing w:line="400" w:lineRule="exact"/>
              <w:jc w:val="center"/>
              <w:rPr>
                <w:rFonts w:hint="eastAsia" w:ascii="宋体" w:hAnsi="宋体" w:eastAsia="宋体" w:cs="宋体"/>
                <w:color w:val="auto"/>
                <w:kern w:val="2"/>
                <w:sz w:val="22"/>
                <w:szCs w:val="22"/>
                <w:highlight w:val="none"/>
                <w:lang w:val="en-US" w:eastAsia="zh-CN" w:bidi="ar-SA"/>
              </w:rPr>
            </w:pPr>
            <w:r>
              <w:rPr>
                <w:rFonts w:hint="eastAsia" w:cs="宋体"/>
                <w:color w:val="auto"/>
                <w:sz w:val="22"/>
                <w:highlight w:val="none"/>
                <w:lang w:bidi="ar"/>
              </w:rPr>
              <w:t>100</w:t>
            </w:r>
          </w:p>
        </w:tc>
        <w:tc>
          <w:tcPr>
            <w:tcW w:w="12344" w:type="dxa"/>
            <w:gridSpan w:val="3"/>
            <w:noWrap w:val="0"/>
            <w:vAlign w:val="center"/>
          </w:tcPr>
          <w:p w14:paraId="088AA24D">
            <w:pPr>
              <w:spacing w:line="400" w:lineRule="exact"/>
              <w:rPr>
                <w:rFonts w:hint="default" w:eastAsia="宋体" w:cs="宋体"/>
                <w:color w:val="auto"/>
                <w:sz w:val="22"/>
                <w:highlight w:val="none"/>
                <w:lang w:val="en-US" w:eastAsia="zh-CN"/>
              </w:rPr>
            </w:pPr>
            <w:r>
              <w:rPr>
                <w:rFonts w:hint="eastAsia" w:ascii="宋体" w:hAnsi="宋体" w:cs="宋体"/>
                <w:color w:val="auto"/>
                <w:szCs w:val="21"/>
                <w:highlight w:val="none"/>
              </w:rPr>
              <w:t>总得分100分=</w:t>
            </w:r>
            <w:r>
              <w:rPr>
                <w:rFonts w:hint="eastAsia" w:hAnsi="宋体" w:cs="宋体"/>
                <w:color w:val="auto"/>
                <w:szCs w:val="21"/>
                <w:highlight w:val="none"/>
                <w:shd w:val="clear" w:color="auto" w:fill="FFFFFF"/>
              </w:rPr>
              <w:t>定标</w:t>
            </w:r>
            <w:r>
              <w:rPr>
                <w:rFonts w:hint="eastAsia" w:hAnsi="宋体" w:cs="宋体"/>
                <w:color w:val="auto"/>
                <w:szCs w:val="21"/>
                <w:highlight w:val="none"/>
                <w:shd w:val="clear" w:color="auto" w:fill="FFFFFF"/>
                <w:lang w:val="zh-CN"/>
              </w:rPr>
              <w:t>方案</w:t>
            </w:r>
            <w:r>
              <w:rPr>
                <w:rFonts w:hint="eastAsia" w:ascii="宋体" w:hAnsi="宋体" w:cs="宋体"/>
                <w:color w:val="auto"/>
                <w:szCs w:val="21"/>
                <w:highlight w:val="none"/>
              </w:rPr>
              <w:t>得分</w:t>
            </w:r>
            <w:r>
              <w:rPr>
                <w:rFonts w:hint="eastAsia" w:cs="宋体"/>
                <w:color w:val="auto"/>
                <w:szCs w:val="21"/>
                <w:highlight w:val="none"/>
                <w:lang w:val="en-US" w:eastAsia="zh-CN"/>
              </w:rPr>
              <w:t>80分</w:t>
            </w:r>
            <w:r>
              <w:rPr>
                <w:rFonts w:hint="eastAsia" w:ascii="宋体" w:hAnsi="宋体" w:cs="宋体"/>
                <w:color w:val="auto"/>
                <w:szCs w:val="21"/>
                <w:highlight w:val="none"/>
              </w:rPr>
              <w:t>+价格因素得分</w:t>
            </w:r>
            <w:r>
              <w:rPr>
                <w:rFonts w:hint="eastAsia" w:cs="宋体"/>
                <w:color w:val="auto"/>
                <w:szCs w:val="21"/>
                <w:highlight w:val="none"/>
                <w:lang w:val="en-US" w:eastAsia="zh-CN"/>
              </w:rPr>
              <w:t>20分</w:t>
            </w:r>
          </w:p>
        </w:tc>
      </w:tr>
    </w:tbl>
    <w:p w14:paraId="669126D7">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b/>
          <w:bCs/>
          <w:color w:val="auto"/>
          <w:highlight w:val="none"/>
        </w:rPr>
      </w:pPr>
    </w:p>
    <w:p w14:paraId="0B4509D6">
      <w:pPr>
        <w:topLinePunct/>
        <w:spacing w:line="360" w:lineRule="auto"/>
        <w:ind w:left="0" w:leftChars="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rPr>
        <w:t>注：</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须提供评分标准中的相关证明文件或</w:t>
      </w:r>
      <w:r>
        <w:rPr>
          <w:rFonts w:hint="eastAsia" w:asciiTheme="minorEastAsia" w:hAnsiTheme="minorEastAsia" w:eastAsiaTheme="minorEastAsia" w:cstheme="minorEastAsia"/>
          <w:color w:val="auto"/>
          <w:sz w:val="21"/>
          <w:szCs w:val="21"/>
          <w:highlight w:val="none"/>
          <w:lang w:val="en-US" w:eastAsia="zh-CN"/>
        </w:rPr>
        <w:t>材料</w:t>
      </w:r>
      <w:r>
        <w:rPr>
          <w:rFonts w:hint="eastAsia" w:asciiTheme="minorEastAsia" w:hAnsiTheme="minorEastAsia" w:eastAsiaTheme="minorEastAsia" w:cstheme="minorEastAsia"/>
          <w:color w:val="auto"/>
          <w:sz w:val="21"/>
          <w:szCs w:val="21"/>
          <w:highlight w:val="none"/>
        </w:rPr>
        <w:t>作为评审依据，否则不得分，具体</w:t>
      </w:r>
      <w:r>
        <w:rPr>
          <w:rFonts w:hint="eastAsia" w:asciiTheme="minorEastAsia" w:hAnsiTheme="minorEastAsia" w:eastAsiaTheme="minorEastAsia" w:cstheme="minorEastAsia"/>
          <w:color w:val="auto"/>
          <w:sz w:val="21"/>
          <w:szCs w:val="21"/>
          <w:highlight w:val="none"/>
          <w:lang w:val="en-US" w:eastAsia="zh-CN"/>
        </w:rPr>
        <w:t>要求</w:t>
      </w:r>
      <w:r>
        <w:rPr>
          <w:rFonts w:hint="eastAsia" w:asciiTheme="minorEastAsia" w:hAnsiTheme="minorEastAsia" w:eastAsiaTheme="minorEastAsia" w:cstheme="minorEastAsia"/>
          <w:color w:val="auto"/>
          <w:sz w:val="21"/>
          <w:szCs w:val="21"/>
          <w:highlight w:val="none"/>
        </w:rPr>
        <w:t>如下：</w:t>
      </w:r>
    </w:p>
    <w:p w14:paraId="211428F4">
      <w:pPr>
        <w:pStyle w:val="9"/>
        <w:spacing w:after="0" w:line="360" w:lineRule="auto"/>
        <w:ind w:left="0" w:leftChars="0" w:firstLine="422" w:firstLineChars="200"/>
        <w:rPr>
          <w:rFonts w:hint="eastAsia" w:asciiTheme="minorEastAsia" w:hAnsiTheme="minorEastAsia" w:eastAsiaTheme="minorEastAsia" w:cstheme="minorEastAsia"/>
          <w:b w:val="0"/>
          <w:bCs w:val="0"/>
          <w:color w:val="auto"/>
          <w:sz w:val="21"/>
          <w:szCs w:val="21"/>
          <w:highlight w:val="none"/>
          <w:lang w:bidi="ar"/>
        </w:rPr>
      </w:pPr>
      <w:r>
        <w:rPr>
          <w:rFonts w:hint="eastAsia" w:asciiTheme="minorEastAsia" w:hAnsiTheme="minorEastAsia" w:eastAsiaTheme="minorEastAsia" w:cstheme="minorEastAsia"/>
          <w:b/>
          <w:bCs/>
          <w:color w:val="auto"/>
          <w:sz w:val="21"/>
          <w:szCs w:val="21"/>
          <w:highlight w:val="none"/>
        </w:rPr>
        <w:t>【企业业绩】：</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1</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须提供</w:t>
      </w:r>
      <w:r>
        <w:rPr>
          <w:rFonts w:hint="eastAsia" w:asciiTheme="minorEastAsia" w:hAnsiTheme="minorEastAsia" w:eastAsiaTheme="minorEastAsia" w:cstheme="minorEastAsia"/>
          <w:b w:val="0"/>
          <w:bCs w:val="0"/>
          <w:color w:val="auto"/>
          <w:sz w:val="21"/>
          <w:szCs w:val="21"/>
          <w:highlight w:val="none"/>
          <w:lang w:val="en-US" w:eastAsia="zh-CN"/>
        </w:rPr>
        <w:t>①</w:t>
      </w:r>
      <w:r>
        <w:rPr>
          <w:rFonts w:hint="eastAsia" w:asciiTheme="minorEastAsia" w:hAnsiTheme="minorEastAsia" w:eastAsiaTheme="minorEastAsia" w:cstheme="minorEastAsia"/>
          <w:b w:val="0"/>
          <w:bCs w:val="0"/>
          <w:color w:val="auto"/>
          <w:sz w:val="21"/>
          <w:szCs w:val="21"/>
          <w:highlight w:val="none"/>
        </w:rPr>
        <w:t>施工合同（含补充合同或</w:t>
      </w:r>
      <w:r>
        <w:rPr>
          <w:rFonts w:hint="eastAsia" w:asciiTheme="minorEastAsia" w:hAnsiTheme="minorEastAsia" w:eastAsiaTheme="minorEastAsia" w:cstheme="minorEastAsia"/>
          <w:b w:val="0"/>
          <w:bCs w:val="0"/>
          <w:color w:val="auto"/>
          <w:sz w:val="21"/>
          <w:szCs w:val="21"/>
          <w:highlight w:val="none"/>
          <w:lang w:val="en-US" w:eastAsia="zh-CN"/>
        </w:rPr>
        <w:t>补充</w:t>
      </w:r>
      <w:r>
        <w:rPr>
          <w:rFonts w:hint="eastAsia" w:asciiTheme="minorEastAsia" w:hAnsiTheme="minorEastAsia" w:eastAsiaTheme="minorEastAsia" w:cstheme="minorEastAsia"/>
          <w:b w:val="0"/>
          <w:bCs w:val="0"/>
          <w:color w:val="auto"/>
          <w:sz w:val="21"/>
          <w:szCs w:val="21"/>
          <w:highlight w:val="none"/>
        </w:rPr>
        <w:t>协议）扫描件</w:t>
      </w:r>
      <w:r>
        <w:rPr>
          <w:rFonts w:hint="eastAsia" w:asciiTheme="minorEastAsia" w:hAnsiTheme="minorEastAsia" w:eastAsiaTheme="minorEastAsia" w:cstheme="minorEastAsia"/>
          <w:b w:val="0"/>
          <w:bCs w:val="0"/>
          <w:color w:val="auto"/>
          <w:sz w:val="21"/>
          <w:szCs w:val="21"/>
          <w:highlight w:val="none"/>
          <w:lang w:val="en-US" w:eastAsia="zh-CN"/>
        </w:rPr>
        <w:t>关键页（包括但不限于项目名称、合同金额、签订时间、合同签订双方盖章页等内容）②</w:t>
      </w:r>
      <w:r>
        <w:rPr>
          <w:rFonts w:hint="eastAsia" w:asciiTheme="minorEastAsia" w:hAnsiTheme="minorEastAsia" w:eastAsiaTheme="minorEastAsia" w:cstheme="minorEastAsia"/>
          <w:b w:val="0"/>
          <w:bCs w:val="0"/>
          <w:color w:val="auto"/>
          <w:sz w:val="21"/>
          <w:szCs w:val="21"/>
          <w:highlight w:val="none"/>
        </w:rPr>
        <w:t>竣工验收报告或竣工验收证明扫描件</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业绩金额以施工合同（含补充合同</w:t>
      </w:r>
      <w:r>
        <w:rPr>
          <w:rFonts w:hint="eastAsia" w:asciiTheme="minorEastAsia" w:hAnsiTheme="minorEastAsia" w:eastAsiaTheme="minorEastAsia" w:cstheme="minorEastAsia"/>
          <w:b w:val="0"/>
          <w:bCs w:val="0"/>
          <w:color w:val="auto"/>
          <w:sz w:val="21"/>
          <w:szCs w:val="21"/>
          <w:highlight w:val="none"/>
          <w:lang w:val="en-US" w:eastAsia="zh-CN"/>
        </w:rPr>
        <w:t>或补充协议的</w:t>
      </w:r>
      <w:r>
        <w:rPr>
          <w:rFonts w:hint="eastAsia" w:asciiTheme="minorEastAsia" w:hAnsiTheme="minorEastAsia" w:eastAsiaTheme="minorEastAsia" w:cstheme="minorEastAsia"/>
          <w:b w:val="0"/>
          <w:bCs w:val="0"/>
          <w:color w:val="auto"/>
          <w:sz w:val="21"/>
          <w:szCs w:val="21"/>
          <w:highlight w:val="none"/>
        </w:rPr>
        <w:t>累加金额）为准，完成时间以竣工验收时间为准。</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提交的证明材料不齐全或不符合上述条件的不得分</w:t>
      </w:r>
      <w:r>
        <w:rPr>
          <w:rFonts w:hint="eastAsia" w:asciiTheme="minorEastAsia" w:hAnsiTheme="minorEastAsia" w:eastAsiaTheme="minorEastAsia" w:cstheme="minorEastAsia"/>
          <w:b w:val="0"/>
          <w:bCs w:val="0"/>
          <w:color w:val="auto"/>
          <w:sz w:val="21"/>
          <w:szCs w:val="21"/>
          <w:highlight w:val="none"/>
          <w:lang w:bidi="ar"/>
        </w:rPr>
        <w:t>。</w:t>
      </w:r>
    </w:p>
    <w:p w14:paraId="6834F54D">
      <w:pPr>
        <w:pStyle w:val="9"/>
        <w:spacing w:after="0" w:line="360" w:lineRule="auto"/>
        <w:ind w:left="0" w:leftChars="0" w:firstLine="422"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rPr>
        <w:t>【项目负责人</w:t>
      </w:r>
      <w:r>
        <w:rPr>
          <w:rFonts w:hint="eastAsia" w:asciiTheme="minorEastAsia" w:hAnsiTheme="minorEastAsia" w:eastAsiaTheme="minorEastAsia" w:cstheme="minorEastAsia"/>
          <w:b/>
          <w:bCs/>
          <w:color w:val="auto"/>
          <w:sz w:val="21"/>
          <w:szCs w:val="21"/>
          <w:highlight w:val="none"/>
          <w:lang w:val="en-US" w:eastAsia="zh-CN"/>
        </w:rPr>
        <w:t>业绩</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（1）须对应提供项目负责人身份证及投标截止时间前近6个月（2025年0</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月至2025年</w:t>
      </w:r>
      <w:r>
        <w:rPr>
          <w:rFonts w:hint="eastAsia" w:asciiTheme="minorEastAsia" w:hAnsiTheme="minorEastAsia" w:eastAsiaTheme="minorEastAsia" w:cstheme="minorEastAsia"/>
          <w:b w:val="0"/>
          <w:bCs w:val="0"/>
          <w:color w:val="auto"/>
          <w:sz w:val="21"/>
          <w:szCs w:val="21"/>
          <w:highlight w:val="none"/>
          <w:lang w:val="en-US" w:eastAsia="zh-CN"/>
        </w:rPr>
        <w:t>11</w:t>
      </w:r>
      <w:r>
        <w:rPr>
          <w:rFonts w:hint="eastAsia" w:asciiTheme="minorEastAsia" w:hAnsiTheme="minorEastAsia" w:eastAsiaTheme="minorEastAsia" w:cstheme="minorEastAsia"/>
          <w:b w:val="0"/>
          <w:bCs w:val="0"/>
          <w:color w:val="auto"/>
          <w:sz w:val="21"/>
          <w:szCs w:val="21"/>
          <w:highlight w:val="none"/>
        </w:rPr>
        <w:t>月）在本单位购买的社保证明文件扫描件</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（2）项目负责人业绩须提供①施工合同（含补充合同或</w:t>
      </w:r>
      <w:r>
        <w:rPr>
          <w:rFonts w:hint="eastAsia" w:asciiTheme="minorEastAsia" w:hAnsiTheme="minorEastAsia" w:eastAsiaTheme="minorEastAsia" w:cstheme="minorEastAsia"/>
          <w:b w:val="0"/>
          <w:bCs w:val="0"/>
          <w:color w:val="auto"/>
          <w:sz w:val="21"/>
          <w:szCs w:val="21"/>
          <w:highlight w:val="none"/>
          <w:lang w:val="en-US" w:eastAsia="zh-CN"/>
        </w:rPr>
        <w:t>补充</w:t>
      </w:r>
      <w:r>
        <w:rPr>
          <w:rFonts w:hint="eastAsia" w:asciiTheme="minorEastAsia" w:hAnsiTheme="minorEastAsia" w:eastAsiaTheme="minorEastAsia" w:cstheme="minorEastAsia"/>
          <w:b w:val="0"/>
          <w:bCs w:val="0"/>
          <w:color w:val="auto"/>
          <w:sz w:val="21"/>
          <w:szCs w:val="21"/>
          <w:highlight w:val="none"/>
        </w:rPr>
        <w:t>协议）扫描件</w:t>
      </w:r>
      <w:r>
        <w:rPr>
          <w:rFonts w:hint="eastAsia" w:asciiTheme="minorEastAsia" w:hAnsiTheme="minorEastAsia" w:eastAsiaTheme="minorEastAsia" w:cstheme="minorEastAsia"/>
          <w:b w:val="0"/>
          <w:bCs w:val="0"/>
          <w:color w:val="auto"/>
          <w:sz w:val="21"/>
          <w:szCs w:val="21"/>
          <w:highlight w:val="none"/>
          <w:lang w:val="en-US" w:eastAsia="zh-CN"/>
        </w:rPr>
        <w:t>关键页（包括但不限于项目名称、合同金额、签订时间、合同签订双方盖章页等内容）②</w:t>
      </w:r>
      <w:r>
        <w:rPr>
          <w:rFonts w:hint="eastAsia" w:asciiTheme="minorEastAsia" w:hAnsiTheme="minorEastAsia" w:eastAsiaTheme="minorEastAsia" w:cstheme="minorEastAsia"/>
          <w:b w:val="0"/>
          <w:bCs w:val="0"/>
          <w:color w:val="auto"/>
          <w:sz w:val="21"/>
          <w:szCs w:val="21"/>
          <w:highlight w:val="none"/>
        </w:rPr>
        <w:t>竣工验收报告或竣工验收证明扫描件</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（3）业绩金额以施工合同（含补充合同或补充协议的累加金额）为准；业绩时间以竣工验收时间为准。（4）上述证明材料均需加盖投标人电子印章，不提供或资料不齐全均不得分。</w:t>
      </w:r>
    </w:p>
    <w:p w14:paraId="745ABB24">
      <w:pPr>
        <w:pStyle w:val="9"/>
        <w:spacing w:after="0" w:line="360" w:lineRule="auto"/>
        <w:ind w:left="0" w:leftChars="0" w:firstLine="422"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rPr>
        <w:t>【工程奖项】：</w:t>
      </w:r>
      <w:r>
        <w:rPr>
          <w:rFonts w:hint="eastAsia" w:asciiTheme="minorEastAsia" w:hAnsiTheme="minorEastAsia" w:eastAsiaTheme="minorEastAsia" w:cstheme="minorEastAsia"/>
          <w:b w:val="0"/>
          <w:bCs w:val="0"/>
          <w:color w:val="auto"/>
          <w:sz w:val="21"/>
          <w:szCs w:val="21"/>
          <w:highlight w:val="none"/>
        </w:rPr>
        <w:t>（1）需同时提供：①获奖证书扫描件；②除行政主管部门外的其他颁发机构须在国内依法登记注册，以“中国社会组织政务服务平台”网查询结果为准，还需另外提供颁发机构在“中国社会组织政务服务平台”(网址:https://chinanpo.mca.gov.cn/)网查询结果截图。（2）同一项目多次获奖的或复评的奖项仅计一次分。</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时间以获奖时间为准；</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）上述证明材料均需加盖投标人电子印章，不提供或资料不齐全均不得分。</w:t>
      </w:r>
    </w:p>
    <w:p w14:paraId="4E58DD74">
      <w:pPr>
        <w:pStyle w:val="10"/>
        <w:jc w:val="left"/>
        <w:rPr>
          <w:rFonts w:hint="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rPr>
        <w:t>【团队其他成员</w:t>
      </w:r>
      <w:r>
        <w:rPr>
          <w:rFonts w:hint="eastAsia" w:asciiTheme="minorEastAsia" w:hAnsiTheme="minorEastAsia" w:eastAsiaTheme="minorEastAsia" w:cstheme="minorEastAsia"/>
          <w:b/>
          <w:bCs/>
          <w:color w:val="auto"/>
          <w:sz w:val="21"/>
          <w:szCs w:val="21"/>
          <w:highlight w:val="none"/>
          <w:lang w:val="en-US" w:eastAsia="zh-CN"/>
        </w:rPr>
        <w:t>业绩</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（1）须对应提供</w:t>
      </w:r>
      <w:r>
        <w:rPr>
          <w:rFonts w:hint="eastAsia" w:asciiTheme="minorEastAsia" w:hAnsiTheme="minorEastAsia" w:eastAsiaTheme="minorEastAsia" w:cstheme="minorEastAsia"/>
          <w:b w:val="0"/>
          <w:bCs w:val="0"/>
          <w:color w:val="auto"/>
          <w:sz w:val="21"/>
          <w:szCs w:val="21"/>
          <w:highlight w:val="none"/>
          <w:lang w:val="en-US" w:eastAsia="zh-CN"/>
        </w:rPr>
        <w:t>团队其他成员</w:t>
      </w:r>
      <w:r>
        <w:rPr>
          <w:rFonts w:hint="eastAsia" w:asciiTheme="minorEastAsia" w:hAnsiTheme="minorEastAsia" w:eastAsiaTheme="minorEastAsia" w:cstheme="minorEastAsia"/>
          <w:b w:val="0"/>
          <w:bCs w:val="0"/>
          <w:color w:val="auto"/>
          <w:sz w:val="21"/>
          <w:szCs w:val="21"/>
          <w:highlight w:val="none"/>
        </w:rPr>
        <w:t>身份证及投标截止时间前近6个月（2025年0</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月至2025年</w:t>
      </w:r>
      <w:r>
        <w:rPr>
          <w:rFonts w:hint="eastAsia" w:asciiTheme="minorEastAsia" w:hAnsiTheme="minorEastAsia" w:eastAsiaTheme="minorEastAsia" w:cstheme="minorEastAsia"/>
          <w:b w:val="0"/>
          <w:bCs w:val="0"/>
          <w:color w:val="auto"/>
          <w:sz w:val="21"/>
          <w:szCs w:val="21"/>
          <w:highlight w:val="none"/>
          <w:lang w:val="en-US" w:eastAsia="zh-CN"/>
        </w:rPr>
        <w:t>11</w:t>
      </w:r>
      <w:r>
        <w:rPr>
          <w:rFonts w:hint="eastAsia" w:asciiTheme="minorEastAsia" w:hAnsiTheme="minorEastAsia" w:eastAsiaTheme="minorEastAsia" w:cstheme="minorEastAsia"/>
          <w:b w:val="0"/>
          <w:bCs w:val="0"/>
          <w:color w:val="auto"/>
          <w:sz w:val="21"/>
          <w:szCs w:val="21"/>
          <w:highlight w:val="none"/>
        </w:rPr>
        <w:t>月）在本单位购买的社保证明文件扫描件</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（2）业绩须提供①施工合同（含补充合同或</w:t>
      </w:r>
      <w:r>
        <w:rPr>
          <w:rFonts w:hint="eastAsia" w:asciiTheme="minorEastAsia" w:hAnsiTheme="minorEastAsia" w:eastAsiaTheme="minorEastAsia" w:cstheme="minorEastAsia"/>
          <w:b w:val="0"/>
          <w:bCs w:val="0"/>
          <w:color w:val="auto"/>
          <w:sz w:val="21"/>
          <w:szCs w:val="21"/>
          <w:highlight w:val="none"/>
          <w:lang w:val="en-US" w:eastAsia="zh-CN"/>
        </w:rPr>
        <w:t>补充</w:t>
      </w:r>
      <w:r>
        <w:rPr>
          <w:rFonts w:hint="eastAsia" w:asciiTheme="minorEastAsia" w:hAnsiTheme="minorEastAsia" w:eastAsiaTheme="minorEastAsia" w:cstheme="minorEastAsia"/>
          <w:b w:val="0"/>
          <w:bCs w:val="0"/>
          <w:color w:val="auto"/>
          <w:sz w:val="21"/>
          <w:szCs w:val="21"/>
          <w:highlight w:val="none"/>
        </w:rPr>
        <w:t>协议）扫描件</w:t>
      </w:r>
      <w:r>
        <w:rPr>
          <w:rFonts w:hint="eastAsia" w:asciiTheme="minorEastAsia" w:hAnsiTheme="minorEastAsia" w:eastAsiaTheme="minorEastAsia" w:cstheme="minorEastAsia"/>
          <w:b w:val="0"/>
          <w:bCs w:val="0"/>
          <w:color w:val="auto"/>
          <w:sz w:val="21"/>
          <w:szCs w:val="21"/>
          <w:highlight w:val="none"/>
          <w:lang w:val="en-US" w:eastAsia="zh-CN"/>
        </w:rPr>
        <w:t>关键页（包括但不限于项目名称、合同金额、签订时间、合同签订双方盖章页等内容）②</w:t>
      </w:r>
      <w:r>
        <w:rPr>
          <w:rFonts w:hint="eastAsia" w:asciiTheme="minorEastAsia" w:hAnsiTheme="minorEastAsia" w:eastAsiaTheme="minorEastAsia" w:cstheme="minorEastAsia"/>
          <w:b w:val="0"/>
          <w:bCs w:val="0"/>
          <w:color w:val="auto"/>
          <w:sz w:val="21"/>
          <w:szCs w:val="21"/>
          <w:highlight w:val="none"/>
        </w:rPr>
        <w:t>竣工验收报告或竣工验收证明扫描件</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（3）业绩金额以施工合同（含补充合同或补充协议的累加金额）为准；业绩时间以竣工验收时间为准。</w:t>
      </w:r>
      <w:r>
        <w:rPr>
          <w:rFonts w:hint="eastAsia" w:asciiTheme="minorEastAsia" w:hAnsiTheme="minorEastAsia" w:eastAsiaTheme="minorEastAsia" w:cstheme="minorEastAsia"/>
          <w:b w:val="0"/>
          <w:bCs w:val="0"/>
          <w:color w:val="auto"/>
          <w:sz w:val="21"/>
          <w:szCs w:val="21"/>
          <w:highlight w:val="none"/>
          <w:lang w:eastAsia="zh-CN"/>
        </w:rPr>
        <w:t>评审中出现无证明资料或提供的证明资料无法证明项目团队成员业绩的不得分</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Theme="minorEastAsia" w:hAnsiTheme="minorEastAsia" w:eastAsiaTheme="minorEastAsia" w:cstheme="minorEastAsia"/>
          <w:b w:val="0"/>
          <w:bCs w:val="0"/>
          <w:color w:val="auto"/>
          <w:sz w:val="21"/>
          <w:szCs w:val="21"/>
          <w:highlight w:val="none"/>
        </w:rPr>
        <w:t>（4）上述证明材料均需加盖投标人电子印章，不提供或资料不齐全均不得分。</w:t>
      </w:r>
    </w:p>
    <w:p w14:paraId="7041F81E">
      <w:pPr>
        <w:pStyle w:val="1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 xml:space="preserve">    </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val="en-US" w:eastAsia="zh-CN"/>
        </w:rPr>
        <w:t>项目负责人</w:t>
      </w:r>
      <w:r>
        <w:rPr>
          <w:rFonts w:hint="eastAsia" w:asciiTheme="minorEastAsia" w:hAnsiTheme="minorEastAsia" w:eastAsiaTheme="minorEastAsia" w:cstheme="minorEastAsia"/>
          <w:b/>
          <w:bCs/>
          <w:color w:val="auto"/>
          <w:sz w:val="21"/>
          <w:szCs w:val="21"/>
          <w:highlight w:val="none"/>
        </w:rPr>
        <w:t>答辩】：</w:t>
      </w:r>
    </w:p>
    <w:p w14:paraId="4E5C6401">
      <w:pPr>
        <w:pStyle w:val="9"/>
        <w:spacing w:after="0" w:line="360" w:lineRule="auto"/>
        <w:ind w:left="0"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由</w:t>
      </w:r>
      <w:r>
        <w:rPr>
          <w:rFonts w:hint="eastAsia" w:asciiTheme="minorEastAsia" w:hAnsiTheme="minorEastAsia" w:eastAsiaTheme="minorEastAsia" w:cstheme="minorEastAsia"/>
          <w:b w:val="0"/>
          <w:bCs w:val="0"/>
          <w:color w:val="auto"/>
          <w:sz w:val="21"/>
          <w:szCs w:val="21"/>
          <w:highlight w:val="none"/>
          <w:lang w:val="en-US" w:eastAsia="zh-CN"/>
        </w:rPr>
        <w:t>合格的中标候选人</w:t>
      </w:r>
      <w:r>
        <w:rPr>
          <w:rFonts w:hint="eastAsia" w:asciiTheme="minorEastAsia" w:hAnsiTheme="minorEastAsia" w:eastAsiaTheme="minorEastAsia" w:cstheme="minorEastAsia"/>
          <w:b w:val="0"/>
          <w:bCs w:val="0"/>
          <w:color w:val="auto"/>
          <w:sz w:val="21"/>
          <w:szCs w:val="21"/>
          <w:highlight w:val="none"/>
        </w:rPr>
        <w:t>的拟投入本项目负责人</w:t>
      </w:r>
      <w:r>
        <w:rPr>
          <w:rFonts w:hint="eastAsia" w:asciiTheme="minorEastAsia" w:hAnsiTheme="minorEastAsia" w:eastAsiaTheme="minorEastAsia" w:cstheme="minorEastAsia"/>
          <w:b w:val="0"/>
          <w:bCs w:val="0"/>
          <w:color w:val="auto"/>
          <w:sz w:val="21"/>
          <w:szCs w:val="21"/>
          <w:highlight w:val="none"/>
          <w:lang w:val="en-US" w:eastAsia="zh-CN"/>
        </w:rPr>
        <w:t>进行答辩，进行</w:t>
      </w:r>
      <w:r>
        <w:rPr>
          <w:rFonts w:hint="eastAsia" w:asciiTheme="minorEastAsia" w:hAnsiTheme="minorEastAsia" w:eastAsiaTheme="minorEastAsia" w:cstheme="minorEastAsia"/>
          <w:b w:val="0"/>
          <w:bCs w:val="0"/>
          <w:color w:val="auto"/>
          <w:sz w:val="21"/>
          <w:szCs w:val="21"/>
          <w:highlight w:val="none"/>
        </w:rPr>
        <w:t>讲解投标方案、解答疑问，</w:t>
      </w:r>
      <w:r>
        <w:rPr>
          <w:rFonts w:hint="eastAsia" w:asciiTheme="minorEastAsia" w:hAnsiTheme="minorEastAsia" w:eastAsiaTheme="minorEastAsia" w:cstheme="minorEastAsia"/>
          <w:b w:val="0"/>
          <w:bCs w:val="0"/>
          <w:color w:val="auto"/>
          <w:sz w:val="21"/>
          <w:szCs w:val="21"/>
          <w:highlight w:val="none"/>
          <w:lang w:val="en-US" w:eastAsia="zh-CN"/>
        </w:rPr>
        <w:t>定</w:t>
      </w:r>
      <w:r>
        <w:rPr>
          <w:rFonts w:hint="eastAsia" w:asciiTheme="minorEastAsia" w:hAnsiTheme="minorEastAsia" w:eastAsiaTheme="minorEastAsia" w:cstheme="minorEastAsia"/>
          <w:b w:val="0"/>
          <w:bCs w:val="0"/>
          <w:color w:val="auto"/>
          <w:sz w:val="21"/>
          <w:szCs w:val="21"/>
          <w:highlight w:val="none"/>
        </w:rPr>
        <w:t>标委员会专家根据答辩情况进行评审。讲解投标方案注意事项如下：</w:t>
      </w:r>
    </w:p>
    <w:p w14:paraId="286DA07B">
      <w:pPr>
        <w:pStyle w:val="9"/>
        <w:spacing w:after="0" w:line="360" w:lineRule="auto"/>
        <w:ind w:left="0"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（1）讲解投标方案的人员：</w:t>
      </w:r>
      <w:r>
        <w:rPr>
          <w:rFonts w:hint="eastAsia" w:asciiTheme="minorEastAsia" w:hAnsiTheme="minorEastAsia" w:eastAsiaTheme="minorEastAsia" w:cstheme="minorEastAsia"/>
          <w:b w:val="0"/>
          <w:bCs w:val="0"/>
          <w:color w:val="auto"/>
          <w:sz w:val="21"/>
          <w:szCs w:val="21"/>
          <w:highlight w:val="none"/>
          <w:lang w:val="en-US" w:eastAsia="zh-CN"/>
        </w:rPr>
        <w:t>拟派项目负责人负责答辩</w:t>
      </w:r>
      <w:r>
        <w:rPr>
          <w:rFonts w:hint="eastAsia" w:asciiTheme="minorEastAsia" w:hAnsiTheme="minorEastAsia" w:eastAsiaTheme="minorEastAsia" w:cstheme="minorEastAsia"/>
          <w:b w:val="0"/>
          <w:bCs w:val="0"/>
          <w:color w:val="auto"/>
          <w:sz w:val="21"/>
          <w:szCs w:val="21"/>
          <w:highlight w:val="none"/>
        </w:rPr>
        <w:t>。</w:t>
      </w:r>
    </w:p>
    <w:p w14:paraId="267A2294">
      <w:pPr>
        <w:pStyle w:val="9"/>
        <w:spacing w:after="0" w:line="360" w:lineRule="auto"/>
        <w:ind w:left="0"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（2）讲解投标方案的顺序：所有</w:t>
      </w:r>
      <w:r>
        <w:rPr>
          <w:rFonts w:hint="eastAsia" w:asciiTheme="minorEastAsia" w:hAnsiTheme="minorEastAsia" w:eastAsiaTheme="minorEastAsia" w:cstheme="minorEastAsia"/>
          <w:b w:val="0"/>
          <w:bCs w:val="0"/>
          <w:color w:val="auto"/>
          <w:sz w:val="21"/>
          <w:szCs w:val="21"/>
          <w:highlight w:val="none"/>
          <w:lang w:val="en-US" w:eastAsia="zh-CN"/>
        </w:rPr>
        <w:t>合格的中标候选人</w:t>
      </w:r>
      <w:r>
        <w:rPr>
          <w:rFonts w:hint="eastAsia" w:asciiTheme="minorEastAsia" w:hAnsiTheme="minorEastAsia" w:eastAsiaTheme="minorEastAsia" w:cstheme="minorEastAsia"/>
          <w:b w:val="0"/>
          <w:bCs w:val="0"/>
          <w:color w:val="auto"/>
          <w:sz w:val="21"/>
          <w:szCs w:val="21"/>
          <w:highlight w:val="none"/>
        </w:rPr>
        <w:t>，按开标记录表上的先后顺序依次进行答辩。</w:t>
      </w:r>
    </w:p>
    <w:p w14:paraId="48742004">
      <w:pPr>
        <w:pStyle w:val="9"/>
        <w:spacing w:after="0" w:line="360" w:lineRule="auto"/>
        <w:ind w:left="0"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（3）讲解方案人员的要求：投标人在参加讲解时，应向招标人（招标代理）提供一份加盖公章的法定代表人证明书及授权委托书</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答辩人员</w:t>
      </w:r>
      <w:r>
        <w:rPr>
          <w:rFonts w:hint="eastAsia" w:asciiTheme="minorEastAsia" w:hAnsiTheme="minorEastAsia" w:eastAsiaTheme="minorEastAsia" w:cstheme="minorEastAsia"/>
          <w:b w:val="0"/>
          <w:bCs w:val="0"/>
          <w:color w:val="auto"/>
          <w:sz w:val="21"/>
          <w:szCs w:val="21"/>
          <w:highlight w:val="none"/>
          <w:lang w:eastAsia="zh-CN"/>
        </w:rPr>
        <w:t>身份证原件</w:t>
      </w:r>
      <w:r>
        <w:rPr>
          <w:rFonts w:hint="eastAsia" w:asciiTheme="minorEastAsia" w:hAnsiTheme="minorEastAsia" w:eastAsiaTheme="minorEastAsia" w:cstheme="minorEastAsia"/>
          <w:b w:val="0"/>
          <w:bCs w:val="0"/>
          <w:color w:val="auto"/>
          <w:sz w:val="21"/>
          <w:szCs w:val="21"/>
          <w:highlight w:val="none"/>
          <w:lang w:val="en-US" w:eastAsia="zh-CN"/>
        </w:rPr>
        <w:t>及社保证明复印件并加盖公章（社保要求详见</w:t>
      </w:r>
      <w:r>
        <w:rPr>
          <w:rFonts w:hint="eastAsia" w:asciiTheme="minorEastAsia" w:hAnsiTheme="minorEastAsia" w:eastAsiaTheme="minorEastAsia" w:cstheme="minorEastAsia"/>
          <w:b w:val="0"/>
          <w:bCs w:val="0"/>
          <w:color w:val="auto"/>
          <w:sz w:val="21"/>
          <w:szCs w:val="21"/>
          <w:highlight w:val="none"/>
        </w:rPr>
        <w:t>【项目负责人</w:t>
      </w:r>
      <w:r>
        <w:rPr>
          <w:rFonts w:hint="eastAsia" w:asciiTheme="minorEastAsia" w:hAnsiTheme="minorEastAsia" w:eastAsiaTheme="minorEastAsia" w:cstheme="minorEastAsia"/>
          <w:b w:val="0"/>
          <w:bCs w:val="0"/>
          <w:color w:val="auto"/>
          <w:sz w:val="21"/>
          <w:szCs w:val="21"/>
          <w:highlight w:val="none"/>
          <w:lang w:val="en-US" w:eastAsia="zh-CN"/>
        </w:rPr>
        <w:t>职称</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评审要求）</w:t>
      </w:r>
      <w:r>
        <w:rPr>
          <w:rFonts w:hint="eastAsia" w:asciiTheme="minorEastAsia" w:hAnsiTheme="minorEastAsia" w:eastAsiaTheme="minorEastAsia" w:cstheme="minorEastAsia"/>
          <w:b w:val="0"/>
          <w:bCs w:val="0"/>
          <w:color w:val="auto"/>
          <w:sz w:val="21"/>
          <w:szCs w:val="21"/>
          <w:highlight w:val="none"/>
        </w:rPr>
        <w:t>，招标人（招标代理）核对确认身份后再进行讲解。未能出示前述证明文件的单位不予参加讲解环节。</w:t>
      </w:r>
    </w:p>
    <w:p w14:paraId="5618C7CE">
      <w:pPr>
        <w:pStyle w:val="9"/>
        <w:adjustRightInd w:val="0"/>
        <w:snapToGrid w:val="0"/>
        <w:spacing w:after="0" w:line="360" w:lineRule="auto"/>
        <w:ind w:left="0"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（4）讲解形式与要求：讲解环节在</w:t>
      </w:r>
      <w:r>
        <w:rPr>
          <w:rFonts w:hint="eastAsia" w:asciiTheme="minorEastAsia" w:hAnsiTheme="minorEastAsia" w:eastAsiaTheme="minorEastAsia" w:cstheme="minorEastAsia"/>
          <w:b w:val="0"/>
          <w:bCs w:val="0"/>
          <w:color w:val="auto"/>
          <w:sz w:val="21"/>
          <w:szCs w:val="21"/>
          <w:highlight w:val="none"/>
          <w:lang w:val="en-US" w:eastAsia="zh-CN"/>
        </w:rPr>
        <w:t>定</w:t>
      </w:r>
      <w:r>
        <w:rPr>
          <w:rFonts w:hint="eastAsia" w:asciiTheme="minorEastAsia" w:hAnsiTheme="minorEastAsia" w:eastAsiaTheme="minorEastAsia" w:cstheme="minorEastAsia"/>
          <w:b w:val="0"/>
          <w:bCs w:val="0"/>
          <w:color w:val="auto"/>
          <w:sz w:val="21"/>
          <w:szCs w:val="21"/>
          <w:highlight w:val="none"/>
        </w:rPr>
        <w:t>标时进行，具体时间根据</w:t>
      </w:r>
      <w:r>
        <w:rPr>
          <w:rFonts w:hint="eastAsia" w:asciiTheme="minorEastAsia" w:hAnsiTheme="minorEastAsia" w:eastAsiaTheme="minorEastAsia" w:cstheme="minorEastAsia"/>
          <w:b w:val="0"/>
          <w:bCs w:val="0"/>
          <w:color w:val="auto"/>
          <w:sz w:val="21"/>
          <w:szCs w:val="21"/>
          <w:highlight w:val="none"/>
          <w:lang w:val="en-US" w:eastAsia="zh-CN"/>
        </w:rPr>
        <w:t>定</w:t>
      </w:r>
      <w:r>
        <w:rPr>
          <w:rFonts w:hint="eastAsia" w:asciiTheme="minorEastAsia" w:hAnsiTheme="minorEastAsia" w:eastAsiaTheme="minorEastAsia" w:cstheme="minorEastAsia"/>
          <w:b w:val="0"/>
          <w:bCs w:val="0"/>
          <w:color w:val="auto"/>
          <w:sz w:val="21"/>
          <w:szCs w:val="21"/>
          <w:highlight w:val="none"/>
        </w:rPr>
        <w:t>标委员会评审进度而定；招标人（招标代理）在投标方案讲解开始前通知</w:t>
      </w:r>
      <w:r>
        <w:rPr>
          <w:rFonts w:hint="eastAsia" w:asciiTheme="minorEastAsia" w:hAnsiTheme="minorEastAsia" w:eastAsiaTheme="minorEastAsia" w:cstheme="minorEastAsia"/>
          <w:b w:val="0"/>
          <w:bCs w:val="0"/>
          <w:color w:val="auto"/>
          <w:sz w:val="21"/>
          <w:szCs w:val="21"/>
          <w:highlight w:val="none"/>
          <w:lang w:val="en-US" w:eastAsia="zh-CN"/>
        </w:rPr>
        <w:t>合格的投标人</w:t>
      </w:r>
      <w:r>
        <w:rPr>
          <w:rFonts w:hint="eastAsia" w:asciiTheme="minorEastAsia" w:hAnsiTheme="minorEastAsia" w:eastAsiaTheme="minorEastAsia" w:cstheme="minorEastAsia"/>
          <w:b w:val="0"/>
          <w:bCs w:val="0"/>
          <w:color w:val="auto"/>
          <w:sz w:val="21"/>
          <w:szCs w:val="21"/>
          <w:highlight w:val="none"/>
        </w:rPr>
        <w:t>到达讲解地点（</w:t>
      </w:r>
      <w:r>
        <w:rPr>
          <w:rFonts w:hint="eastAsia" w:asciiTheme="minorEastAsia" w:hAnsiTheme="minorEastAsia" w:eastAsiaTheme="minorEastAsia" w:cstheme="minorEastAsia"/>
          <w:b w:val="0"/>
          <w:bCs w:val="0"/>
          <w:color w:val="auto"/>
          <w:sz w:val="21"/>
          <w:szCs w:val="21"/>
          <w:highlight w:val="none"/>
          <w:lang w:val="en-US" w:eastAsia="zh-CN"/>
        </w:rPr>
        <w:t>答辩</w:t>
      </w:r>
      <w:r>
        <w:rPr>
          <w:rFonts w:hint="eastAsia" w:asciiTheme="minorEastAsia" w:hAnsiTheme="minorEastAsia" w:eastAsiaTheme="minorEastAsia" w:cstheme="minorEastAsia"/>
          <w:b w:val="0"/>
          <w:bCs w:val="0"/>
          <w:color w:val="auto"/>
          <w:sz w:val="21"/>
          <w:szCs w:val="21"/>
          <w:highlight w:val="none"/>
        </w:rPr>
        <w:t>人员应预留出足够的时间，并保持通讯畅通），</w:t>
      </w:r>
      <w:r>
        <w:rPr>
          <w:rFonts w:hint="eastAsia" w:asciiTheme="minorEastAsia" w:hAnsiTheme="minorEastAsia" w:eastAsiaTheme="minorEastAsia" w:cstheme="minorEastAsia"/>
          <w:b w:val="0"/>
          <w:bCs w:val="0"/>
          <w:color w:val="auto"/>
          <w:sz w:val="21"/>
          <w:szCs w:val="21"/>
          <w:highlight w:val="none"/>
          <w:lang w:val="en-US" w:eastAsia="zh-CN"/>
        </w:rPr>
        <w:t>答辩小组</w:t>
      </w:r>
      <w:r>
        <w:rPr>
          <w:rFonts w:hint="eastAsia" w:asciiTheme="minorEastAsia" w:hAnsiTheme="minorEastAsia" w:eastAsiaTheme="minorEastAsia" w:cstheme="minorEastAsia"/>
          <w:b w:val="0"/>
          <w:bCs w:val="0"/>
          <w:color w:val="auto"/>
          <w:sz w:val="21"/>
          <w:szCs w:val="21"/>
          <w:highlight w:val="none"/>
        </w:rPr>
        <w:t>先陈述，评委</w:t>
      </w:r>
      <w:r>
        <w:rPr>
          <w:rFonts w:hint="eastAsia" w:asciiTheme="minorEastAsia" w:hAnsiTheme="minorEastAsia" w:eastAsiaTheme="minorEastAsia" w:cstheme="minorEastAsia"/>
          <w:b w:val="0"/>
          <w:bCs w:val="0"/>
          <w:color w:val="auto"/>
          <w:sz w:val="21"/>
          <w:szCs w:val="21"/>
          <w:highlight w:val="none"/>
          <w:lang w:val="en-US" w:eastAsia="zh-CN"/>
        </w:rPr>
        <w:t>随后进行提问（含商定问题提问和</w:t>
      </w:r>
      <w:r>
        <w:rPr>
          <w:rFonts w:hint="eastAsia" w:asciiTheme="minorEastAsia" w:hAnsiTheme="minorEastAsia" w:eastAsiaTheme="minorEastAsia" w:cstheme="minorEastAsia"/>
          <w:b w:val="0"/>
          <w:bCs w:val="0"/>
          <w:color w:val="auto"/>
          <w:sz w:val="21"/>
          <w:szCs w:val="21"/>
          <w:highlight w:val="none"/>
        </w:rPr>
        <w:t>针对陈述内容及施工方案提问</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rPr>
        <w:t>，由</w:t>
      </w:r>
      <w:r>
        <w:rPr>
          <w:rFonts w:hint="eastAsia" w:asciiTheme="minorEastAsia" w:hAnsiTheme="minorEastAsia" w:eastAsiaTheme="minorEastAsia" w:cstheme="minorEastAsia"/>
          <w:b w:val="0"/>
          <w:bCs w:val="0"/>
          <w:color w:val="auto"/>
          <w:sz w:val="21"/>
          <w:szCs w:val="21"/>
          <w:highlight w:val="none"/>
          <w:lang w:val="en-US" w:eastAsia="zh-CN"/>
        </w:rPr>
        <w:t>答辩小组</w:t>
      </w:r>
      <w:r>
        <w:rPr>
          <w:rFonts w:hint="eastAsia" w:asciiTheme="minorEastAsia" w:hAnsiTheme="minorEastAsia" w:eastAsiaTheme="minorEastAsia" w:cstheme="minorEastAsia"/>
          <w:b w:val="0"/>
          <w:bCs w:val="0"/>
          <w:color w:val="auto"/>
          <w:sz w:val="21"/>
          <w:szCs w:val="21"/>
          <w:highlight w:val="none"/>
        </w:rPr>
        <w:t>进行解答。</w:t>
      </w:r>
    </w:p>
    <w:p w14:paraId="5FE04EFA">
      <w:pPr>
        <w:pStyle w:val="9"/>
        <w:numPr>
          <w:ilvl w:val="0"/>
          <w:numId w:val="0"/>
        </w:numPr>
        <w:adjustRightInd w:val="0"/>
        <w:snapToGrid w:val="0"/>
        <w:spacing w:after="0" w:line="360" w:lineRule="auto"/>
        <w:ind w:left="0"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（5）原则上，述标及答辩时间不超过</w:t>
      </w:r>
      <w:r>
        <w:rPr>
          <w:rFonts w:hint="eastAsia" w:asciiTheme="minorEastAsia" w:hAnsiTheme="minorEastAsia" w:eastAsiaTheme="minorEastAsia" w:cstheme="minorEastAsia"/>
          <w:b w:val="0"/>
          <w:bCs w:val="0"/>
          <w:color w:val="auto"/>
          <w:sz w:val="21"/>
          <w:szCs w:val="21"/>
          <w:highlight w:val="none"/>
          <w:lang w:val="en-US" w:eastAsia="zh-CN"/>
        </w:rPr>
        <w:t>20</w:t>
      </w:r>
      <w:r>
        <w:rPr>
          <w:rFonts w:hint="eastAsia" w:asciiTheme="minorEastAsia" w:hAnsiTheme="minorEastAsia" w:eastAsiaTheme="minorEastAsia" w:cstheme="minorEastAsia"/>
          <w:b w:val="0"/>
          <w:bCs w:val="0"/>
          <w:color w:val="auto"/>
          <w:sz w:val="21"/>
          <w:szCs w:val="21"/>
          <w:highlight w:val="none"/>
        </w:rPr>
        <w:t>分钟，其中述标时间</w:t>
      </w:r>
      <w:r>
        <w:rPr>
          <w:rFonts w:hint="eastAsia" w:asciiTheme="minorEastAsia" w:hAnsiTheme="minorEastAsia" w:eastAsiaTheme="minorEastAsia" w:cstheme="minorEastAsia"/>
          <w:b w:val="0"/>
          <w:bCs w:val="0"/>
          <w:color w:val="auto"/>
          <w:sz w:val="21"/>
          <w:szCs w:val="21"/>
          <w:highlight w:val="none"/>
          <w:lang w:val="en-US" w:eastAsia="zh-CN"/>
        </w:rPr>
        <w:t>10</w:t>
      </w:r>
      <w:r>
        <w:rPr>
          <w:rFonts w:hint="eastAsia" w:asciiTheme="minorEastAsia" w:hAnsiTheme="minorEastAsia" w:eastAsiaTheme="minorEastAsia" w:cstheme="minorEastAsia"/>
          <w:b w:val="0"/>
          <w:bCs w:val="0"/>
          <w:color w:val="auto"/>
          <w:sz w:val="21"/>
          <w:szCs w:val="21"/>
          <w:highlight w:val="none"/>
        </w:rPr>
        <w:t>分钟，答辩时间10分钟，具体以实际情况为准。</w:t>
      </w:r>
    </w:p>
    <w:p w14:paraId="067C6EC6">
      <w:pPr>
        <w:pStyle w:val="9"/>
        <w:adjustRightInd w:val="0"/>
        <w:snapToGrid w:val="0"/>
        <w:spacing w:after="0" w:line="360" w:lineRule="auto"/>
        <w:ind w:left="0"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2、</w:t>
      </w:r>
      <w:r>
        <w:rPr>
          <w:rFonts w:hint="eastAsia" w:asciiTheme="minorEastAsia" w:hAnsiTheme="minorEastAsia" w:eastAsiaTheme="minorEastAsia" w:cstheme="minorEastAsia"/>
          <w:b w:val="0"/>
          <w:bCs w:val="0"/>
          <w:color w:val="auto"/>
          <w:sz w:val="21"/>
          <w:szCs w:val="21"/>
          <w:highlight w:val="none"/>
        </w:rPr>
        <w:t>“[”和“]”的数值表示包含在所在区间内，“（”和“）”表示不包含所在区间内。</w:t>
      </w:r>
    </w:p>
    <w:p w14:paraId="74231A16">
      <w:pPr>
        <w:pStyle w:val="9"/>
        <w:adjustRightInd w:val="0"/>
        <w:snapToGrid w:val="0"/>
        <w:spacing w:after="0" w:line="360" w:lineRule="auto"/>
        <w:ind w:left="0" w:leftChars="0" w:firstLine="420" w:firstLineChars="200"/>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b w:val="0"/>
          <w:bCs w:val="0"/>
          <w:color w:val="auto"/>
          <w:sz w:val="21"/>
          <w:szCs w:val="21"/>
          <w:highlight w:val="none"/>
        </w:rPr>
        <w:t>投标人得分为所有</w:t>
      </w:r>
      <w:r>
        <w:rPr>
          <w:rFonts w:hint="eastAsia" w:asciiTheme="minorEastAsia" w:hAnsiTheme="minorEastAsia" w:eastAsiaTheme="minorEastAsia" w:cstheme="minorEastAsia"/>
          <w:b w:val="0"/>
          <w:bCs w:val="0"/>
          <w:color w:val="auto"/>
          <w:sz w:val="21"/>
          <w:szCs w:val="21"/>
          <w:highlight w:val="none"/>
          <w:lang w:val="en-US" w:eastAsia="zh-CN"/>
        </w:rPr>
        <w:t>定标委员会成员</w:t>
      </w:r>
      <w:r>
        <w:rPr>
          <w:rFonts w:hint="eastAsia" w:ascii="宋体" w:hAnsi="宋体" w:eastAsia="宋体" w:cs="宋体"/>
          <w:color w:val="auto"/>
          <w:szCs w:val="21"/>
          <w:highlight w:val="none"/>
        </w:rPr>
        <w:t>对同一投标人</w:t>
      </w:r>
      <w:r>
        <w:rPr>
          <w:rFonts w:hint="eastAsia" w:ascii="宋体" w:hAnsi="宋体" w:eastAsia="宋体" w:cs="宋体"/>
          <w:color w:val="auto"/>
          <w:szCs w:val="21"/>
          <w:highlight w:val="none"/>
          <w:lang w:eastAsia="zh-CN"/>
        </w:rPr>
        <w:t>方案因素</w:t>
      </w:r>
      <w:r>
        <w:rPr>
          <w:rFonts w:hint="eastAsia" w:asciiTheme="minorEastAsia" w:hAnsiTheme="minorEastAsia" w:eastAsiaTheme="minorEastAsia" w:cstheme="minorEastAsia"/>
          <w:b w:val="0"/>
          <w:bCs w:val="0"/>
          <w:color w:val="auto"/>
          <w:sz w:val="21"/>
          <w:szCs w:val="21"/>
          <w:highlight w:val="none"/>
        </w:rPr>
        <w:t>分数汇总后的算术平均值（若分数出现小数点时，保留小数点后二位，第三位小数四舍五入）。</w:t>
      </w:r>
    </w:p>
    <w:p w14:paraId="534A9098">
      <w:pPr>
        <w:pStyle w:val="9"/>
        <w:adjustRightInd w:val="0"/>
        <w:snapToGrid w:val="0"/>
        <w:spacing w:after="0" w:line="360" w:lineRule="auto"/>
        <w:ind w:left="0" w:leftChars="0" w:firstLine="420" w:firstLineChars="200"/>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4、投标人“近X年”指自投标截止之日起的当日开始计算。</w:t>
      </w:r>
    </w:p>
    <w:p w14:paraId="09E5401F">
      <w:pPr>
        <w:tabs>
          <w:tab w:val="left" w:pos="3570"/>
        </w:tabs>
        <w:jc w:val="left"/>
        <w:rPr>
          <w:rFonts w:hint="eastAsia"/>
          <w:b/>
          <w:color w:val="auto"/>
          <w:sz w:val="36"/>
          <w:szCs w:val="36"/>
          <w:highlight w:val="none"/>
        </w:rPr>
      </w:pPr>
      <w:r>
        <w:rPr>
          <w:rFonts w:hint="eastAsia"/>
          <w:b/>
          <w:color w:val="auto"/>
          <w:sz w:val="36"/>
          <w:szCs w:val="36"/>
          <w:highlight w:val="none"/>
        </w:rPr>
        <w:br w:type="page"/>
      </w:r>
    </w:p>
    <w:p w14:paraId="2757A2EB">
      <w:pPr>
        <w:tabs>
          <w:tab w:val="left" w:pos="3570"/>
        </w:tabs>
        <w:rPr>
          <w:color w:val="auto"/>
          <w:szCs w:val="21"/>
          <w:highlight w:val="none"/>
        </w:rPr>
      </w:pPr>
      <w:r>
        <w:rPr>
          <w:rFonts w:hint="eastAsia"/>
          <w:color w:val="auto"/>
          <w:szCs w:val="21"/>
          <w:highlight w:val="none"/>
        </w:rPr>
        <w:t>附表五</w:t>
      </w:r>
    </w:p>
    <w:p w14:paraId="073F3640">
      <w:pPr>
        <w:jc w:val="center"/>
        <w:rPr>
          <w:b/>
          <w:color w:val="auto"/>
          <w:sz w:val="36"/>
          <w:szCs w:val="36"/>
          <w:highlight w:val="none"/>
        </w:rPr>
      </w:pPr>
      <w:r>
        <w:rPr>
          <w:rFonts w:hint="eastAsia"/>
          <w:b/>
          <w:color w:val="auto"/>
          <w:sz w:val="36"/>
          <w:szCs w:val="36"/>
          <w:highlight w:val="none"/>
        </w:rPr>
        <w:t>经济标评分表</w:t>
      </w:r>
    </w:p>
    <w:p w14:paraId="6A064FB8">
      <w:pPr>
        <w:rPr>
          <w:color w:val="auto"/>
          <w:szCs w:val="21"/>
          <w:highlight w:val="none"/>
        </w:rPr>
      </w:pPr>
      <w:r>
        <w:rPr>
          <w:rFonts w:hint="eastAsia"/>
          <w:color w:val="auto"/>
          <w:szCs w:val="21"/>
          <w:highlight w:val="none"/>
        </w:rPr>
        <w:t>工程名称：</w:t>
      </w:r>
    </w:p>
    <w:tbl>
      <w:tblPr>
        <w:tblStyle w:val="27"/>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21"/>
        <w:gridCol w:w="1034"/>
        <w:gridCol w:w="1033"/>
        <w:gridCol w:w="1033"/>
        <w:gridCol w:w="1033"/>
        <w:gridCol w:w="1033"/>
        <w:gridCol w:w="1033"/>
        <w:gridCol w:w="1033"/>
        <w:gridCol w:w="1033"/>
        <w:gridCol w:w="1033"/>
        <w:gridCol w:w="1033"/>
        <w:gridCol w:w="1032"/>
      </w:tblGrid>
      <w:tr w14:paraId="6145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14:paraId="118AE4E8">
            <w:pPr>
              <w:rPr>
                <w:color w:val="auto"/>
                <w:szCs w:val="21"/>
                <w:highlight w:val="none"/>
              </w:rPr>
            </w:pPr>
            <w:r>
              <w:rPr>
                <w:rFonts w:hint="eastAsia"/>
                <w:color w:val="auto"/>
                <w:szCs w:val="21"/>
                <w:highlight w:val="none"/>
              </w:rPr>
              <w:t>投标人名称</w:t>
            </w:r>
          </w:p>
        </w:tc>
        <w:tc>
          <w:tcPr>
            <w:tcW w:w="1021" w:type="dxa"/>
            <w:tcBorders>
              <w:top w:val="single" w:color="auto" w:sz="4" w:space="0"/>
              <w:left w:val="single" w:color="auto" w:sz="4" w:space="0"/>
              <w:bottom w:val="single" w:color="auto" w:sz="4" w:space="0"/>
              <w:right w:val="single" w:color="auto" w:sz="4" w:space="0"/>
            </w:tcBorders>
            <w:vAlign w:val="center"/>
          </w:tcPr>
          <w:p w14:paraId="619BCEB7">
            <w:pPr>
              <w:rPr>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0B29FD09">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7C9F8A5">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C06DED3">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AD8F0FE">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1D9329D">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CBFE116">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8ABB791">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B1D76C0">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68B70F8">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983ACD5">
            <w:pPr>
              <w:rPr>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2B972DA">
            <w:pPr>
              <w:rPr>
                <w:color w:val="auto"/>
                <w:szCs w:val="21"/>
                <w:highlight w:val="none"/>
              </w:rPr>
            </w:pPr>
          </w:p>
        </w:tc>
      </w:tr>
      <w:tr w14:paraId="02FB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14:paraId="21A06B10">
            <w:pPr>
              <w:rPr>
                <w:color w:val="auto"/>
                <w:szCs w:val="21"/>
                <w:highlight w:val="none"/>
              </w:rPr>
            </w:pPr>
            <w:r>
              <w:rPr>
                <w:rFonts w:hint="eastAsia"/>
                <w:color w:val="auto"/>
                <w:szCs w:val="21"/>
                <w:highlight w:val="none"/>
              </w:rPr>
              <w:t>投标报价</w:t>
            </w:r>
            <w:r>
              <w:rPr>
                <w:color w:val="auto"/>
                <w:szCs w:val="21"/>
                <w:highlight w:val="none"/>
              </w:rPr>
              <w:t>PT</w:t>
            </w:r>
            <w:r>
              <w:rPr>
                <w:rFonts w:hint="eastAsia"/>
                <w:color w:val="auto"/>
                <w:szCs w:val="21"/>
                <w:highlight w:val="none"/>
              </w:rPr>
              <w:t>（元）</w:t>
            </w:r>
          </w:p>
        </w:tc>
        <w:tc>
          <w:tcPr>
            <w:tcW w:w="1021" w:type="dxa"/>
            <w:tcBorders>
              <w:top w:val="single" w:color="auto" w:sz="4" w:space="0"/>
              <w:left w:val="single" w:color="auto" w:sz="4" w:space="0"/>
              <w:bottom w:val="single" w:color="auto" w:sz="4" w:space="0"/>
              <w:right w:val="single" w:color="auto" w:sz="4" w:space="0"/>
            </w:tcBorders>
            <w:vAlign w:val="center"/>
          </w:tcPr>
          <w:p w14:paraId="2F7CA0A5">
            <w:pPr>
              <w:rPr>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5C9D2E15">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633E3BC">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5B080BB">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33CA97D">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CFB361A">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8D3DE34">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25DA5B7">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0360710">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5FA75F3">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B69E227">
            <w:pPr>
              <w:rPr>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DACD18D">
            <w:pPr>
              <w:rPr>
                <w:color w:val="auto"/>
                <w:szCs w:val="21"/>
                <w:highlight w:val="none"/>
              </w:rPr>
            </w:pPr>
          </w:p>
        </w:tc>
      </w:tr>
      <w:tr w14:paraId="53155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795A8B75">
            <w:pPr>
              <w:rPr>
                <w:color w:val="auto"/>
                <w:szCs w:val="21"/>
                <w:highlight w:val="none"/>
              </w:rPr>
            </w:pPr>
            <w:r>
              <w:rPr>
                <w:rFonts w:hint="eastAsia"/>
                <w:color w:val="auto"/>
                <w:szCs w:val="21"/>
                <w:highlight w:val="none"/>
              </w:rPr>
              <w:t>评标参考价PC（元）</w:t>
            </w:r>
          </w:p>
        </w:tc>
        <w:tc>
          <w:tcPr>
            <w:tcW w:w="12384" w:type="dxa"/>
            <w:gridSpan w:val="12"/>
            <w:tcBorders>
              <w:top w:val="single" w:color="auto" w:sz="4" w:space="0"/>
              <w:left w:val="single" w:color="auto" w:sz="4" w:space="0"/>
              <w:bottom w:val="single" w:color="auto" w:sz="4" w:space="0"/>
              <w:right w:val="single" w:color="auto" w:sz="4" w:space="0"/>
            </w:tcBorders>
            <w:vAlign w:val="center"/>
          </w:tcPr>
          <w:p w14:paraId="2EA57B08">
            <w:pPr>
              <w:rPr>
                <w:color w:val="auto"/>
                <w:szCs w:val="21"/>
                <w:highlight w:val="none"/>
              </w:rPr>
            </w:pPr>
          </w:p>
        </w:tc>
      </w:tr>
      <w:tr w14:paraId="59F7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58DA7DCD">
            <w:pPr>
              <w:rPr>
                <w:rFonts w:hint="default" w:ascii="宋体" w:hAnsi="宋体" w:eastAsia="宋体" w:cs="Times New Roman"/>
                <w:color w:val="auto"/>
                <w:kern w:val="2"/>
                <w:sz w:val="21"/>
                <w:szCs w:val="21"/>
                <w:highlight w:val="none"/>
                <w:lang w:val="en-US" w:eastAsia="zh-CN" w:bidi="ar-SA"/>
              </w:rPr>
            </w:pPr>
            <w:r>
              <w:rPr>
                <w:rFonts w:hint="eastAsia"/>
                <w:color w:val="auto"/>
                <w:szCs w:val="21"/>
                <w:highlight w:val="none"/>
              </w:rPr>
              <w:t>偏差（（</w:t>
            </w:r>
            <w:r>
              <w:rPr>
                <w:color w:val="auto"/>
                <w:szCs w:val="21"/>
                <w:highlight w:val="none"/>
              </w:rPr>
              <w:t>PT-PC</w:t>
            </w:r>
            <w:r>
              <w:rPr>
                <w:rFonts w:hint="eastAsia"/>
                <w:color w:val="auto"/>
                <w:szCs w:val="21"/>
                <w:highlight w:val="none"/>
              </w:rPr>
              <w:t>）</w:t>
            </w:r>
            <w:r>
              <w:rPr>
                <w:color w:val="auto"/>
                <w:szCs w:val="21"/>
                <w:highlight w:val="none"/>
              </w:rPr>
              <w:t>/PC</w:t>
            </w:r>
            <w:r>
              <w:rPr>
                <w:rFonts w:hint="eastAsia"/>
                <w:color w:val="auto"/>
                <w:szCs w:val="21"/>
                <w:highlight w:val="none"/>
              </w:rPr>
              <w:t>）（</w:t>
            </w:r>
            <w:r>
              <w:rPr>
                <w:color w:val="auto"/>
                <w:szCs w:val="21"/>
                <w:highlight w:val="none"/>
              </w:rPr>
              <w:t>%</w:t>
            </w:r>
            <w:r>
              <w:rPr>
                <w:rFonts w:hint="eastAsia"/>
                <w:color w:val="auto"/>
                <w:szCs w:val="21"/>
                <w:highlight w:val="none"/>
              </w:rPr>
              <w:t>）</w:t>
            </w:r>
          </w:p>
        </w:tc>
        <w:tc>
          <w:tcPr>
            <w:tcW w:w="1021" w:type="dxa"/>
            <w:tcBorders>
              <w:top w:val="single" w:color="auto" w:sz="4" w:space="0"/>
              <w:left w:val="single" w:color="auto" w:sz="4" w:space="0"/>
              <w:bottom w:val="single" w:color="auto" w:sz="4" w:space="0"/>
              <w:right w:val="single" w:color="auto" w:sz="4" w:space="0"/>
            </w:tcBorders>
            <w:vAlign w:val="center"/>
          </w:tcPr>
          <w:p w14:paraId="2700E52C">
            <w:pPr>
              <w:rPr>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27B9CDAB">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C6B24F2">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E028454">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0D0F5D6">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0C2E0BF">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17E3231">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5BA7A7B">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D4F735D">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EF16DA5">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B5EF002">
            <w:pPr>
              <w:rPr>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91BEF33">
            <w:pPr>
              <w:rPr>
                <w:color w:val="auto"/>
                <w:szCs w:val="21"/>
                <w:highlight w:val="none"/>
              </w:rPr>
            </w:pPr>
          </w:p>
        </w:tc>
      </w:tr>
      <w:tr w14:paraId="54BC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36696582">
            <w:pPr>
              <w:rPr>
                <w:rFonts w:hint="eastAsia" w:ascii="宋体" w:hAnsi="宋体" w:eastAsia="宋体" w:cs="Times New Roman"/>
                <w:color w:val="auto"/>
                <w:kern w:val="2"/>
                <w:sz w:val="21"/>
                <w:szCs w:val="21"/>
                <w:highlight w:val="none"/>
                <w:lang w:val="en-US" w:eastAsia="zh-CN" w:bidi="ar-SA"/>
              </w:rPr>
            </w:pPr>
            <w:r>
              <w:rPr>
                <w:rFonts w:hint="eastAsia"/>
                <w:color w:val="auto"/>
                <w:szCs w:val="21"/>
                <w:highlight w:val="none"/>
              </w:rPr>
              <w:t>减分（</w:t>
            </w:r>
            <w:r>
              <w:rPr>
                <w:color w:val="auto"/>
                <w:szCs w:val="21"/>
                <w:highlight w:val="none"/>
              </w:rPr>
              <w:t>A</w:t>
            </w:r>
            <w:r>
              <w:rPr>
                <w:rFonts w:hint="eastAsia"/>
                <w:color w:val="auto"/>
                <w:szCs w:val="21"/>
                <w:highlight w:val="none"/>
              </w:rPr>
              <w:t>）</w:t>
            </w:r>
          </w:p>
        </w:tc>
        <w:tc>
          <w:tcPr>
            <w:tcW w:w="1021" w:type="dxa"/>
            <w:tcBorders>
              <w:top w:val="single" w:color="auto" w:sz="4" w:space="0"/>
              <w:left w:val="single" w:color="auto" w:sz="4" w:space="0"/>
              <w:bottom w:val="single" w:color="auto" w:sz="4" w:space="0"/>
              <w:right w:val="single" w:color="auto" w:sz="4" w:space="0"/>
            </w:tcBorders>
            <w:vAlign w:val="center"/>
          </w:tcPr>
          <w:p w14:paraId="31F2DF90">
            <w:pPr>
              <w:rPr>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2E7B1E1C">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B365103">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FA341C5">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86EB376">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D9E321E">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7103537A">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F870221">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3CD79D8A">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5ED5079">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5C5B5E2">
            <w:pPr>
              <w:rPr>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4D7F22F">
            <w:pPr>
              <w:rPr>
                <w:color w:val="auto"/>
                <w:szCs w:val="21"/>
                <w:highlight w:val="none"/>
              </w:rPr>
            </w:pPr>
          </w:p>
        </w:tc>
      </w:tr>
      <w:tr w14:paraId="37D3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shd w:val="clear" w:color="auto" w:fill="auto"/>
            <w:vAlign w:val="center"/>
          </w:tcPr>
          <w:p w14:paraId="03BDC3CA">
            <w:pPr>
              <w:rPr>
                <w:rFonts w:hint="eastAsia" w:ascii="宋体" w:hAnsi="宋体" w:eastAsia="宋体" w:cs="Times New Roman"/>
                <w:color w:val="auto"/>
                <w:kern w:val="2"/>
                <w:sz w:val="21"/>
                <w:szCs w:val="21"/>
                <w:highlight w:val="none"/>
                <w:lang w:val="en-US" w:eastAsia="zh-CN" w:bidi="ar-SA"/>
              </w:rPr>
            </w:pPr>
            <w:r>
              <w:rPr>
                <w:rFonts w:hint="eastAsia"/>
                <w:color w:val="auto"/>
                <w:szCs w:val="21"/>
                <w:highlight w:val="none"/>
                <w:u w:val="none"/>
              </w:rPr>
              <w:t>得分</w:t>
            </w:r>
            <w:r>
              <w:rPr>
                <w:rFonts w:hint="eastAsia"/>
                <w:color w:val="auto"/>
                <w:szCs w:val="21"/>
                <w:highlight w:val="none"/>
                <w:u w:val="none"/>
                <w:lang w:val="en-US" w:eastAsia="zh-CN"/>
              </w:rPr>
              <w:t>=</w:t>
            </w:r>
            <w:r>
              <w:rPr>
                <w:color w:val="auto"/>
                <w:szCs w:val="21"/>
                <w:highlight w:val="none"/>
              </w:rPr>
              <w:t>(I=</w:t>
            </w:r>
            <w:r>
              <w:rPr>
                <w:rFonts w:hint="eastAsia"/>
                <w:color w:val="auto"/>
                <w:szCs w:val="21"/>
                <w:highlight w:val="none"/>
                <w:lang w:val="en-US" w:eastAsia="zh-CN"/>
              </w:rPr>
              <w:t>20</w:t>
            </w:r>
            <w:r>
              <w:rPr>
                <w:color w:val="auto"/>
                <w:szCs w:val="21"/>
                <w:highlight w:val="none"/>
              </w:rPr>
              <w:t>-A)</w:t>
            </w:r>
          </w:p>
        </w:tc>
        <w:tc>
          <w:tcPr>
            <w:tcW w:w="1021" w:type="dxa"/>
            <w:tcBorders>
              <w:top w:val="single" w:color="auto" w:sz="4" w:space="0"/>
              <w:left w:val="single" w:color="auto" w:sz="4" w:space="0"/>
              <w:bottom w:val="single" w:color="auto" w:sz="4" w:space="0"/>
              <w:right w:val="single" w:color="auto" w:sz="4" w:space="0"/>
            </w:tcBorders>
            <w:vAlign w:val="center"/>
          </w:tcPr>
          <w:p w14:paraId="6A82627F">
            <w:pPr>
              <w:rPr>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469B2266">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BCB9A70">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7C602A1">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661EE4F">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863321C">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8AC8D53">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644E81E">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C17DF93">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0B1D2C8">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4F0F42FE">
            <w:pPr>
              <w:rPr>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CC148C1">
            <w:pPr>
              <w:rPr>
                <w:color w:val="auto"/>
                <w:szCs w:val="21"/>
                <w:highlight w:val="none"/>
              </w:rPr>
            </w:pPr>
          </w:p>
        </w:tc>
      </w:tr>
      <w:tr w14:paraId="1B25B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14:paraId="7816B2CD">
            <w:pPr>
              <w:rPr>
                <w:color w:val="auto"/>
                <w:szCs w:val="21"/>
                <w:highlight w:val="none"/>
              </w:rPr>
            </w:pPr>
            <w:r>
              <w:rPr>
                <w:rFonts w:hint="eastAsia"/>
                <w:color w:val="auto"/>
                <w:szCs w:val="21"/>
                <w:highlight w:val="none"/>
              </w:rPr>
              <w:t>得分排名次序</w:t>
            </w:r>
          </w:p>
        </w:tc>
        <w:tc>
          <w:tcPr>
            <w:tcW w:w="1021" w:type="dxa"/>
            <w:tcBorders>
              <w:top w:val="single" w:color="auto" w:sz="4" w:space="0"/>
              <w:left w:val="single" w:color="auto" w:sz="4" w:space="0"/>
              <w:bottom w:val="single" w:color="auto" w:sz="4" w:space="0"/>
              <w:right w:val="single" w:color="auto" w:sz="4" w:space="0"/>
            </w:tcBorders>
            <w:vAlign w:val="center"/>
          </w:tcPr>
          <w:p w14:paraId="3800F7AF">
            <w:pPr>
              <w:rPr>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5C25FB1E">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BD90AB7">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15C9BC70">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51CA7524">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5653F8A">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C9EC24C">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BE1C4D4">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24F204FC">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0BBEC162">
            <w:pPr>
              <w:rPr>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14:paraId="66FFEB0D">
            <w:pPr>
              <w:rPr>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42B84B18">
            <w:pPr>
              <w:rPr>
                <w:color w:val="auto"/>
                <w:szCs w:val="21"/>
                <w:highlight w:val="none"/>
              </w:rPr>
            </w:pPr>
          </w:p>
        </w:tc>
      </w:tr>
    </w:tbl>
    <w:p w14:paraId="598A605D">
      <w:pPr>
        <w:rPr>
          <w:b/>
          <w:color w:val="auto"/>
          <w:szCs w:val="21"/>
          <w:highlight w:val="none"/>
        </w:rPr>
      </w:pPr>
      <w:r>
        <w:rPr>
          <w:rFonts w:hint="eastAsia"/>
          <w:color w:val="auto"/>
          <w:szCs w:val="21"/>
          <w:highlight w:val="none"/>
        </w:rPr>
        <w:t>评委签名：</w:t>
      </w:r>
      <w:r>
        <w:rPr>
          <w:b/>
          <w:color w:val="auto"/>
          <w:sz w:val="36"/>
          <w:szCs w:val="36"/>
          <w:highlight w:val="none"/>
        </w:rPr>
        <w:br w:type="page"/>
      </w:r>
      <w:r>
        <w:rPr>
          <w:rFonts w:hint="eastAsia"/>
          <w:color w:val="auto"/>
          <w:szCs w:val="21"/>
          <w:highlight w:val="none"/>
        </w:rPr>
        <w:t>附表六</w:t>
      </w:r>
    </w:p>
    <w:p w14:paraId="5C0A7031">
      <w:pPr>
        <w:jc w:val="center"/>
        <w:rPr>
          <w:b/>
          <w:color w:val="auto"/>
          <w:sz w:val="36"/>
          <w:szCs w:val="36"/>
          <w:highlight w:val="none"/>
        </w:rPr>
      </w:pPr>
      <w:r>
        <w:rPr>
          <w:rFonts w:hint="eastAsia"/>
          <w:b/>
          <w:color w:val="auto"/>
          <w:sz w:val="36"/>
          <w:szCs w:val="36"/>
          <w:highlight w:val="none"/>
        </w:rPr>
        <w:t>算术复核表</w:t>
      </w:r>
    </w:p>
    <w:p w14:paraId="512714D1">
      <w:pPr>
        <w:rPr>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hint="eastAsia"/>
          <w:color w:val="auto"/>
          <w:kern w:val="0"/>
          <w:szCs w:val="21"/>
          <w:highlight w:val="none"/>
        </w:rPr>
        <w:t>投标人</w:t>
      </w:r>
      <w:r>
        <w:rPr>
          <w:color w:val="auto"/>
          <w:kern w:val="0"/>
          <w:szCs w:val="21"/>
          <w:highlight w:val="none"/>
        </w:rPr>
        <w:t xml:space="preserve">:                                                  </w:t>
      </w:r>
      <w:r>
        <w:rPr>
          <w:rFonts w:hint="eastAsia"/>
          <w:color w:val="auto"/>
          <w:kern w:val="0"/>
          <w:szCs w:val="21"/>
          <w:highlight w:val="none"/>
        </w:rPr>
        <w:t>单位：元</w:t>
      </w:r>
    </w:p>
    <w:tbl>
      <w:tblPr>
        <w:tblStyle w:val="27"/>
        <w:tblW w:w="0" w:type="auto"/>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645AA892">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2E79EBBA">
            <w:pPr>
              <w:rPr>
                <w:color w:val="auto"/>
                <w:kern w:val="0"/>
                <w:szCs w:val="21"/>
                <w:highlight w:val="none"/>
              </w:rPr>
            </w:pPr>
            <w:r>
              <w:rPr>
                <w:rFonts w:hint="eastAsia"/>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14:paraId="53CBDE18">
            <w:pPr>
              <w:rPr>
                <w:color w:val="auto"/>
                <w:kern w:val="0"/>
                <w:szCs w:val="21"/>
                <w:highlight w:val="none"/>
              </w:rPr>
            </w:pPr>
            <w:r>
              <w:rPr>
                <w:rFonts w:hint="eastAsia"/>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14:paraId="0CEBCFC9">
            <w:pPr>
              <w:rPr>
                <w:color w:val="auto"/>
                <w:kern w:val="0"/>
                <w:szCs w:val="21"/>
                <w:highlight w:val="none"/>
              </w:rPr>
            </w:pPr>
            <w:r>
              <w:rPr>
                <w:rFonts w:hint="eastAsia"/>
                <w:color w:val="auto"/>
                <w:kern w:val="0"/>
                <w:szCs w:val="21"/>
                <w:highlight w:val="none"/>
              </w:rPr>
              <w:t>修正前投标</w:t>
            </w:r>
          </w:p>
          <w:p w14:paraId="270B7FB2">
            <w:pPr>
              <w:rPr>
                <w:color w:val="auto"/>
                <w:kern w:val="0"/>
                <w:szCs w:val="21"/>
                <w:highlight w:val="none"/>
              </w:rPr>
            </w:pPr>
            <w:r>
              <w:rPr>
                <w:rFonts w:hint="eastAsia"/>
                <w:color w:val="auto"/>
                <w:kern w:val="0"/>
                <w:szCs w:val="21"/>
                <w:highlight w:val="none"/>
              </w:rPr>
              <w:t>报价</w:t>
            </w:r>
            <w:r>
              <w:rPr>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14:paraId="639DB293">
            <w:pPr>
              <w:rPr>
                <w:color w:val="auto"/>
                <w:kern w:val="0"/>
                <w:szCs w:val="21"/>
                <w:highlight w:val="none"/>
              </w:rPr>
            </w:pPr>
            <w:r>
              <w:rPr>
                <w:rFonts w:hint="eastAsia"/>
                <w:color w:val="auto"/>
                <w:kern w:val="0"/>
                <w:szCs w:val="21"/>
                <w:highlight w:val="none"/>
              </w:rPr>
              <w:t>修正后投标</w:t>
            </w:r>
          </w:p>
          <w:p w14:paraId="70FC6E87">
            <w:pPr>
              <w:rPr>
                <w:color w:val="auto"/>
                <w:kern w:val="0"/>
                <w:szCs w:val="21"/>
                <w:highlight w:val="none"/>
              </w:rPr>
            </w:pPr>
            <w:r>
              <w:rPr>
                <w:rFonts w:hint="eastAsia"/>
                <w:color w:val="auto"/>
                <w:kern w:val="0"/>
                <w:szCs w:val="21"/>
                <w:highlight w:val="none"/>
              </w:rPr>
              <w:t>报价</w:t>
            </w:r>
            <w:r>
              <w:rPr>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14:paraId="6DF72F60">
            <w:pPr>
              <w:rPr>
                <w:color w:val="auto"/>
                <w:kern w:val="0"/>
                <w:szCs w:val="21"/>
                <w:highlight w:val="none"/>
              </w:rPr>
            </w:pPr>
            <w:r>
              <w:rPr>
                <w:rFonts w:hint="eastAsia"/>
                <w:color w:val="auto"/>
                <w:kern w:val="0"/>
                <w:szCs w:val="21"/>
                <w:highlight w:val="none"/>
              </w:rPr>
              <w:t>修正率</w:t>
            </w:r>
          </w:p>
          <w:p w14:paraId="37933657">
            <w:pPr>
              <w:rPr>
                <w:color w:val="auto"/>
                <w:kern w:val="0"/>
                <w:szCs w:val="21"/>
                <w:highlight w:val="none"/>
              </w:rPr>
            </w:pPr>
            <w:r>
              <w:rPr>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14:paraId="684958D2">
            <w:pPr>
              <w:rPr>
                <w:color w:val="auto"/>
                <w:kern w:val="0"/>
                <w:szCs w:val="21"/>
                <w:highlight w:val="none"/>
              </w:rPr>
            </w:pPr>
            <w:r>
              <w:rPr>
                <w:rFonts w:hint="eastAsia"/>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27DFCCD6">
            <w:pPr>
              <w:rPr>
                <w:color w:val="auto"/>
                <w:kern w:val="0"/>
                <w:szCs w:val="21"/>
                <w:highlight w:val="none"/>
              </w:rPr>
            </w:pPr>
            <w:r>
              <w:rPr>
                <w:rFonts w:hint="eastAsia"/>
                <w:color w:val="auto"/>
                <w:kern w:val="0"/>
                <w:szCs w:val="21"/>
                <w:highlight w:val="none"/>
              </w:rPr>
              <w:t>当</w:t>
            </w:r>
            <w:r>
              <w:rPr>
                <w:color w:val="auto"/>
                <w:kern w:val="0"/>
                <w:szCs w:val="21"/>
                <w:highlight w:val="none"/>
              </w:rPr>
              <w:t>B&gt;A</w:t>
            </w:r>
            <w:r>
              <w:rPr>
                <w:rFonts w:hint="eastAsia"/>
                <w:color w:val="auto"/>
                <w:kern w:val="0"/>
                <w:szCs w:val="21"/>
                <w:highlight w:val="none"/>
              </w:rPr>
              <w:t>时，修正后报价与原报价的差额；当</w:t>
            </w:r>
            <w:r>
              <w:rPr>
                <w:color w:val="auto"/>
                <w:kern w:val="0"/>
                <w:szCs w:val="21"/>
                <w:highlight w:val="none"/>
              </w:rPr>
              <w:t>B</w:t>
            </w:r>
            <w:r>
              <w:rPr>
                <w:rFonts w:hint="eastAsia"/>
                <w:color w:val="auto"/>
                <w:kern w:val="0"/>
                <w:szCs w:val="21"/>
                <w:highlight w:val="none"/>
              </w:rPr>
              <w:t>≤</w:t>
            </w:r>
            <w:r>
              <w:rPr>
                <w:color w:val="auto"/>
                <w:kern w:val="0"/>
                <w:szCs w:val="21"/>
                <w:highlight w:val="none"/>
              </w:rPr>
              <w:t>A</w:t>
            </w:r>
            <w:r>
              <w:rPr>
                <w:rFonts w:hint="eastAsia"/>
                <w:color w:val="auto"/>
                <w:kern w:val="0"/>
                <w:szCs w:val="21"/>
                <w:highlight w:val="none"/>
              </w:rPr>
              <w:t>时</w:t>
            </w:r>
            <w:r>
              <w:rPr>
                <w:color w:val="auto"/>
                <w:kern w:val="0"/>
                <w:szCs w:val="21"/>
                <w:highlight w:val="none"/>
              </w:rPr>
              <w:t>,R=0</w:t>
            </w:r>
          </w:p>
        </w:tc>
      </w:tr>
      <w:tr w14:paraId="2DC9D6B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096BD92">
            <w:pPr>
              <w:rPr>
                <w:color w:val="auto"/>
                <w:kern w:val="0"/>
                <w:szCs w:val="21"/>
                <w:highlight w:val="none"/>
              </w:rPr>
            </w:pPr>
            <w:r>
              <w:rPr>
                <w:color w:val="auto"/>
                <w:kern w:val="0"/>
                <w:szCs w:val="21"/>
                <w:highlight w:val="none"/>
              </w:rPr>
              <w:t>1</w:t>
            </w:r>
          </w:p>
        </w:tc>
        <w:tc>
          <w:tcPr>
            <w:tcW w:w="4488" w:type="dxa"/>
            <w:tcBorders>
              <w:top w:val="nil"/>
              <w:left w:val="nil"/>
              <w:bottom w:val="single" w:color="auto" w:sz="4" w:space="0"/>
              <w:right w:val="single" w:color="auto" w:sz="4" w:space="0"/>
            </w:tcBorders>
            <w:vAlign w:val="center"/>
          </w:tcPr>
          <w:p w14:paraId="2EECDB32">
            <w:pPr>
              <w:rPr>
                <w:color w:val="auto"/>
                <w:kern w:val="0"/>
                <w:szCs w:val="21"/>
                <w:highlight w:val="none"/>
              </w:rPr>
            </w:pPr>
            <w:r>
              <w:rPr>
                <w:color w:val="auto"/>
                <w:kern w:val="0"/>
                <w:szCs w:val="21"/>
                <w:highlight w:val="none"/>
              </w:rPr>
              <w:t>[</w:t>
            </w:r>
            <w:r>
              <w:rPr>
                <w:rFonts w:hint="eastAsia"/>
                <w:color w:val="auto"/>
                <w:kern w:val="0"/>
                <w:szCs w:val="21"/>
                <w:highlight w:val="none"/>
              </w:rPr>
              <w:t>单位工程</w:t>
            </w:r>
            <w:r>
              <w:rPr>
                <w:color w:val="auto"/>
                <w:kern w:val="0"/>
                <w:szCs w:val="21"/>
                <w:highlight w:val="none"/>
              </w:rPr>
              <w:t>1]</w:t>
            </w:r>
          </w:p>
        </w:tc>
        <w:tc>
          <w:tcPr>
            <w:tcW w:w="1602" w:type="dxa"/>
            <w:tcBorders>
              <w:top w:val="nil"/>
              <w:left w:val="nil"/>
              <w:bottom w:val="single" w:color="auto" w:sz="4" w:space="0"/>
              <w:right w:val="single" w:color="auto" w:sz="4" w:space="0"/>
            </w:tcBorders>
            <w:vAlign w:val="center"/>
          </w:tcPr>
          <w:p w14:paraId="6C5F655D">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4B074E3">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4776A24">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0D48743A">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148B17C0">
            <w:pPr>
              <w:rPr>
                <w:color w:val="auto"/>
                <w:kern w:val="0"/>
                <w:szCs w:val="21"/>
                <w:highlight w:val="none"/>
              </w:rPr>
            </w:pPr>
          </w:p>
        </w:tc>
      </w:tr>
      <w:tr w14:paraId="692518C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AE8D553">
            <w:pPr>
              <w:rPr>
                <w:color w:val="auto"/>
                <w:kern w:val="0"/>
                <w:szCs w:val="21"/>
                <w:highlight w:val="none"/>
              </w:rPr>
            </w:pPr>
            <w:r>
              <w:rPr>
                <w:color w:val="auto"/>
                <w:kern w:val="0"/>
                <w:szCs w:val="21"/>
                <w:highlight w:val="none"/>
              </w:rPr>
              <w:t>2</w:t>
            </w:r>
          </w:p>
        </w:tc>
        <w:tc>
          <w:tcPr>
            <w:tcW w:w="4488" w:type="dxa"/>
            <w:tcBorders>
              <w:top w:val="nil"/>
              <w:left w:val="nil"/>
              <w:bottom w:val="single" w:color="auto" w:sz="4" w:space="0"/>
              <w:right w:val="single" w:color="auto" w:sz="4" w:space="0"/>
            </w:tcBorders>
            <w:vAlign w:val="center"/>
          </w:tcPr>
          <w:p w14:paraId="7FFC4EDE">
            <w:pPr>
              <w:rPr>
                <w:color w:val="auto"/>
                <w:kern w:val="0"/>
                <w:szCs w:val="21"/>
                <w:highlight w:val="none"/>
              </w:rPr>
            </w:pPr>
            <w:r>
              <w:rPr>
                <w:color w:val="auto"/>
                <w:kern w:val="0"/>
                <w:szCs w:val="21"/>
                <w:highlight w:val="none"/>
              </w:rPr>
              <w:t>[</w:t>
            </w:r>
            <w:r>
              <w:rPr>
                <w:rFonts w:hint="eastAsia"/>
                <w:color w:val="auto"/>
                <w:kern w:val="0"/>
                <w:szCs w:val="21"/>
                <w:highlight w:val="none"/>
              </w:rPr>
              <w:t>单位工程</w:t>
            </w:r>
            <w:r>
              <w:rPr>
                <w:color w:val="auto"/>
                <w:kern w:val="0"/>
                <w:szCs w:val="21"/>
                <w:highlight w:val="none"/>
              </w:rPr>
              <w:t>2]</w:t>
            </w:r>
          </w:p>
        </w:tc>
        <w:tc>
          <w:tcPr>
            <w:tcW w:w="1602" w:type="dxa"/>
            <w:tcBorders>
              <w:top w:val="nil"/>
              <w:left w:val="nil"/>
              <w:bottom w:val="single" w:color="auto" w:sz="4" w:space="0"/>
              <w:right w:val="single" w:color="auto" w:sz="4" w:space="0"/>
            </w:tcBorders>
            <w:vAlign w:val="center"/>
          </w:tcPr>
          <w:p w14:paraId="11D34CF6">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884982A">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B0625C8">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5C7BDB80">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00BB9795">
            <w:pPr>
              <w:rPr>
                <w:color w:val="auto"/>
                <w:kern w:val="0"/>
                <w:szCs w:val="21"/>
                <w:highlight w:val="none"/>
              </w:rPr>
            </w:pPr>
          </w:p>
        </w:tc>
      </w:tr>
      <w:tr w14:paraId="567C50BE">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B227F90">
            <w:pPr>
              <w:rPr>
                <w:color w:val="auto"/>
                <w:kern w:val="0"/>
                <w:szCs w:val="21"/>
                <w:highlight w:val="none"/>
              </w:rPr>
            </w:pPr>
            <w:r>
              <w:rPr>
                <w:rFonts w:hint="eastAsia"/>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704BB748">
            <w:pPr>
              <w:rPr>
                <w:color w:val="auto"/>
                <w:kern w:val="0"/>
                <w:szCs w:val="21"/>
                <w:highlight w:val="none"/>
              </w:rPr>
            </w:pPr>
            <w:r>
              <w:rPr>
                <w:rFonts w:hint="eastAsia"/>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3560DAF1">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00DC7E6">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87A172E">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0CA36693">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1FECB1DF">
            <w:pPr>
              <w:rPr>
                <w:color w:val="auto"/>
                <w:kern w:val="0"/>
                <w:szCs w:val="21"/>
                <w:highlight w:val="none"/>
              </w:rPr>
            </w:pPr>
          </w:p>
        </w:tc>
      </w:tr>
      <w:tr w14:paraId="10198EF9">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4D43201">
            <w:pPr>
              <w:rPr>
                <w:color w:val="auto"/>
                <w:kern w:val="0"/>
                <w:szCs w:val="21"/>
                <w:highlight w:val="none"/>
              </w:rPr>
            </w:pPr>
            <w:r>
              <w:rPr>
                <w:rFonts w:hint="eastAsia"/>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019F545E">
            <w:pPr>
              <w:rPr>
                <w:color w:val="auto"/>
                <w:kern w:val="0"/>
                <w:szCs w:val="21"/>
                <w:highlight w:val="none"/>
              </w:rPr>
            </w:pPr>
            <w:r>
              <w:rPr>
                <w:rFonts w:hint="eastAsia"/>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018D25E8">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AAFCEC8">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27EF20B">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355B9611">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587E6AC6">
            <w:pPr>
              <w:rPr>
                <w:color w:val="auto"/>
                <w:kern w:val="0"/>
                <w:szCs w:val="21"/>
                <w:highlight w:val="none"/>
              </w:rPr>
            </w:pPr>
          </w:p>
        </w:tc>
      </w:tr>
      <w:tr w14:paraId="595835FB">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FBB24F4">
            <w:pPr>
              <w:rPr>
                <w:color w:val="auto"/>
                <w:kern w:val="0"/>
                <w:szCs w:val="21"/>
                <w:highlight w:val="none"/>
              </w:rPr>
            </w:pPr>
            <w:r>
              <w:rPr>
                <w:rFonts w:hint="eastAsia"/>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5C05BE0F">
            <w:pPr>
              <w:rPr>
                <w:color w:val="auto"/>
                <w:kern w:val="0"/>
                <w:szCs w:val="21"/>
                <w:highlight w:val="none"/>
              </w:rPr>
            </w:pPr>
            <w:r>
              <w:rPr>
                <w:rFonts w:hint="eastAsia"/>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210C568D">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70B4554">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5337DFAF">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66940A28">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32658C77">
            <w:pPr>
              <w:rPr>
                <w:color w:val="auto"/>
                <w:kern w:val="0"/>
                <w:szCs w:val="21"/>
                <w:highlight w:val="none"/>
              </w:rPr>
            </w:pPr>
          </w:p>
        </w:tc>
      </w:tr>
      <w:tr w14:paraId="0456876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F4432F8">
            <w:pPr>
              <w:rPr>
                <w:color w:val="auto"/>
                <w:kern w:val="0"/>
                <w:szCs w:val="21"/>
                <w:highlight w:val="none"/>
              </w:rPr>
            </w:pPr>
            <w:r>
              <w:rPr>
                <w:color w:val="auto"/>
                <w:kern w:val="0"/>
                <w:szCs w:val="21"/>
                <w:highlight w:val="none"/>
              </w:rPr>
              <w:t>n</w:t>
            </w:r>
          </w:p>
        </w:tc>
        <w:tc>
          <w:tcPr>
            <w:tcW w:w="4488" w:type="dxa"/>
            <w:tcBorders>
              <w:top w:val="nil"/>
              <w:left w:val="nil"/>
              <w:bottom w:val="single" w:color="auto" w:sz="4" w:space="0"/>
              <w:right w:val="single" w:color="auto" w:sz="4" w:space="0"/>
            </w:tcBorders>
            <w:vAlign w:val="center"/>
          </w:tcPr>
          <w:p w14:paraId="7009B733">
            <w:pPr>
              <w:rPr>
                <w:color w:val="auto"/>
                <w:kern w:val="0"/>
                <w:szCs w:val="21"/>
                <w:highlight w:val="none"/>
              </w:rPr>
            </w:pPr>
            <w:r>
              <w:rPr>
                <w:color w:val="auto"/>
                <w:kern w:val="0"/>
                <w:szCs w:val="21"/>
                <w:highlight w:val="none"/>
              </w:rPr>
              <w:t>[</w:t>
            </w:r>
            <w:r>
              <w:rPr>
                <w:rFonts w:hint="eastAsia"/>
                <w:color w:val="auto"/>
                <w:kern w:val="0"/>
                <w:szCs w:val="21"/>
                <w:highlight w:val="none"/>
              </w:rPr>
              <w:t>单位工程</w:t>
            </w:r>
            <w:r>
              <w:rPr>
                <w:color w:val="auto"/>
                <w:kern w:val="0"/>
                <w:szCs w:val="21"/>
                <w:highlight w:val="none"/>
              </w:rPr>
              <w:t>n]</w:t>
            </w:r>
          </w:p>
        </w:tc>
        <w:tc>
          <w:tcPr>
            <w:tcW w:w="1602" w:type="dxa"/>
            <w:tcBorders>
              <w:top w:val="nil"/>
              <w:left w:val="nil"/>
              <w:bottom w:val="single" w:color="auto" w:sz="4" w:space="0"/>
              <w:right w:val="single" w:color="auto" w:sz="4" w:space="0"/>
            </w:tcBorders>
            <w:vAlign w:val="center"/>
          </w:tcPr>
          <w:p w14:paraId="643D9EA0">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EE68D75">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98C0950">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475E11D2">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2DA0B1A4">
            <w:pPr>
              <w:rPr>
                <w:color w:val="auto"/>
                <w:kern w:val="0"/>
                <w:szCs w:val="21"/>
                <w:highlight w:val="none"/>
              </w:rPr>
            </w:pPr>
          </w:p>
        </w:tc>
      </w:tr>
      <w:tr w14:paraId="3E232833">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61935BA7">
            <w:pPr>
              <w:rPr>
                <w:color w:val="auto"/>
                <w:kern w:val="0"/>
                <w:szCs w:val="21"/>
                <w:highlight w:val="none"/>
              </w:rPr>
            </w:pPr>
            <w:r>
              <w:rPr>
                <w:rFonts w:hint="eastAsia"/>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3A800446">
            <w:pPr>
              <w:rPr>
                <w:color w:val="auto"/>
                <w:kern w:val="0"/>
                <w:szCs w:val="21"/>
                <w:highlight w:val="none"/>
              </w:rPr>
            </w:pPr>
            <w:r>
              <w:rPr>
                <w:rFonts w:hint="eastAsia"/>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14:paraId="23B1B0E2">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D18E47C">
            <w:pPr>
              <w:rPr>
                <w:color w:val="auto"/>
                <w:kern w:val="0"/>
                <w:szCs w:val="21"/>
                <w:highlight w:val="none"/>
              </w:rPr>
            </w:pPr>
            <w:r>
              <w:rPr>
                <w:rFonts w:hint="eastAsia"/>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14:paraId="54DD6B6B">
            <w:pPr>
              <w:rPr>
                <w:color w:val="auto"/>
                <w:kern w:val="0"/>
                <w:szCs w:val="21"/>
                <w:highlight w:val="none"/>
              </w:rPr>
            </w:pPr>
            <w:r>
              <w:rPr>
                <w:rFonts w:hint="eastAsia"/>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45E0154B">
            <w:pPr>
              <w:rPr>
                <w:color w:val="auto"/>
                <w:kern w:val="0"/>
                <w:szCs w:val="21"/>
                <w:highlight w:val="none"/>
              </w:rPr>
            </w:pPr>
            <w:r>
              <w:rPr>
                <w:rFonts w:hint="eastAsia"/>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E9AC369">
            <w:pPr>
              <w:rPr>
                <w:color w:val="auto"/>
                <w:kern w:val="0"/>
                <w:szCs w:val="21"/>
                <w:highlight w:val="none"/>
              </w:rPr>
            </w:pPr>
            <w:r>
              <w:rPr>
                <w:rFonts w:hint="eastAsia"/>
                <w:color w:val="auto"/>
                <w:kern w:val="0"/>
                <w:szCs w:val="21"/>
                <w:highlight w:val="none"/>
              </w:rPr>
              <w:t>∑</w:t>
            </w:r>
            <w:r>
              <w:rPr>
                <w:color w:val="auto"/>
                <w:kern w:val="0"/>
                <w:szCs w:val="21"/>
                <w:highlight w:val="none"/>
              </w:rPr>
              <w:t>A=A</w:t>
            </w:r>
            <w:r>
              <w:rPr>
                <w:color w:val="auto"/>
                <w:kern w:val="0"/>
                <w:szCs w:val="21"/>
                <w:highlight w:val="none"/>
                <w:vertAlign w:val="subscript"/>
              </w:rPr>
              <w:t>1</w:t>
            </w:r>
            <w:r>
              <w:rPr>
                <w:color w:val="auto"/>
                <w:kern w:val="0"/>
                <w:szCs w:val="21"/>
                <w:highlight w:val="none"/>
              </w:rPr>
              <w:t>+A</w:t>
            </w:r>
            <w:r>
              <w:rPr>
                <w:color w:val="auto"/>
                <w:kern w:val="0"/>
                <w:szCs w:val="21"/>
                <w:highlight w:val="none"/>
                <w:vertAlign w:val="subscript"/>
              </w:rPr>
              <w:t>2</w:t>
            </w:r>
            <w:r>
              <w:rPr>
                <w:color w:val="auto"/>
                <w:kern w:val="0"/>
                <w:szCs w:val="21"/>
                <w:highlight w:val="none"/>
              </w:rPr>
              <w:t>+</w:t>
            </w:r>
            <w:r>
              <w:rPr>
                <w:rFonts w:hint="eastAsia"/>
                <w:color w:val="auto"/>
                <w:kern w:val="0"/>
                <w:szCs w:val="21"/>
                <w:highlight w:val="none"/>
              </w:rPr>
              <w:t>…</w:t>
            </w:r>
            <w:r>
              <w:rPr>
                <w:color w:val="auto"/>
                <w:kern w:val="0"/>
                <w:szCs w:val="21"/>
                <w:highlight w:val="none"/>
              </w:rPr>
              <w:t>An</w:t>
            </w:r>
            <w:r>
              <w:rPr>
                <w:rFonts w:hint="eastAsia"/>
                <w:color w:val="auto"/>
                <w:kern w:val="0"/>
                <w:szCs w:val="21"/>
                <w:highlight w:val="none"/>
              </w:rPr>
              <w:t>；∑</w:t>
            </w:r>
            <w:r>
              <w:rPr>
                <w:color w:val="auto"/>
                <w:kern w:val="0"/>
                <w:szCs w:val="21"/>
                <w:highlight w:val="none"/>
              </w:rPr>
              <w:t>B=B</w:t>
            </w:r>
            <w:r>
              <w:rPr>
                <w:color w:val="auto"/>
                <w:kern w:val="0"/>
                <w:szCs w:val="21"/>
                <w:highlight w:val="none"/>
                <w:vertAlign w:val="subscript"/>
              </w:rPr>
              <w:t>1</w:t>
            </w:r>
            <w:r>
              <w:rPr>
                <w:color w:val="auto"/>
                <w:kern w:val="0"/>
                <w:szCs w:val="21"/>
                <w:highlight w:val="none"/>
              </w:rPr>
              <w:t>+B</w:t>
            </w:r>
            <w:r>
              <w:rPr>
                <w:color w:val="auto"/>
                <w:kern w:val="0"/>
                <w:szCs w:val="21"/>
                <w:highlight w:val="none"/>
                <w:vertAlign w:val="subscript"/>
              </w:rPr>
              <w:t>2</w:t>
            </w:r>
            <w:r>
              <w:rPr>
                <w:color w:val="auto"/>
                <w:kern w:val="0"/>
                <w:szCs w:val="21"/>
                <w:highlight w:val="none"/>
              </w:rPr>
              <w:t>+</w:t>
            </w:r>
            <w:r>
              <w:rPr>
                <w:rFonts w:hint="eastAsia"/>
                <w:color w:val="auto"/>
                <w:kern w:val="0"/>
                <w:szCs w:val="21"/>
                <w:highlight w:val="none"/>
              </w:rPr>
              <w:t>…</w:t>
            </w:r>
            <w:r>
              <w:rPr>
                <w:color w:val="auto"/>
                <w:kern w:val="0"/>
                <w:szCs w:val="21"/>
                <w:highlight w:val="none"/>
              </w:rPr>
              <w:t>Bn</w:t>
            </w:r>
          </w:p>
        </w:tc>
      </w:tr>
    </w:tbl>
    <w:p w14:paraId="3DDA3AA5">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14:paraId="5FCC3B4D">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14:paraId="028C00CE">
      <w:pPr>
        <w:rPr>
          <w:color w:val="auto"/>
          <w:highlight w:val="none"/>
        </w:rPr>
      </w:pPr>
    </w:p>
    <w:p w14:paraId="3B516E22">
      <w:pPr>
        <w:rPr>
          <w:color w:val="auto"/>
          <w:highlight w:val="none"/>
        </w:rPr>
      </w:pPr>
      <w:r>
        <w:rPr>
          <w:color w:val="auto"/>
          <w:highlight w:val="none"/>
        </w:rPr>
        <w:br w:type="page"/>
      </w:r>
    </w:p>
    <w:p w14:paraId="187DF393">
      <w:pPr>
        <w:jc w:val="center"/>
        <w:rPr>
          <w:b/>
          <w:color w:val="auto"/>
          <w:sz w:val="36"/>
          <w:szCs w:val="36"/>
          <w:highlight w:val="none"/>
        </w:rPr>
      </w:pPr>
      <w:r>
        <w:rPr>
          <w:rFonts w:hint="eastAsia"/>
          <w:b/>
          <w:color w:val="auto"/>
          <w:sz w:val="36"/>
          <w:szCs w:val="36"/>
          <w:highlight w:val="none"/>
        </w:rPr>
        <w:t>算术复核表</w:t>
      </w:r>
    </w:p>
    <w:p w14:paraId="2DBCBE6A">
      <w:pPr>
        <w:rPr>
          <w:color w:val="auto"/>
          <w:szCs w:val="21"/>
          <w:highlight w:val="none"/>
        </w:rPr>
      </w:pPr>
      <w:r>
        <w:rPr>
          <w:rFonts w:hint="eastAsia"/>
          <w:color w:val="auto"/>
          <w:szCs w:val="21"/>
          <w:highlight w:val="none"/>
        </w:rPr>
        <w:t>工程名称：</w:t>
      </w:r>
    </w:p>
    <w:tbl>
      <w:tblPr>
        <w:tblStyle w:val="2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59C6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vAlign w:val="center"/>
          </w:tcPr>
          <w:p w14:paraId="6982FBDB">
            <w:pPr>
              <w:jc w:val="center"/>
              <w:rPr>
                <w:b/>
                <w:color w:val="auto"/>
                <w:sz w:val="28"/>
                <w:szCs w:val="28"/>
                <w:highlight w:val="none"/>
              </w:rPr>
            </w:pPr>
            <w:r>
              <w:rPr>
                <w:rFonts w:hint="eastAsia"/>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vAlign w:val="center"/>
          </w:tcPr>
          <w:p w14:paraId="2A578015">
            <w:pPr>
              <w:jc w:val="center"/>
              <w:rPr>
                <w:b/>
                <w:color w:val="auto"/>
                <w:sz w:val="28"/>
                <w:szCs w:val="28"/>
                <w:highlight w:val="none"/>
              </w:rPr>
            </w:pPr>
            <w:r>
              <w:rPr>
                <w:rFonts w:hint="eastAsia"/>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vAlign w:val="center"/>
          </w:tcPr>
          <w:p w14:paraId="4FF57B0F">
            <w:pPr>
              <w:jc w:val="center"/>
              <w:rPr>
                <w:b/>
                <w:color w:val="auto"/>
                <w:sz w:val="28"/>
                <w:szCs w:val="28"/>
                <w:highlight w:val="none"/>
              </w:rPr>
            </w:pPr>
            <w:r>
              <w:rPr>
                <w:rFonts w:hint="eastAsia"/>
                <w:b/>
                <w:color w:val="auto"/>
                <w:sz w:val="28"/>
                <w:szCs w:val="28"/>
                <w:highlight w:val="none"/>
              </w:rPr>
              <w:t>原投标报价（</w:t>
            </w:r>
            <w:r>
              <w:rPr>
                <w:b/>
                <w:color w:val="auto"/>
                <w:sz w:val="28"/>
                <w:szCs w:val="28"/>
                <w:highlight w:val="none"/>
              </w:rPr>
              <w:t>A</w:t>
            </w:r>
            <w:r>
              <w:rPr>
                <w:rFonts w:hint="eastAsia"/>
                <w:b/>
                <w:color w:val="auto"/>
                <w:sz w:val="28"/>
                <w:szCs w:val="28"/>
                <w:highlight w:val="none"/>
              </w:rPr>
              <w:t>）</w:t>
            </w:r>
          </w:p>
        </w:tc>
        <w:tc>
          <w:tcPr>
            <w:tcW w:w="3101" w:type="dxa"/>
            <w:tcBorders>
              <w:top w:val="single" w:color="auto" w:sz="4" w:space="0"/>
              <w:left w:val="single" w:color="auto" w:sz="4" w:space="0"/>
              <w:bottom w:val="single" w:color="auto" w:sz="4" w:space="0"/>
              <w:right w:val="single" w:color="auto" w:sz="4" w:space="0"/>
            </w:tcBorders>
            <w:vAlign w:val="center"/>
          </w:tcPr>
          <w:p w14:paraId="6E2CF198">
            <w:pPr>
              <w:jc w:val="center"/>
              <w:rPr>
                <w:b/>
                <w:color w:val="auto"/>
                <w:sz w:val="28"/>
                <w:szCs w:val="28"/>
                <w:highlight w:val="none"/>
              </w:rPr>
            </w:pPr>
            <w:r>
              <w:rPr>
                <w:rFonts w:hint="eastAsia"/>
                <w:b/>
                <w:color w:val="auto"/>
                <w:sz w:val="28"/>
                <w:szCs w:val="28"/>
                <w:highlight w:val="none"/>
              </w:rPr>
              <w:t>算数复核后投标报价（</w:t>
            </w:r>
            <w:r>
              <w:rPr>
                <w:b/>
                <w:color w:val="auto"/>
                <w:sz w:val="28"/>
                <w:szCs w:val="28"/>
                <w:highlight w:val="none"/>
              </w:rPr>
              <w:t>B</w:t>
            </w:r>
            <w:r>
              <w:rPr>
                <w:rFonts w:hint="eastAsia"/>
                <w:b/>
                <w:color w:val="auto"/>
                <w:sz w:val="28"/>
                <w:szCs w:val="28"/>
                <w:highlight w:val="none"/>
              </w:rPr>
              <w:t>）</w:t>
            </w:r>
          </w:p>
        </w:tc>
        <w:tc>
          <w:tcPr>
            <w:tcW w:w="3423" w:type="dxa"/>
            <w:tcBorders>
              <w:top w:val="single" w:color="auto" w:sz="4" w:space="0"/>
              <w:left w:val="single" w:color="auto" w:sz="4" w:space="0"/>
              <w:bottom w:val="single" w:color="auto" w:sz="4" w:space="0"/>
              <w:right w:val="single" w:color="auto" w:sz="4" w:space="0"/>
            </w:tcBorders>
            <w:vAlign w:val="center"/>
          </w:tcPr>
          <w:p w14:paraId="123AAA8F">
            <w:pPr>
              <w:jc w:val="center"/>
              <w:rPr>
                <w:b/>
                <w:color w:val="auto"/>
                <w:sz w:val="28"/>
                <w:szCs w:val="28"/>
                <w:highlight w:val="none"/>
              </w:rPr>
            </w:pPr>
            <w:r>
              <w:rPr>
                <w:rFonts w:hint="eastAsia"/>
                <w:b/>
                <w:color w:val="auto"/>
                <w:sz w:val="28"/>
                <w:szCs w:val="28"/>
                <w:highlight w:val="none"/>
              </w:rPr>
              <w:t>误差率（</w:t>
            </w:r>
            <w:r>
              <w:rPr>
                <w:b/>
                <w:color w:val="auto"/>
                <w:sz w:val="28"/>
                <w:szCs w:val="28"/>
                <w:highlight w:val="none"/>
              </w:rPr>
              <w:t>r=|A-B|/A*100%</w:t>
            </w:r>
            <w:r>
              <w:rPr>
                <w:rFonts w:hint="eastAsia"/>
                <w:b/>
                <w:color w:val="auto"/>
                <w:sz w:val="28"/>
                <w:szCs w:val="28"/>
                <w:highlight w:val="none"/>
              </w:rPr>
              <w:t>）</w:t>
            </w:r>
          </w:p>
        </w:tc>
      </w:tr>
      <w:tr w14:paraId="57BA4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21FF638">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45DFD7DC">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4E78A294">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03BF4E6F">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2D072476">
            <w:pPr>
              <w:rPr>
                <w:color w:val="auto"/>
                <w:sz w:val="36"/>
                <w:szCs w:val="36"/>
                <w:highlight w:val="none"/>
              </w:rPr>
            </w:pPr>
          </w:p>
        </w:tc>
      </w:tr>
      <w:tr w14:paraId="18B7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7754BF8">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6C9377C1">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0CA3D0A6">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4B125C6E">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22886A1">
            <w:pPr>
              <w:rPr>
                <w:color w:val="auto"/>
                <w:sz w:val="36"/>
                <w:szCs w:val="36"/>
                <w:highlight w:val="none"/>
              </w:rPr>
            </w:pPr>
          </w:p>
        </w:tc>
      </w:tr>
      <w:tr w14:paraId="33E8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55219B5">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51431642">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13F8205">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6F155E2D">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12D60A9">
            <w:pPr>
              <w:rPr>
                <w:color w:val="auto"/>
                <w:sz w:val="36"/>
                <w:szCs w:val="36"/>
                <w:highlight w:val="none"/>
              </w:rPr>
            </w:pPr>
          </w:p>
        </w:tc>
      </w:tr>
      <w:tr w14:paraId="0E17F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2799437">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6CA80A79">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656F3D22">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6EB1AAA1">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EEFFA77">
            <w:pPr>
              <w:rPr>
                <w:color w:val="auto"/>
                <w:sz w:val="36"/>
                <w:szCs w:val="36"/>
                <w:highlight w:val="none"/>
              </w:rPr>
            </w:pPr>
          </w:p>
        </w:tc>
      </w:tr>
      <w:tr w14:paraId="5EE4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6C76ACC9">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8CBC8B3">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59C4C8E0">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63EB78E4">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439000E1">
            <w:pPr>
              <w:rPr>
                <w:color w:val="auto"/>
                <w:sz w:val="36"/>
                <w:szCs w:val="36"/>
                <w:highlight w:val="none"/>
              </w:rPr>
            </w:pPr>
          </w:p>
        </w:tc>
      </w:tr>
      <w:tr w14:paraId="640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8B75888">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0EA08BF5">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A7DB497">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19B414F7">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B5B43A9">
            <w:pPr>
              <w:rPr>
                <w:color w:val="auto"/>
                <w:sz w:val="36"/>
                <w:szCs w:val="36"/>
                <w:highlight w:val="none"/>
              </w:rPr>
            </w:pPr>
          </w:p>
        </w:tc>
      </w:tr>
      <w:tr w14:paraId="484E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941EF17">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8D8C30F">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FE586EA">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6E1CB704">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58ADC088">
            <w:pPr>
              <w:rPr>
                <w:color w:val="auto"/>
                <w:sz w:val="36"/>
                <w:szCs w:val="36"/>
                <w:highlight w:val="none"/>
              </w:rPr>
            </w:pPr>
          </w:p>
        </w:tc>
      </w:tr>
      <w:tr w14:paraId="5FAE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B8FF831">
            <w:pPr>
              <w:rPr>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4F6780D5">
            <w:pPr>
              <w:rPr>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97815D5">
            <w:pPr>
              <w:rPr>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7C6AEC2A">
            <w:pPr>
              <w:rPr>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4EF5A5E2">
            <w:pPr>
              <w:rPr>
                <w:color w:val="auto"/>
                <w:sz w:val="36"/>
                <w:szCs w:val="36"/>
                <w:highlight w:val="none"/>
              </w:rPr>
            </w:pPr>
          </w:p>
        </w:tc>
      </w:tr>
    </w:tbl>
    <w:p w14:paraId="1646802C">
      <w:pPr>
        <w:rPr>
          <w:color w:val="auto"/>
          <w:szCs w:val="21"/>
          <w:highlight w:val="none"/>
        </w:rPr>
      </w:pPr>
      <w:r>
        <w:rPr>
          <w:rFonts w:hint="eastAsia"/>
          <w:color w:val="auto"/>
          <w:szCs w:val="21"/>
          <w:highlight w:val="none"/>
        </w:rPr>
        <w:t>评委签名：</w:t>
      </w:r>
    </w:p>
    <w:p w14:paraId="7A511163">
      <w:pPr>
        <w:spacing w:line="360" w:lineRule="auto"/>
        <w:jc w:val="center"/>
        <w:rPr>
          <w:rFonts w:ascii="仿宋_GB2312" w:eastAsia="仿宋_GB2312"/>
          <w:color w:val="auto"/>
          <w:szCs w:val="21"/>
          <w:highlight w:val="none"/>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5" w:orient="landscape"/>
          <w:pgMar w:top="1803" w:right="1440" w:bottom="1803" w:left="1440" w:header="850" w:footer="907" w:gutter="0"/>
          <w:pgNumType w:fmt="decimal"/>
          <w:cols w:space="0" w:num="1"/>
          <w:titlePg/>
          <w:docGrid w:type="lines" w:linePitch="331" w:charSpace="0"/>
        </w:sectPr>
      </w:pPr>
    </w:p>
    <w:p w14:paraId="7CB5E7C2">
      <w:pPr>
        <w:ind w:firstLine="420" w:firstLineChars="200"/>
        <w:jc w:val="left"/>
        <w:rPr>
          <w:rFonts w:hint="eastAsia" w:ascii="黑体" w:hAnsi="黑体" w:eastAsia="宋体"/>
          <w:color w:val="auto"/>
          <w:sz w:val="32"/>
          <w:szCs w:val="32"/>
          <w:highlight w:val="none"/>
          <w:lang w:eastAsia="zh-CN"/>
        </w:rPr>
      </w:pPr>
      <w:r>
        <w:rPr>
          <w:rFonts w:hint="eastAsia"/>
          <w:color w:val="auto"/>
          <w:szCs w:val="21"/>
          <w:highlight w:val="none"/>
        </w:rPr>
        <w:t>附表</w:t>
      </w:r>
      <w:r>
        <w:rPr>
          <w:rFonts w:hint="eastAsia"/>
          <w:color w:val="auto"/>
          <w:szCs w:val="21"/>
          <w:highlight w:val="none"/>
          <w:lang w:val="en-US" w:eastAsia="zh-CN"/>
        </w:rPr>
        <w:t>七</w:t>
      </w:r>
    </w:p>
    <w:p w14:paraId="69C27C5F">
      <w:pPr>
        <w:ind w:firstLine="480" w:firstLineChars="200"/>
        <w:jc w:val="center"/>
        <w:rPr>
          <w:rFonts w:ascii="黑体" w:hAnsi="黑体" w:eastAsia="黑体"/>
          <w:color w:val="auto"/>
          <w:sz w:val="24"/>
          <w:szCs w:val="24"/>
          <w:highlight w:val="none"/>
        </w:rPr>
      </w:pPr>
      <w:r>
        <w:rPr>
          <w:rFonts w:hint="eastAsia" w:ascii="黑体" w:hAnsi="黑体" w:eastAsia="黑体"/>
          <w:color w:val="auto"/>
          <w:sz w:val="24"/>
          <w:szCs w:val="24"/>
          <w:highlight w:val="none"/>
        </w:rPr>
        <w:t>评标委员会成员声明</w:t>
      </w:r>
    </w:p>
    <w:p w14:paraId="42FC8B85">
      <w:pPr>
        <w:rPr>
          <w:rFonts w:ascii="仿宋_GB2312" w:eastAsia="仿宋_GB2312"/>
          <w:color w:val="auto"/>
          <w:sz w:val="24"/>
          <w:szCs w:val="24"/>
          <w:highlight w:val="none"/>
        </w:rPr>
      </w:pPr>
      <w:r>
        <w:rPr>
          <w:rFonts w:hint="eastAsia" w:ascii="仿宋_GB2312" w:eastAsia="仿宋_GB2312"/>
          <w:color w:val="auto"/>
          <w:sz w:val="24"/>
          <w:szCs w:val="24"/>
          <w:highlight w:val="none"/>
          <w:u w:val="single"/>
        </w:rPr>
        <w:t xml:space="preserve">   本项目招标人  </w:t>
      </w:r>
      <w:r>
        <w:rPr>
          <w:rFonts w:hint="eastAsia" w:ascii="仿宋_GB2312" w:eastAsia="仿宋_GB2312"/>
          <w:color w:val="auto"/>
          <w:sz w:val="24"/>
          <w:szCs w:val="24"/>
          <w:highlight w:val="none"/>
        </w:rPr>
        <w:t>：</w:t>
      </w:r>
    </w:p>
    <w:p w14:paraId="212EE677">
      <w:pPr>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本人就参与</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项目的评标工作，作出郑重声明：</w:t>
      </w:r>
    </w:p>
    <w:p w14:paraId="488C2F79">
      <w:pPr>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6FE19877">
      <w:pPr>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B961130">
      <w:pPr>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581713EF">
      <w:pPr>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5F423EE">
      <w:pPr>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3482788B">
      <w:pPr>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如果本人违反上述声明内容，造成的后果由本人自行承担。</w:t>
      </w:r>
    </w:p>
    <w:p w14:paraId="23C4DA3D">
      <w:pPr>
        <w:ind w:firstLine="480" w:firstLineChars="200"/>
        <w:rPr>
          <w:rFonts w:ascii="仿宋_GB2312" w:eastAsia="仿宋_GB2312"/>
          <w:color w:val="auto"/>
          <w:sz w:val="24"/>
          <w:szCs w:val="24"/>
          <w:highlight w:val="none"/>
        </w:rPr>
      </w:pPr>
    </w:p>
    <w:p w14:paraId="74C09FE8">
      <w:pPr>
        <w:rPr>
          <w:color w:val="auto"/>
          <w:highlight w:val="none"/>
        </w:rPr>
      </w:pPr>
      <w:r>
        <w:rPr>
          <w:rFonts w:hint="eastAsia" w:ascii="仿宋_GB2312" w:eastAsia="仿宋_GB2312"/>
          <w:color w:val="auto"/>
          <w:sz w:val="24"/>
          <w:szCs w:val="24"/>
          <w:highlight w:val="none"/>
        </w:rPr>
        <w:t xml:space="preserve">                             声明人：</w:t>
      </w:r>
      <w:r>
        <w:rPr>
          <w:rFonts w:hint="eastAsia" w:ascii="仿宋_GB2312" w:eastAsia="仿宋_GB2312"/>
          <w:color w:val="auto"/>
          <w:sz w:val="24"/>
          <w:szCs w:val="24"/>
          <w:highlight w:val="none"/>
          <w:u w:val="single"/>
        </w:rPr>
        <w:t xml:space="preserve">（签名） </w:t>
      </w:r>
      <w:r>
        <w:rPr>
          <w:rFonts w:hint="eastAsia" w:ascii="仿宋_GB2312" w:eastAsia="仿宋_GB2312"/>
          <w:color w:val="auto"/>
          <w:sz w:val="32"/>
          <w:szCs w:val="32"/>
          <w:highlight w:val="none"/>
          <w:u w:val="single"/>
        </w:rPr>
        <w:t xml:space="preserve"> </w:t>
      </w:r>
      <w:r>
        <w:rPr>
          <w:color w:val="auto"/>
          <w:highlight w:val="none"/>
        </w:rPr>
        <w:br w:type="page"/>
      </w:r>
    </w:p>
    <w:p w14:paraId="525348C7">
      <w:pPr>
        <w:pStyle w:val="3"/>
        <w:jc w:val="center"/>
        <w:rPr>
          <w:rFonts w:hint="default"/>
          <w:color w:val="auto"/>
          <w:highlight w:val="none"/>
        </w:rPr>
      </w:pPr>
      <w:bookmarkStart w:id="20" w:name="_Toc9117"/>
      <w:r>
        <w:rPr>
          <w:color w:val="auto"/>
          <w:highlight w:val="none"/>
        </w:rPr>
        <w:t>第三章  合同条款</w:t>
      </w:r>
      <w:bookmarkEnd w:id="20"/>
    </w:p>
    <w:p w14:paraId="4DA41C91">
      <w:pPr>
        <w:jc w:val="center"/>
        <w:rPr>
          <w:rFonts w:ascii="宋体" w:hAnsi="宋体"/>
          <w:color w:val="auto"/>
          <w:sz w:val="24"/>
          <w:szCs w:val="24"/>
          <w:highlight w:val="none"/>
        </w:rPr>
      </w:pPr>
      <w:r>
        <w:rPr>
          <w:rFonts w:hint="eastAsia" w:ascii="宋体" w:hAnsi="宋体" w:cs="宋体"/>
          <w:color w:val="auto"/>
          <w:sz w:val="28"/>
          <w:szCs w:val="28"/>
          <w:highlight w:val="none"/>
        </w:rPr>
        <w:t>另册。</w:t>
      </w:r>
    </w:p>
    <w:p w14:paraId="5D2E9925">
      <w:pPr>
        <w:rPr>
          <w:color w:val="auto"/>
          <w:sz w:val="24"/>
          <w:szCs w:val="24"/>
          <w:highlight w:val="none"/>
        </w:rPr>
      </w:pPr>
    </w:p>
    <w:p w14:paraId="559FEDA8">
      <w:pPr>
        <w:pStyle w:val="25"/>
        <w:spacing w:line="360" w:lineRule="auto"/>
        <w:rPr>
          <w:color w:val="auto"/>
          <w:sz w:val="24"/>
          <w:szCs w:val="24"/>
          <w:highlight w:val="none"/>
        </w:rPr>
      </w:pPr>
    </w:p>
    <w:p w14:paraId="1C7380BC">
      <w:pPr>
        <w:pStyle w:val="25"/>
        <w:spacing w:line="360" w:lineRule="auto"/>
        <w:rPr>
          <w:color w:val="auto"/>
          <w:sz w:val="24"/>
          <w:szCs w:val="24"/>
          <w:highlight w:val="none"/>
        </w:rPr>
      </w:pPr>
    </w:p>
    <w:p w14:paraId="20A86D1C">
      <w:pPr>
        <w:pStyle w:val="25"/>
        <w:spacing w:line="360" w:lineRule="auto"/>
        <w:rPr>
          <w:color w:val="auto"/>
          <w:sz w:val="24"/>
          <w:szCs w:val="24"/>
          <w:highlight w:val="none"/>
        </w:rPr>
      </w:pPr>
    </w:p>
    <w:p w14:paraId="5636B204">
      <w:pPr>
        <w:pStyle w:val="25"/>
        <w:spacing w:line="360" w:lineRule="auto"/>
        <w:rPr>
          <w:color w:val="auto"/>
          <w:sz w:val="24"/>
          <w:szCs w:val="24"/>
          <w:highlight w:val="none"/>
        </w:rPr>
      </w:pPr>
    </w:p>
    <w:p w14:paraId="6505EDE2">
      <w:pPr>
        <w:pStyle w:val="25"/>
        <w:spacing w:line="360" w:lineRule="auto"/>
        <w:rPr>
          <w:color w:val="auto"/>
          <w:sz w:val="24"/>
          <w:szCs w:val="24"/>
          <w:highlight w:val="none"/>
        </w:rPr>
      </w:pPr>
    </w:p>
    <w:p w14:paraId="78DAC5A7">
      <w:pPr>
        <w:pStyle w:val="25"/>
        <w:spacing w:line="360" w:lineRule="auto"/>
        <w:rPr>
          <w:color w:val="auto"/>
          <w:sz w:val="24"/>
          <w:szCs w:val="24"/>
          <w:highlight w:val="none"/>
        </w:rPr>
      </w:pPr>
    </w:p>
    <w:p w14:paraId="1FC13AEA">
      <w:pPr>
        <w:pStyle w:val="14"/>
        <w:spacing w:line="360" w:lineRule="auto"/>
        <w:rPr>
          <w:color w:val="auto"/>
          <w:sz w:val="24"/>
          <w:szCs w:val="24"/>
          <w:highlight w:val="none"/>
        </w:rPr>
      </w:pPr>
    </w:p>
    <w:p w14:paraId="0345491D">
      <w:pPr>
        <w:pStyle w:val="14"/>
        <w:spacing w:line="360" w:lineRule="auto"/>
        <w:rPr>
          <w:color w:val="auto"/>
          <w:sz w:val="24"/>
          <w:szCs w:val="24"/>
          <w:highlight w:val="none"/>
        </w:rPr>
      </w:pPr>
      <w:r>
        <w:rPr>
          <w:color w:val="auto"/>
          <w:sz w:val="24"/>
          <w:szCs w:val="24"/>
          <w:highlight w:val="none"/>
        </w:rPr>
        <w:br w:type="page"/>
      </w:r>
    </w:p>
    <w:p w14:paraId="23611730">
      <w:pPr>
        <w:pStyle w:val="3"/>
        <w:jc w:val="center"/>
        <w:rPr>
          <w:rFonts w:hint="default"/>
          <w:color w:val="auto"/>
          <w:highlight w:val="none"/>
        </w:rPr>
      </w:pPr>
      <w:bookmarkStart w:id="21" w:name="_Toc3772"/>
      <w:r>
        <w:rPr>
          <w:color w:val="auto"/>
          <w:highlight w:val="none"/>
        </w:rPr>
        <w:t>第四章  投标文件格式</w:t>
      </w:r>
      <w:bookmarkEnd w:id="21"/>
    </w:p>
    <w:p w14:paraId="54C2DBFC">
      <w:pPr>
        <w:pStyle w:val="38"/>
        <w:spacing w:before="162" w:line="360" w:lineRule="auto"/>
        <w:outlineLvl w:val="0"/>
        <w:rPr>
          <w:rFonts w:eastAsia="宋体"/>
          <w:color w:val="auto"/>
          <w:highlight w:val="none"/>
        </w:rPr>
      </w:pPr>
      <w:bookmarkStart w:id="22" w:name="_Toc32618"/>
      <w:bookmarkStart w:id="23" w:name="_Toc7019446"/>
      <w:bookmarkStart w:id="24" w:name="_Toc8084"/>
      <w:r>
        <w:rPr>
          <w:rFonts w:hint="eastAsia" w:eastAsia="宋体"/>
          <w:color w:val="auto"/>
          <w:highlight w:val="none"/>
        </w:rPr>
        <w:t>一、技术标投标文件格式</w:t>
      </w:r>
      <w:bookmarkEnd w:id="22"/>
      <w:bookmarkEnd w:id="23"/>
      <w:bookmarkEnd w:id="24"/>
      <w:bookmarkStart w:id="25" w:name="_Toc61541786"/>
      <w:bookmarkStart w:id="26" w:name="_Toc60070621"/>
    </w:p>
    <w:p w14:paraId="0B88260F">
      <w:pPr>
        <w:rPr>
          <w:rFonts w:hint="eastAsia"/>
          <w:color w:val="auto"/>
          <w:highlight w:val="none"/>
        </w:rPr>
      </w:pPr>
      <w:r>
        <w:rPr>
          <w:rFonts w:hint="eastAsia"/>
          <w:color w:val="auto"/>
          <w:highlight w:val="none"/>
        </w:rPr>
        <w:br w:type="page"/>
      </w:r>
    </w:p>
    <w:p w14:paraId="0B9EE8B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技术标投标文件封面</w:t>
      </w:r>
    </w:p>
    <w:p w14:paraId="380212C8">
      <w:pPr>
        <w:pStyle w:val="37"/>
        <w:ind w:firstLine="496"/>
        <w:rPr>
          <w:rFonts w:ascii="宋体" w:hAnsi="宋体" w:cs="宋体"/>
          <w:color w:val="auto"/>
          <w:highlight w:val="none"/>
        </w:rPr>
      </w:pPr>
    </w:p>
    <w:p w14:paraId="7EE6B3F0">
      <w:pPr>
        <w:pStyle w:val="37"/>
        <w:ind w:firstLine="496"/>
        <w:rPr>
          <w:rFonts w:ascii="宋体" w:hAnsi="宋体" w:cs="宋体"/>
          <w:color w:val="auto"/>
          <w:highlight w:val="none"/>
        </w:rPr>
      </w:pPr>
    </w:p>
    <w:p w14:paraId="381298ED">
      <w:pPr>
        <w:pStyle w:val="37"/>
        <w:ind w:firstLine="496"/>
        <w:rPr>
          <w:rFonts w:ascii="宋体" w:hAnsi="宋体" w:cs="宋体"/>
          <w:color w:val="auto"/>
          <w:highlight w:val="none"/>
        </w:rPr>
      </w:pPr>
    </w:p>
    <w:p w14:paraId="33093373">
      <w:pPr>
        <w:pStyle w:val="39"/>
        <w:rPr>
          <w:rFonts w:ascii="宋体" w:hAnsi="宋体" w:eastAsia="宋体" w:cs="宋体"/>
          <w:color w:val="auto"/>
          <w:highlight w:val="none"/>
          <w:u w:val="single"/>
        </w:rPr>
      </w:pPr>
      <w:r>
        <w:rPr>
          <w:rFonts w:hint="eastAsia" w:ascii="宋体" w:hAnsi="宋体" w:eastAsia="宋体" w:cs="宋体"/>
          <w:color w:val="auto"/>
          <w:highlight w:val="none"/>
          <w:u w:val="single"/>
        </w:rPr>
        <w:t xml:space="preserve">[工程名称] </w:t>
      </w:r>
    </w:p>
    <w:p w14:paraId="650FD1E2">
      <w:pPr>
        <w:pStyle w:val="37"/>
        <w:ind w:firstLine="496"/>
        <w:rPr>
          <w:rFonts w:ascii="宋体" w:hAnsi="宋体" w:cs="宋体"/>
          <w:color w:val="auto"/>
          <w:highlight w:val="none"/>
        </w:rPr>
      </w:pPr>
    </w:p>
    <w:p w14:paraId="06299BF6">
      <w:pPr>
        <w:pStyle w:val="37"/>
        <w:ind w:firstLine="496"/>
        <w:rPr>
          <w:rFonts w:ascii="宋体" w:hAnsi="宋体" w:cs="宋体"/>
          <w:color w:val="auto"/>
          <w:highlight w:val="none"/>
        </w:rPr>
      </w:pPr>
    </w:p>
    <w:p w14:paraId="7836169E">
      <w:pPr>
        <w:pStyle w:val="37"/>
        <w:ind w:firstLine="496"/>
        <w:rPr>
          <w:rFonts w:ascii="宋体" w:hAnsi="宋体" w:cs="宋体"/>
          <w:color w:val="auto"/>
          <w:highlight w:val="none"/>
        </w:rPr>
      </w:pPr>
    </w:p>
    <w:p w14:paraId="30AD59A0">
      <w:pPr>
        <w:pStyle w:val="37"/>
        <w:ind w:firstLine="496"/>
        <w:rPr>
          <w:rFonts w:ascii="宋体" w:hAnsi="宋体" w:cs="宋体"/>
          <w:color w:val="auto"/>
          <w:highlight w:val="none"/>
        </w:rPr>
      </w:pPr>
    </w:p>
    <w:p w14:paraId="3D5E2C94">
      <w:pPr>
        <w:pStyle w:val="40"/>
        <w:rPr>
          <w:rFonts w:ascii="宋体" w:hAnsi="宋体" w:eastAsia="宋体" w:cs="宋体"/>
          <w:color w:val="auto"/>
          <w:highlight w:val="none"/>
        </w:rPr>
      </w:pPr>
      <w:r>
        <w:rPr>
          <w:rFonts w:hint="eastAsia" w:ascii="宋体" w:hAnsi="宋体" w:eastAsia="宋体" w:cs="宋体"/>
          <w:color w:val="auto"/>
          <w:highlight w:val="none"/>
        </w:rPr>
        <w:t>投标文件</w:t>
      </w:r>
    </w:p>
    <w:p w14:paraId="17490769">
      <w:pPr>
        <w:pStyle w:val="39"/>
        <w:rPr>
          <w:rFonts w:ascii="宋体" w:hAnsi="宋体" w:eastAsia="宋体" w:cs="宋体"/>
          <w:color w:val="auto"/>
          <w:highlight w:val="none"/>
        </w:rPr>
      </w:pPr>
      <w:r>
        <w:rPr>
          <w:rFonts w:hint="eastAsia" w:ascii="宋体" w:hAnsi="宋体" w:eastAsia="宋体"/>
          <w:b w:val="0"/>
          <w:color w:val="auto"/>
          <w:highlight w:val="none"/>
        </w:rPr>
        <w:t>技术投标文件（含资格审查文件）</w:t>
      </w:r>
    </w:p>
    <w:p w14:paraId="3DE3C2F3">
      <w:pPr>
        <w:pStyle w:val="37"/>
        <w:ind w:firstLine="496"/>
        <w:rPr>
          <w:rFonts w:ascii="宋体" w:hAnsi="宋体" w:cs="宋体"/>
          <w:color w:val="auto"/>
          <w:highlight w:val="none"/>
        </w:rPr>
      </w:pPr>
    </w:p>
    <w:p w14:paraId="15B2645A">
      <w:pPr>
        <w:pStyle w:val="37"/>
        <w:ind w:firstLine="496"/>
        <w:rPr>
          <w:rFonts w:ascii="宋体" w:hAnsi="宋体" w:cs="宋体"/>
          <w:color w:val="auto"/>
          <w:highlight w:val="none"/>
        </w:rPr>
      </w:pPr>
    </w:p>
    <w:p w14:paraId="6B8404C3">
      <w:pPr>
        <w:pStyle w:val="37"/>
        <w:ind w:firstLine="496"/>
        <w:rPr>
          <w:rFonts w:ascii="宋体" w:hAnsi="宋体" w:cs="宋体"/>
          <w:color w:val="auto"/>
          <w:highlight w:val="none"/>
        </w:rPr>
      </w:pPr>
    </w:p>
    <w:p w14:paraId="44B20E4F">
      <w:pPr>
        <w:pStyle w:val="37"/>
        <w:ind w:firstLine="496"/>
        <w:rPr>
          <w:rFonts w:ascii="宋体" w:hAnsi="宋体" w:cs="宋体"/>
          <w:color w:val="auto"/>
          <w:highlight w:val="none"/>
        </w:rPr>
      </w:pPr>
    </w:p>
    <w:p w14:paraId="7E723A49">
      <w:pPr>
        <w:pStyle w:val="37"/>
        <w:ind w:firstLine="496"/>
        <w:rPr>
          <w:rFonts w:ascii="宋体" w:hAnsi="宋体" w:cs="宋体"/>
          <w:color w:val="auto"/>
          <w:highlight w:val="none"/>
        </w:rPr>
      </w:pPr>
    </w:p>
    <w:p w14:paraId="45EE5A79">
      <w:pPr>
        <w:pStyle w:val="37"/>
        <w:ind w:firstLine="496"/>
        <w:rPr>
          <w:rFonts w:ascii="宋体" w:hAnsi="宋体" w:cs="宋体"/>
          <w:color w:val="auto"/>
          <w:highlight w:val="none"/>
        </w:rPr>
      </w:pPr>
    </w:p>
    <w:p w14:paraId="1FF3714F">
      <w:pPr>
        <w:pStyle w:val="37"/>
        <w:ind w:firstLine="496"/>
        <w:rPr>
          <w:rFonts w:ascii="宋体" w:hAnsi="宋体" w:cs="宋体"/>
          <w:color w:val="auto"/>
          <w:highlight w:val="none"/>
        </w:rPr>
      </w:pPr>
    </w:p>
    <w:p w14:paraId="22F4E334">
      <w:pPr>
        <w:pStyle w:val="41"/>
        <w:ind w:firstLine="616"/>
        <w:rPr>
          <w:rFonts w:ascii="宋体" w:hAnsi="宋体"/>
          <w:color w:val="auto"/>
          <w:highlight w:val="none"/>
        </w:rPr>
      </w:pPr>
      <w:r>
        <w:rPr>
          <w:rFonts w:hint="eastAsia" w:ascii="宋体" w:hAnsi="宋体"/>
          <w:color w:val="auto"/>
          <w:highlight w:val="none"/>
        </w:rPr>
        <w:t>投标人：</w:t>
      </w:r>
      <w:r>
        <w:rPr>
          <w:rFonts w:hint="eastAsia" w:ascii="宋体" w:hAnsi="宋体"/>
          <w:color w:val="auto"/>
          <w:highlight w:val="none"/>
          <w:u w:val="single"/>
        </w:rPr>
        <w:t xml:space="preserve">           （填写投标人单位名称） </w:t>
      </w:r>
    </w:p>
    <w:p w14:paraId="2E2D6715">
      <w:pPr>
        <w:pStyle w:val="5"/>
        <w:ind w:firstLine="540" w:firstLineChars="200"/>
        <w:rPr>
          <w:rFonts w:hint="eastAsia" w:ascii="宋体" w:hAnsi="宋体"/>
          <w:color w:val="auto"/>
          <w:highlight w:val="none"/>
          <w:u w:val="single"/>
        </w:rPr>
      </w:pPr>
      <w:bookmarkStart w:id="27" w:name="_Toc23597"/>
      <w:r>
        <w:rPr>
          <w:rFonts w:hint="eastAsia" w:ascii="宋体" w:hAnsi="宋体"/>
          <w:color w:val="auto"/>
          <w:highlight w:val="none"/>
        </w:rPr>
        <w:t>日  期：</w:t>
      </w:r>
      <w:bookmarkEnd w:id="27"/>
      <w:r>
        <w:rPr>
          <w:rFonts w:hint="eastAsia" w:ascii="宋体" w:hAnsi="宋体"/>
          <w:color w:val="auto"/>
          <w:highlight w:val="none"/>
          <w:u w:val="single"/>
        </w:rPr>
        <w:t xml:space="preserve">                                           </w:t>
      </w:r>
    </w:p>
    <w:p w14:paraId="13E5C719">
      <w:pPr>
        <w:pStyle w:val="5"/>
        <w:rPr>
          <w:rFonts w:hint="eastAsia"/>
          <w:color w:val="auto"/>
          <w:highlight w:val="none"/>
        </w:rPr>
      </w:pPr>
    </w:p>
    <w:p w14:paraId="5E75550A">
      <w:pPr>
        <w:rPr>
          <w:rFonts w:hint="eastAsia"/>
          <w:color w:val="auto"/>
          <w:highlight w:val="none"/>
        </w:rPr>
      </w:pPr>
    </w:p>
    <w:p w14:paraId="6AB43D5B">
      <w:pPr>
        <w:rPr>
          <w:rFonts w:hint="eastAsia"/>
          <w:color w:val="auto"/>
          <w:highlight w:val="none"/>
        </w:rPr>
      </w:pPr>
    </w:p>
    <w:p w14:paraId="74F4F938">
      <w:pPr>
        <w:pStyle w:val="5"/>
        <w:rPr>
          <w:color w:val="auto"/>
          <w:highlight w:val="none"/>
        </w:rPr>
      </w:pPr>
      <w:bookmarkStart w:id="28" w:name="_Toc10932"/>
      <w:r>
        <w:rPr>
          <w:rFonts w:hint="eastAsia"/>
          <w:color w:val="auto"/>
          <w:highlight w:val="none"/>
        </w:rPr>
        <w:t>格式一：</w:t>
      </w:r>
      <w:bookmarkEnd w:id="25"/>
      <w:bookmarkEnd w:id="26"/>
      <w:bookmarkEnd w:id="28"/>
    </w:p>
    <w:p w14:paraId="759AEE80">
      <w:pPr>
        <w:jc w:val="center"/>
        <w:rPr>
          <w:rFonts w:cs="宋体"/>
          <w:b/>
          <w:color w:val="auto"/>
          <w:sz w:val="36"/>
          <w:szCs w:val="36"/>
          <w:highlight w:val="none"/>
        </w:rPr>
      </w:pPr>
      <w:bookmarkStart w:id="29" w:name="_Toc58838587"/>
      <w:r>
        <w:rPr>
          <w:rFonts w:hint="eastAsia" w:cs="宋体"/>
          <w:b/>
          <w:color w:val="auto"/>
          <w:sz w:val="36"/>
          <w:szCs w:val="36"/>
          <w:highlight w:val="none"/>
        </w:rPr>
        <w:t>广州建设工程施工招标投标书（技术标）</w:t>
      </w:r>
      <w:bookmarkEnd w:id="29"/>
    </w:p>
    <w:tbl>
      <w:tblPr>
        <w:tblStyle w:val="27"/>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14:paraId="23CD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vAlign w:val="center"/>
          </w:tcPr>
          <w:p w14:paraId="7FC82848">
            <w:pPr>
              <w:autoSpaceDE w:val="0"/>
              <w:autoSpaceDN w:val="0"/>
              <w:adjustRightInd w:val="0"/>
              <w:jc w:val="center"/>
              <w:rPr>
                <w:rFonts w:cs="宋体"/>
                <w:bCs/>
                <w:color w:val="auto"/>
                <w:sz w:val="24"/>
                <w:szCs w:val="24"/>
                <w:highlight w:val="none"/>
                <w:lang w:val="zh-CN"/>
              </w:rPr>
            </w:pPr>
            <w:r>
              <w:rPr>
                <w:rFonts w:hint="eastAsia" w:cs="宋体"/>
                <w:color w:val="auto"/>
                <w:sz w:val="24"/>
                <w:szCs w:val="24"/>
                <w:highlight w:val="none"/>
                <w:lang w:val="zh-CN"/>
              </w:rPr>
              <w:t>工程名称</w:t>
            </w:r>
          </w:p>
        </w:tc>
        <w:tc>
          <w:tcPr>
            <w:tcW w:w="6045" w:type="dxa"/>
            <w:gridSpan w:val="2"/>
            <w:tcBorders>
              <w:top w:val="single" w:color="auto" w:sz="4" w:space="0"/>
              <w:left w:val="single" w:color="auto" w:sz="4" w:space="0"/>
              <w:bottom w:val="single" w:color="auto" w:sz="4" w:space="0"/>
              <w:right w:val="single" w:color="auto" w:sz="4" w:space="0"/>
            </w:tcBorders>
          </w:tcPr>
          <w:p w14:paraId="307DFBEC">
            <w:pPr>
              <w:autoSpaceDE w:val="0"/>
              <w:autoSpaceDN w:val="0"/>
              <w:adjustRightInd w:val="0"/>
              <w:rPr>
                <w:rFonts w:cs="宋体"/>
                <w:bCs/>
                <w:color w:val="auto"/>
                <w:sz w:val="24"/>
                <w:szCs w:val="24"/>
                <w:highlight w:val="none"/>
                <w:lang w:val="zh-CN"/>
              </w:rPr>
            </w:pPr>
          </w:p>
        </w:tc>
      </w:tr>
      <w:tr w14:paraId="4E47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34" w:type="dxa"/>
            <w:tcBorders>
              <w:top w:val="single" w:color="auto" w:sz="4" w:space="0"/>
              <w:left w:val="single" w:color="auto" w:sz="4" w:space="0"/>
              <w:bottom w:val="single" w:color="auto" w:sz="4" w:space="0"/>
              <w:right w:val="single" w:color="auto" w:sz="4" w:space="0"/>
            </w:tcBorders>
            <w:vAlign w:val="center"/>
          </w:tcPr>
          <w:p w14:paraId="6278D324">
            <w:pPr>
              <w:jc w:val="center"/>
              <w:rPr>
                <w:rFonts w:cs="宋体"/>
                <w:color w:val="auto"/>
                <w:sz w:val="24"/>
                <w:szCs w:val="24"/>
                <w:highlight w:val="none"/>
                <w:lang w:val="zh-CN"/>
              </w:rPr>
            </w:pPr>
            <w:r>
              <w:rPr>
                <w:rFonts w:hint="eastAsia" w:cs="宋体"/>
                <w:color w:val="auto"/>
                <w:sz w:val="24"/>
                <w:szCs w:val="24"/>
                <w:highlight w:val="none"/>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tcPr>
          <w:p w14:paraId="7622A579">
            <w:pPr>
              <w:autoSpaceDE w:val="0"/>
              <w:autoSpaceDN w:val="0"/>
              <w:adjustRightInd w:val="0"/>
              <w:rPr>
                <w:rFonts w:cs="宋体"/>
                <w:bCs/>
                <w:color w:val="auto"/>
                <w:sz w:val="24"/>
                <w:szCs w:val="24"/>
                <w:highlight w:val="none"/>
                <w:lang w:val="zh-CN"/>
              </w:rPr>
            </w:pPr>
          </w:p>
        </w:tc>
      </w:tr>
      <w:tr w14:paraId="3DAA5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vAlign w:val="center"/>
          </w:tcPr>
          <w:p w14:paraId="69FF011B">
            <w:pPr>
              <w:jc w:val="center"/>
              <w:rPr>
                <w:color w:val="auto"/>
                <w:sz w:val="24"/>
                <w:szCs w:val="24"/>
                <w:highlight w:val="none"/>
              </w:rPr>
            </w:pPr>
            <w:r>
              <w:rPr>
                <w:rFonts w:hint="eastAsia" w:cs="宋体"/>
                <w:color w:val="auto"/>
                <w:sz w:val="24"/>
                <w:szCs w:val="24"/>
                <w:highlight w:val="none"/>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tcPr>
          <w:p w14:paraId="43CB796B">
            <w:pPr>
              <w:autoSpaceDE w:val="0"/>
              <w:autoSpaceDN w:val="0"/>
              <w:adjustRightInd w:val="0"/>
              <w:rPr>
                <w:rFonts w:cs="宋体"/>
                <w:bCs/>
                <w:color w:val="auto"/>
                <w:sz w:val="24"/>
                <w:szCs w:val="24"/>
                <w:highlight w:val="none"/>
                <w:lang w:val="zh-CN"/>
              </w:rPr>
            </w:pPr>
          </w:p>
        </w:tc>
      </w:tr>
      <w:tr w14:paraId="5A5C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vAlign w:val="center"/>
          </w:tcPr>
          <w:p w14:paraId="3D8979CB">
            <w:pPr>
              <w:autoSpaceDE w:val="0"/>
              <w:autoSpaceDN w:val="0"/>
              <w:adjustRightInd w:val="0"/>
              <w:jc w:val="center"/>
              <w:rPr>
                <w:rFonts w:cs="宋体"/>
                <w:bCs/>
                <w:color w:val="auto"/>
                <w:sz w:val="24"/>
                <w:szCs w:val="24"/>
                <w:highlight w:val="none"/>
                <w:lang w:val="zh-CN"/>
              </w:rPr>
            </w:pPr>
            <w:r>
              <w:rPr>
                <w:rFonts w:hint="eastAsia" w:cs="宋体"/>
                <w:color w:val="auto"/>
                <w:sz w:val="24"/>
                <w:szCs w:val="24"/>
                <w:highlight w:val="none"/>
                <w:lang w:val="zh-CN"/>
              </w:rPr>
              <w:t>保修期限</w:t>
            </w:r>
          </w:p>
        </w:tc>
        <w:tc>
          <w:tcPr>
            <w:tcW w:w="6045" w:type="dxa"/>
            <w:gridSpan w:val="2"/>
            <w:tcBorders>
              <w:top w:val="single" w:color="auto" w:sz="4" w:space="0"/>
              <w:left w:val="single" w:color="auto" w:sz="4" w:space="0"/>
              <w:bottom w:val="single" w:color="auto" w:sz="4" w:space="0"/>
              <w:right w:val="single" w:color="auto" w:sz="4" w:space="0"/>
            </w:tcBorders>
          </w:tcPr>
          <w:p w14:paraId="0C4FF6FC">
            <w:pPr>
              <w:autoSpaceDE w:val="0"/>
              <w:autoSpaceDN w:val="0"/>
              <w:adjustRightInd w:val="0"/>
              <w:rPr>
                <w:rFonts w:cs="宋体"/>
                <w:bCs/>
                <w:color w:val="auto"/>
                <w:sz w:val="24"/>
                <w:szCs w:val="24"/>
                <w:highlight w:val="none"/>
                <w:lang w:val="zh-CN"/>
              </w:rPr>
            </w:pPr>
          </w:p>
        </w:tc>
      </w:tr>
      <w:tr w14:paraId="32F1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vAlign w:val="center"/>
          </w:tcPr>
          <w:p w14:paraId="2D40F12E">
            <w:pPr>
              <w:autoSpaceDE w:val="0"/>
              <w:autoSpaceDN w:val="0"/>
              <w:adjustRightInd w:val="0"/>
              <w:jc w:val="center"/>
              <w:rPr>
                <w:rFonts w:cs="宋体"/>
                <w:bCs/>
                <w:color w:val="auto"/>
                <w:sz w:val="24"/>
                <w:szCs w:val="24"/>
                <w:highlight w:val="none"/>
                <w:lang w:val="zh-CN"/>
              </w:rPr>
            </w:pPr>
            <w:r>
              <w:rPr>
                <w:rFonts w:hint="eastAsia" w:cs="宋体"/>
                <w:color w:val="auto"/>
                <w:sz w:val="24"/>
                <w:szCs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vAlign w:val="center"/>
          </w:tcPr>
          <w:p w14:paraId="3A21B2A0">
            <w:pPr>
              <w:jc w:val="center"/>
              <w:rPr>
                <w:color w:val="auto"/>
                <w:sz w:val="24"/>
                <w:szCs w:val="24"/>
                <w:highlight w:val="none"/>
              </w:rPr>
            </w:pPr>
            <w:r>
              <w:rPr>
                <w:rFonts w:hint="eastAsia"/>
                <w:color w:val="auto"/>
                <w:sz w:val="24"/>
                <w:szCs w:val="24"/>
                <w:highlight w:val="none"/>
              </w:rPr>
              <w:t>姓   名</w:t>
            </w:r>
          </w:p>
        </w:tc>
        <w:tc>
          <w:tcPr>
            <w:tcW w:w="3834" w:type="dxa"/>
            <w:tcBorders>
              <w:top w:val="single" w:color="auto" w:sz="4" w:space="0"/>
              <w:left w:val="single" w:color="auto" w:sz="4" w:space="0"/>
              <w:bottom w:val="single" w:color="auto" w:sz="4" w:space="0"/>
              <w:right w:val="single" w:color="auto" w:sz="4" w:space="0"/>
            </w:tcBorders>
          </w:tcPr>
          <w:p w14:paraId="62B6C13C">
            <w:pPr>
              <w:autoSpaceDE w:val="0"/>
              <w:autoSpaceDN w:val="0"/>
              <w:adjustRightInd w:val="0"/>
              <w:rPr>
                <w:rFonts w:cs="宋体"/>
                <w:bCs/>
                <w:color w:val="auto"/>
                <w:sz w:val="24"/>
                <w:szCs w:val="24"/>
                <w:highlight w:val="none"/>
                <w:lang w:val="zh-CN"/>
              </w:rPr>
            </w:pPr>
          </w:p>
        </w:tc>
      </w:tr>
      <w:tr w14:paraId="3A1A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vAlign w:val="center"/>
          </w:tcPr>
          <w:p w14:paraId="01982947">
            <w:pPr>
              <w:autoSpaceDE w:val="0"/>
              <w:autoSpaceDN w:val="0"/>
              <w:adjustRightInd w:val="0"/>
              <w:jc w:val="center"/>
              <w:rPr>
                <w:rFonts w:cs="宋体"/>
                <w:bCs/>
                <w:color w:val="auto"/>
                <w:sz w:val="24"/>
                <w:szCs w:val="24"/>
                <w:highlight w:val="none"/>
                <w:lang w:val="zh-CN"/>
              </w:rPr>
            </w:pPr>
            <w:r>
              <w:rPr>
                <w:rFonts w:hint="eastAsia" w:cs="宋体"/>
                <w:bCs/>
                <w:color w:val="auto"/>
                <w:sz w:val="24"/>
                <w:szCs w:val="24"/>
                <w:highlight w:val="none"/>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vAlign w:val="center"/>
          </w:tcPr>
          <w:p w14:paraId="49EA9842">
            <w:pPr>
              <w:autoSpaceDE w:val="0"/>
              <w:autoSpaceDN w:val="0"/>
              <w:adjustRightInd w:val="0"/>
              <w:jc w:val="center"/>
              <w:rPr>
                <w:rFonts w:cs="宋体"/>
                <w:bCs/>
                <w:color w:val="auto"/>
                <w:sz w:val="24"/>
                <w:szCs w:val="24"/>
                <w:highlight w:val="none"/>
                <w:lang w:val="zh-CN"/>
              </w:rPr>
            </w:pPr>
            <w:r>
              <w:rPr>
                <w:rFonts w:hint="eastAsia" w:cs="宋体"/>
                <w:bCs/>
                <w:color w:val="auto"/>
                <w:sz w:val="24"/>
                <w:szCs w:val="24"/>
                <w:highlight w:val="none"/>
                <w:lang w:val="zh-CN"/>
              </w:rPr>
              <w:t>姓   名</w:t>
            </w:r>
          </w:p>
        </w:tc>
        <w:tc>
          <w:tcPr>
            <w:tcW w:w="3834" w:type="dxa"/>
            <w:tcBorders>
              <w:top w:val="single" w:color="auto" w:sz="4" w:space="0"/>
              <w:left w:val="single" w:color="auto" w:sz="4" w:space="0"/>
              <w:bottom w:val="single" w:color="auto" w:sz="4" w:space="0"/>
              <w:right w:val="single" w:color="auto" w:sz="4" w:space="0"/>
            </w:tcBorders>
          </w:tcPr>
          <w:p w14:paraId="0BC45D86">
            <w:pPr>
              <w:autoSpaceDE w:val="0"/>
              <w:autoSpaceDN w:val="0"/>
              <w:adjustRightInd w:val="0"/>
              <w:rPr>
                <w:rFonts w:cs="宋体"/>
                <w:bCs/>
                <w:color w:val="auto"/>
                <w:sz w:val="24"/>
                <w:szCs w:val="24"/>
                <w:highlight w:val="none"/>
                <w:lang w:val="zh-CN"/>
              </w:rPr>
            </w:pPr>
          </w:p>
        </w:tc>
      </w:tr>
    </w:tbl>
    <w:p w14:paraId="78366711">
      <w:pPr>
        <w:autoSpaceDE w:val="0"/>
        <w:autoSpaceDN w:val="0"/>
        <w:adjustRightInd w:val="0"/>
        <w:spacing w:line="360" w:lineRule="auto"/>
        <w:rPr>
          <w:rFonts w:cs="宋体"/>
          <w:color w:val="auto"/>
          <w:sz w:val="24"/>
          <w:szCs w:val="24"/>
          <w:highlight w:val="none"/>
        </w:rPr>
      </w:pPr>
      <w:r>
        <w:rPr>
          <w:b/>
          <w:color w:val="auto"/>
          <w:highlight w:val="none"/>
        </w:rPr>
        <w:br w:type="page"/>
      </w:r>
    </w:p>
    <w:p w14:paraId="229C77F6">
      <w:pPr>
        <w:pStyle w:val="5"/>
        <w:spacing w:before="0" w:beforeAutospacing="0" w:after="0" w:afterAutospacing="0"/>
        <w:rPr>
          <w:color w:val="auto"/>
          <w:highlight w:val="none"/>
        </w:rPr>
      </w:pPr>
      <w:bookmarkStart w:id="30" w:name="_Toc32028"/>
      <w:bookmarkStart w:id="31" w:name="_Toc61541787"/>
      <w:bookmarkStart w:id="32" w:name="_Toc60070622"/>
      <w:r>
        <w:rPr>
          <w:rFonts w:hint="eastAsia"/>
          <w:color w:val="auto"/>
          <w:highlight w:val="none"/>
        </w:rPr>
        <w:t>格式二：</w:t>
      </w:r>
      <w:bookmarkEnd w:id="30"/>
      <w:bookmarkEnd w:id="31"/>
      <w:bookmarkEnd w:id="32"/>
    </w:p>
    <w:p w14:paraId="4D9F9A25">
      <w:pPr>
        <w:jc w:val="center"/>
        <w:rPr>
          <w:rFonts w:cs="宋体"/>
          <w:b/>
          <w:color w:val="auto"/>
          <w:sz w:val="36"/>
          <w:szCs w:val="36"/>
          <w:highlight w:val="none"/>
        </w:rPr>
      </w:pPr>
      <w:r>
        <w:rPr>
          <w:rFonts w:hint="eastAsia" w:cs="宋体"/>
          <w:b/>
          <w:color w:val="auto"/>
          <w:sz w:val="36"/>
          <w:szCs w:val="36"/>
          <w:highlight w:val="none"/>
        </w:rPr>
        <w:t>投标函</w:t>
      </w:r>
    </w:p>
    <w:p w14:paraId="1F2FF2EC">
      <w:pPr>
        <w:topLinePunct/>
        <w:adjustRightInd w:val="0"/>
        <w:snapToGrid w:val="0"/>
        <w:spacing w:line="440" w:lineRule="exact"/>
        <w:rPr>
          <w:rFonts w:cs="宋体"/>
          <w:snapToGrid w:val="0"/>
          <w:color w:val="auto"/>
          <w:spacing w:val="4"/>
          <w:kern w:val="0"/>
          <w:sz w:val="22"/>
          <w:szCs w:val="22"/>
          <w:highlight w:val="none"/>
        </w:rPr>
      </w:pPr>
      <w:r>
        <w:rPr>
          <w:rFonts w:hint="eastAsia" w:cs="宋体"/>
          <w:snapToGrid w:val="0"/>
          <w:color w:val="auto"/>
          <w:spacing w:val="4"/>
          <w:kern w:val="0"/>
          <w:sz w:val="22"/>
          <w:szCs w:val="22"/>
          <w:highlight w:val="none"/>
        </w:rPr>
        <w:t>致：</w:t>
      </w:r>
      <w:r>
        <w:rPr>
          <w:rFonts w:hint="eastAsia" w:cs="宋体"/>
          <w:snapToGrid w:val="0"/>
          <w:color w:val="auto"/>
          <w:spacing w:val="4"/>
          <w:kern w:val="0"/>
          <w:sz w:val="22"/>
          <w:szCs w:val="22"/>
          <w:highlight w:val="none"/>
          <w:u w:val="single"/>
        </w:rPr>
        <w:t xml:space="preserve"> （招标人名称） </w:t>
      </w:r>
    </w:p>
    <w:p w14:paraId="0D400887">
      <w:pPr>
        <w:pStyle w:val="37"/>
        <w:ind w:firstLine="496"/>
        <w:rPr>
          <w:rFonts w:ascii="宋体" w:hAnsi="宋体" w:eastAsia="宋体"/>
          <w:color w:val="auto"/>
          <w:sz w:val="22"/>
          <w:szCs w:val="22"/>
          <w:highlight w:val="none"/>
        </w:rPr>
      </w:pPr>
      <w:r>
        <w:rPr>
          <w:rFonts w:hint="eastAsia" w:ascii="宋体" w:hAnsi="宋体" w:eastAsia="宋体"/>
          <w:color w:val="auto"/>
          <w:sz w:val="22"/>
          <w:szCs w:val="22"/>
          <w:highlight w:val="none"/>
        </w:rPr>
        <w:t>1.根据招标人</w:t>
      </w:r>
      <w:r>
        <w:rPr>
          <w:rFonts w:hint="eastAsia" w:ascii="宋体" w:hAnsi="宋体" w:eastAsia="宋体"/>
          <w:color w:val="auto"/>
          <w:sz w:val="22"/>
          <w:szCs w:val="22"/>
          <w:highlight w:val="none"/>
          <w:u w:val="single"/>
        </w:rPr>
        <w:t xml:space="preserve"> （工程项目名称） </w:t>
      </w:r>
      <w:r>
        <w:rPr>
          <w:rFonts w:hint="eastAsia" w:ascii="宋体" w:hAnsi="宋体" w:eastAsia="宋体"/>
          <w:color w:val="auto"/>
          <w:sz w:val="22"/>
          <w:szCs w:val="22"/>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1186A02B">
      <w:pPr>
        <w:pStyle w:val="37"/>
        <w:ind w:firstLine="496"/>
        <w:rPr>
          <w:rFonts w:ascii="宋体" w:hAnsi="宋体" w:eastAsia="宋体"/>
          <w:color w:val="auto"/>
          <w:sz w:val="22"/>
          <w:szCs w:val="22"/>
          <w:highlight w:val="none"/>
        </w:rPr>
      </w:pPr>
      <w:r>
        <w:rPr>
          <w:rFonts w:hint="eastAsia" w:ascii="宋体" w:hAnsi="宋体" w:eastAsia="宋体"/>
          <w:color w:val="auto"/>
          <w:sz w:val="22"/>
          <w:szCs w:val="22"/>
          <w:highlight w:val="none"/>
        </w:rPr>
        <w:t>2.我方已详细审核全部招标文件，包括修改文件（如有时）及有关附件。</w:t>
      </w:r>
    </w:p>
    <w:p w14:paraId="436AB5E7">
      <w:pPr>
        <w:pStyle w:val="37"/>
        <w:ind w:firstLine="496"/>
        <w:rPr>
          <w:rFonts w:ascii="宋体" w:hAnsi="宋体" w:eastAsia="宋体"/>
          <w:color w:val="auto"/>
          <w:sz w:val="22"/>
          <w:szCs w:val="22"/>
          <w:highlight w:val="none"/>
        </w:rPr>
      </w:pPr>
      <w:r>
        <w:rPr>
          <w:rFonts w:hint="eastAsia" w:ascii="宋体" w:hAnsi="宋体" w:eastAsia="宋体"/>
          <w:color w:val="auto"/>
          <w:sz w:val="22"/>
          <w:szCs w:val="22"/>
          <w:highlight w:val="none"/>
        </w:rPr>
        <w:t>3.如果我方中标，我方保证按照合同文件中规定的开工日期开始施工，并按规定的预计竣工日期完成和交付全部工程。</w:t>
      </w:r>
    </w:p>
    <w:p w14:paraId="14240AC9">
      <w:pPr>
        <w:pStyle w:val="37"/>
        <w:ind w:firstLine="496"/>
        <w:rPr>
          <w:rFonts w:ascii="宋体" w:hAnsi="宋体" w:eastAsia="宋体"/>
          <w:color w:val="auto"/>
          <w:sz w:val="22"/>
          <w:szCs w:val="22"/>
          <w:highlight w:val="none"/>
        </w:rPr>
      </w:pPr>
      <w:r>
        <w:rPr>
          <w:rFonts w:hint="eastAsia" w:ascii="宋体" w:hAnsi="宋体" w:eastAsia="宋体"/>
          <w:color w:val="auto"/>
          <w:sz w:val="22"/>
          <w:szCs w:val="22"/>
          <w:highlight w:val="none"/>
        </w:rPr>
        <w:t>4.如果我方中标，我方承诺在充分考虑场地环境变化及政策性调整等风险因素的前提下，继续补充完善施工组织设计，直至招标人满意为止并加以实施，由此产生的费用已包含在投标报价中。</w:t>
      </w:r>
    </w:p>
    <w:p w14:paraId="2E584DC0">
      <w:pPr>
        <w:pStyle w:val="37"/>
        <w:ind w:firstLine="496"/>
        <w:rPr>
          <w:rFonts w:ascii="宋体" w:hAnsi="宋体" w:eastAsia="宋体"/>
          <w:color w:val="auto"/>
          <w:sz w:val="22"/>
          <w:szCs w:val="22"/>
          <w:highlight w:val="none"/>
          <w:u w:val="single"/>
        </w:rPr>
      </w:pPr>
      <w:r>
        <w:rPr>
          <w:rFonts w:hint="eastAsia" w:ascii="宋体" w:hAnsi="宋体" w:eastAsia="宋体"/>
          <w:color w:val="auto"/>
          <w:sz w:val="22"/>
          <w:szCs w:val="22"/>
          <w:highlight w:val="none"/>
          <w:u w:val="singl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6A2957A2">
      <w:pPr>
        <w:pStyle w:val="37"/>
        <w:ind w:firstLine="496"/>
        <w:rPr>
          <w:rFonts w:ascii="宋体" w:hAnsi="宋体" w:eastAsia="宋体"/>
          <w:color w:val="auto"/>
          <w:sz w:val="22"/>
          <w:szCs w:val="22"/>
          <w:highlight w:val="none"/>
        </w:rPr>
      </w:pPr>
      <w:r>
        <w:rPr>
          <w:rFonts w:hint="eastAsia" w:ascii="宋体" w:hAnsi="宋体" w:eastAsia="宋体"/>
          <w:color w:val="auto"/>
          <w:sz w:val="22"/>
          <w:szCs w:val="22"/>
          <w:highlight w:val="none"/>
        </w:rPr>
        <w:t>6.如果我方中标，我方将按照招标文件的规定，按时提交履约担保，以保障本项目优质、优价、按期、顺利完成。</w:t>
      </w:r>
    </w:p>
    <w:p w14:paraId="11753A34">
      <w:pPr>
        <w:pStyle w:val="37"/>
        <w:ind w:firstLine="496"/>
        <w:rPr>
          <w:rFonts w:ascii="宋体" w:hAnsi="宋体" w:eastAsia="宋体"/>
          <w:color w:val="auto"/>
          <w:sz w:val="22"/>
          <w:szCs w:val="22"/>
          <w:highlight w:val="none"/>
        </w:rPr>
      </w:pPr>
      <w:r>
        <w:rPr>
          <w:rFonts w:hint="eastAsia" w:ascii="宋体" w:hAnsi="宋体" w:eastAsia="宋体"/>
          <w:color w:val="auto"/>
          <w:sz w:val="22"/>
          <w:szCs w:val="22"/>
          <w:highlight w:val="none"/>
        </w:rPr>
        <w:t>7.我方同意所提交的投标文件在招标文件投标须知中第15条规定的投标有效期内有效，在此期限届满之前，本投标书始终将对我方具有约束力，并随时接受中标。</w:t>
      </w:r>
    </w:p>
    <w:p w14:paraId="735C2C40">
      <w:pPr>
        <w:pStyle w:val="37"/>
        <w:ind w:firstLine="496"/>
        <w:rPr>
          <w:rFonts w:ascii="宋体" w:hAnsi="宋体" w:eastAsia="宋体"/>
          <w:color w:val="auto"/>
          <w:sz w:val="22"/>
          <w:szCs w:val="22"/>
          <w:highlight w:val="none"/>
        </w:rPr>
      </w:pPr>
      <w:r>
        <w:rPr>
          <w:rFonts w:hint="eastAsia" w:ascii="宋体" w:hAnsi="宋体" w:eastAsia="宋体"/>
          <w:color w:val="auto"/>
          <w:sz w:val="22"/>
          <w:szCs w:val="22"/>
          <w:highlight w:val="none"/>
        </w:rPr>
        <w:t>8.在合同协议书正式签署生效之前，本投标书连同你单位的中标通知书将构成我们双方之间共同遵守的文件，对双方具有约束力。</w:t>
      </w:r>
    </w:p>
    <w:p w14:paraId="41387786">
      <w:pPr>
        <w:pStyle w:val="37"/>
        <w:ind w:firstLine="496"/>
        <w:rPr>
          <w:rFonts w:ascii="宋体" w:hAnsi="宋体" w:eastAsia="宋体"/>
          <w:color w:val="auto"/>
          <w:sz w:val="22"/>
          <w:szCs w:val="22"/>
          <w:highlight w:val="none"/>
        </w:rPr>
      </w:pPr>
      <w:r>
        <w:rPr>
          <w:rFonts w:hint="eastAsia" w:ascii="宋体" w:hAnsi="宋体" w:eastAsia="宋体"/>
          <w:color w:val="auto"/>
          <w:sz w:val="22"/>
          <w:szCs w:val="22"/>
          <w:highlight w:val="none"/>
        </w:rPr>
        <w:t>9.随同本投标文件，我方已提交人民币</w:t>
      </w:r>
      <w:r>
        <w:rPr>
          <w:rFonts w:hint="eastAsia" w:ascii="宋体" w:hAnsi="宋体" w:eastAsia="宋体"/>
          <w:color w:val="auto"/>
          <w:sz w:val="22"/>
          <w:szCs w:val="22"/>
          <w:highlight w:val="none"/>
          <w:u w:val="single"/>
        </w:rPr>
        <w:t xml:space="preserve">          </w:t>
      </w:r>
      <w:r>
        <w:rPr>
          <w:rFonts w:hint="eastAsia" w:ascii="宋体" w:hAnsi="宋体" w:eastAsia="宋体"/>
          <w:color w:val="auto"/>
          <w:sz w:val="22"/>
          <w:szCs w:val="22"/>
          <w:highlight w:val="none"/>
          <w:u w:val="none"/>
        </w:rPr>
        <w:t xml:space="preserve"> 元</w:t>
      </w:r>
      <w:r>
        <w:rPr>
          <w:rFonts w:hint="eastAsia" w:ascii="宋体" w:hAnsi="宋体" w:eastAsia="宋体"/>
          <w:color w:val="auto"/>
          <w:sz w:val="22"/>
          <w:szCs w:val="22"/>
          <w:highlight w:val="none"/>
        </w:rPr>
        <w:t>的投标担保。如果我方在投标文件有效期内撤销投标文件；或在接到中标通知书后30天内未能或拒绝签订合同协议书；或未能按招标文件要求提交履约担保，你单位有权没收投标保证金，另选中标单位。</w:t>
      </w:r>
    </w:p>
    <w:p w14:paraId="7FE3B893">
      <w:pPr>
        <w:pStyle w:val="37"/>
        <w:ind w:firstLine="496"/>
        <w:rPr>
          <w:rFonts w:ascii="宋体" w:hAnsi="宋体" w:eastAsia="宋体"/>
          <w:color w:val="auto"/>
          <w:sz w:val="22"/>
          <w:szCs w:val="22"/>
          <w:highlight w:val="none"/>
        </w:rPr>
      </w:pPr>
      <w:r>
        <w:rPr>
          <w:rFonts w:hint="eastAsia" w:ascii="宋体" w:hAnsi="宋体" w:eastAsia="宋体"/>
          <w:color w:val="auto"/>
          <w:sz w:val="22"/>
          <w:szCs w:val="22"/>
          <w:highlight w:val="none"/>
        </w:rPr>
        <w:t>10.我方理解，你单位不一定接受最低标价的投标或你单位接到的其它任何投标。同时也理解，你单位不负担我方的任何投标费用。</w:t>
      </w:r>
    </w:p>
    <w:p w14:paraId="59FAB8A0">
      <w:pPr>
        <w:pStyle w:val="37"/>
        <w:ind w:firstLine="496"/>
        <w:rPr>
          <w:rFonts w:ascii="宋体" w:hAnsi="宋体" w:eastAsia="宋体"/>
          <w:color w:val="auto"/>
          <w:sz w:val="22"/>
          <w:szCs w:val="22"/>
          <w:highlight w:val="none"/>
        </w:rPr>
      </w:pPr>
    </w:p>
    <w:p w14:paraId="6A04BC3E">
      <w:pPr>
        <w:pStyle w:val="37"/>
        <w:ind w:firstLine="636" w:firstLineChars="279"/>
        <w:rPr>
          <w:rFonts w:ascii="宋体" w:hAnsi="宋体" w:eastAsia="宋体"/>
          <w:color w:val="auto"/>
          <w:sz w:val="22"/>
          <w:szCs w:val="22"/>
          <w:highlight w:val="none"/>
        </w:rPr>
      </w:pPr>
      <w:r>
        <w:rPr>
          <w:rFonts w:hint="eastAsia" w:ascii="宋体" w:hAnsi="宋体" w:eastAsia="宋体"/>
          <w:color w:val="auto"/>
          <w:sz w:val="22"/>
          <w:szCs w:val="22"/>
          <w:highlight w:val="none"/>
        </w:rPr>
        <w:t>投 标 人：</w:t>
      </w:r>
    </w:p>
    <w:p w14:paraId="1D9BA057">
      <w:pPr>
        <w:pStyle w:val="37"/>
        <w:ind w:firstLine="636" w:firstLineChars="279"/>
        <w:rPr>
          <w:rFonts w:hint="eastAsia" w:ascii="宋体" w:hAnsi="宋体" w:eastAsia="宋体"/>
          <w:color w:val="auto"/>
          <w:sz w:val="22"/>
          <w:szCs w:val="22"/>
          <w:highlight w:val="none"/>
        </w:rPr>
      </w:pPr>
      <w:r>
        <w:rPr>
          <w:rFonts w:hint="eastAsia" w:ascii="宋体" w:hAnsi="宋体" w:eastAsia="宋体"/>
          <w:color w:val="auto"/>
          <w:sz w:val="22"/>
          <w:szCs w:val="22"/>
          <w:highlight w:val="none"/>
        </w:rPr>
        <w:t xml:space="preserve">日    期：    年    月    日 </w:t>
      </w:r>
    </w:p>
    <w:p w14:paraId="2D1C0F7D">
      <w:pPr>
        <w:autoSpaceDN w:val="0"/>
        <w:jc w:val="center"/>
        <w:rPr>
          <w:rFonts w:cs="宋体"/>
          <w:color w:val="auto"/>
          <w:szCs w:val="20"/>
          <w:highlight w:val="none"/>
        </w:rPr>
      </w:pPr>
      <w:r>
        <w:rPr>
          <w:rFonts w:hint="eastAsia" w:cs="宋体"/>
          <w:color w:val="auto"/>
          <w:szCs w:val="20"/>
          <w:highlight w:val="none"/>
        </w:rPr>
        <w:br w:type="page"/>
      </w:r>
    </w:p>
    <w:p w14:paraId="659EB160">
      <w:pPr>
        <w:tabs>
          <w:tab w:val="left" w:pos="720"/>
        </w:tabs>
        <w:snapToGrid w:val="0"/>
        <w:spacing w:line="440" w:lineRule="exact"/>
        <w:rPr>
          <w:rFonts w:hint="eastAsia"/>
          <w:color w:val="auto"/>
          <w:sz w:val="24"/>
          <w:szCs w:val="24"/>
          <w:highlight w:val="none"/>
        </w:rPr>
      </w:pPr>
      <w:bookmarkStart w:id="33" w:name="_Toc60070623"/>
      <w:bookmarkStart w:id="34" w:name="_Toc61541788"/>
      <w:r>
        <w:rPr>
          <w:rFonts w:hint="eastAsia"/>
          <w:color w:val="auto"/>
          <w:sz w:val="24"/>
          <w:szCs w:val="24"/>
          <w:highlight w:val="none"/>
        </w:rPr>
        <w:t>格式三：</w:t>
      </w:r>
      <w:bookmarkEnd w:id="33"/>
      <w:bookmarkEnd w:id="34"/>
    </w:p>
    <w:p w14:paraId="158410E6">
      <w:pPr>
        <w:widowControl/>
        <w:topLinePunct/>
        <w:adjustRightInd w:val="0"/>
        <w:snapToGrid w:val="0"/>
        <w:spacing w:line="360" w:lineRule="auto"/>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法定代表人（负责人）证明书、法定代表人授权委托书</w:t>
      </w:r>
    </w:p>
    <w:p w14:paraId="27D7C19F">
      <w:pPr>
        <w:spacing w:line="360" w:lineRule="auto"/>
        <w:rPr>
          <w:rFonts w:ascii="宋体" w:hAnsi="宋体" w:cs="宋体"/>
          <w:color w:val="auto"/>
          <w:sz w:val="24"/>
          <w:highlight w:val="none"/>
        </w:rPr>
      </w:pPr>
    </w:p>
    <w:p w14:paraId="0AE1AFBE">
      <w:pPr>
        <w:spacing w:line="360" w:lineRule="auto"/>
        <w:jc w:val="center"/>
        <w:rPr>
          <w:rFonts w:ascii="宋体" w:hAnsi="宋体" w:cs="宋体"/>
          <w:b/>
          <w:color w:val="auto"/>
          <w:sz w:val="28"/>
          <w:highlight w:val="none"/>
        </w:rPr>
      </w:pPr>
      <w:r>
        <w:rPr>
          <w:rFonts w:hint="eastAsia" w:ascii="宋体" w:hAnsi="宋体" w:cs="宋体"/>
          <w:b/>
          <w:color w:val="auto"/>
          <w:sz w:val="28"/>
          <w:highlight w:val="none"/>
        </w:rPr>
        <w:t>法定代表人（负责人）证明书</w:t>
      </w:r>
    </w:p>
    <w:p w14:paraId="659684BF">
      <w:pPr>
        <w:spacing w:line="360" w:lineRule="auto"/>
        <w:jc w:val="right"/>
        <w:rPr>
          <w:rFonts w:ascii="宋体" w:hAnsi="宋体" w:cs="宋体"/>
          <w:color w:val="auto"/>
          <w:sz w:val="24"/>
          <w:highlight w:val="none"/>
        </w:rPr>
      </w:pPr>
      <w:r>
        <w:rPr>
          <w:rFonts w:hint="eastAsia" w:ascii="宋体" w:hAnsi="宋体" w:cs="宋体"/>
          <w:color w:val="auto"/>
          <w:highlight w:val="none"/>
        </w:rPr>
        <w:t>（　 ）第　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D95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7" w:type="dxa"/>
            <w:noWrap w:val="0"/>
            <w:vAlign w:val="top"/>
          </w:tcPr>
          <w:p w14:paraId="50A9509D">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现任我单位</w:t>
            </w:r>
            <w:r>
              <w:rPr>
                <w:rFonts w:hint="eastAsia" w:ascii="宋体" w:hAnsi="宋体" w:cs="宋体"/>
                <w:color w:val="auto"/>
                <w:sz w:val="24"/>
                <w:highlight w:val="none"/>
                <w:u w:val="single"/>
              </w:rPr>
              <w:t>　　　　　</w:t>
            </w:r>
            <w:r>
              <w:rPr>
                <w:rFonts w:hint="eastAsia" w:ascii="宋体" w:hAnsi="宋体" w:cs="宋体"/>
                <w:color w:val="auto"/>
                <w:sz w:val="24"/>
                <w:highlight w:val="none"/>
              </w:rPr>
              <w:t>职务，为法定代表人（负责人），特此证明。</w:t>
            </w:r>
          </w:p>
          <w:p w14:paraId="078F277E">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u w:val="single"/>
              </w:rPr>
            </w:pPr>
            <w:r>
              <w:rPr>
                <w:rFonts w:hint="eastAsia" w:ascii="宋体" w:hAnsi="宋体" w:cs="宋体"/>
                <w:color w:val="auto"/>
                <w:sz w:val="24"/>
                <w:highlight w:val="none"/>
              </w:rPr>
              <w:t>有效期限：</w:t>
            </w:r>
            <w:r>
              <w:rPr>
                <w:rFonts w:hint="eastAsia" w:ascii="宋体" w:hAnsi="宋体" w:cs="宋体"/>
                <w:color w:val="auto"/>
                <w:sz w:val="24"/>
                <w:highlight w:val="none"/>
                <w:u w:val="single"/>
              </w:rPr>
              <w:t xml:space="preserve">                                </w:t>
            </w:r>
          </w:p>
          <w:p w14:paraId="2271B74F">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u w:val="single"/>
              </w:rPr>
            </w:pPr>
            <w:r>
              <w:rPr>
                <w:rFonts w:hint="eastAsia" w:ascii="宋体" w:hAnsi="宋体" w:cs="宋体"/>
                <w:color w:val="auto"/>
                <w:sz w:val="24"/>
                <w:highlight w:val="none"/>
              </w:rPr>
              <w:t>附：法定代表人（负责人）性别：</w:t>
            </w:r>
            <w:r>
              <w:rPr>
                <w:rFonts w:hint="eastAsia" w:ascii="宋体" w:hAnsi="宋体" w:cs="宋体"/>
                <w:color w:val="auto"/>
                <w:sz w:val="24"/>
                <w:highlight w:val="none"/>
                <w:u w:val="single"/>
              </w:rPr>
              <w:t>　　</w:t>
            </w:r>
            <w:r>
              <w:rPr>
                <w:rFonts w:hint="eastAsia" w:ascii="宋体" w:hAnsi="宋体" w:cs="宋体"/>
                <w:color w:val="auto"/>
                <w:sz w:val="24"/>
                <w:highlight w:val="none"/>
              </w:rPr>
              <w:t>年龄：</w:t>
            </w:r>
            <w:r>
              <w:rPr>
                <w:rFonts w:hint="eastAsia" w:ascii="宋体" w:hAnsi="宋体" w:cs="宋体"/>
                <w:color w:val="auto"/>
                <w:sz w:val="24"/>
                <w:highlight w:val="none"/>
                <w:u w:val="single"/>
              </w:rPr>
              <w:t>　　</w:t>
            </w: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DE87F15">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u w:val="single"/>
              </w:rPr>
            </w:pPr>
            <w:r>
              <w:rPr>
                <w:rFonts w:hint="eastAsia" w:ascii="宋体" w:hAnsi="宋体" w:cs="宋体"/>
                <w:color w:val="auto"/>
                <w:sz w:val="24"/>
                <w:highlight w:val="none"/>
              </w:rPr>
              <w:t>注册号码：</w:t>
            </w:r>
            <w:r>
              <w:rPr>
                <w:rFonts w:hint="eastAsia" w:ascii="宋体" w:hAnsi="宋体" w:cs="宋体"/>
                <w:color w:val="auto"/>
                <w:sz w:val="24"/>
                <w:highlight w:val="none"/>
                <w:u w:val="single"/>
              </w:rPr>
              <w:t>　　　　　　　　　　</w:t>
            </w:r>
            <w:r>
              <w:rPr>
                <w:rFonts w:hint="eastAsia" w:ascii="宋体" w:hAnsi="宋体" w:cs="宋体"/>
                <w:color w:val="auto"/>
                <w:sz w:val="24"/>
                <w:highlight w:val="none"/>
              </w:rPr>
              <w:t>企业类型：</w:t>
            </w:r>
            <w:r>
              <w:rPr>
                <w:rFonts w:hint="eastAsia" w:ascii="宋体" w:hAnsi="宋体" w:cs="宋体"/>
                <w:color w:val="auto"/>
                <w:sz w:val="24"/>
                <w:highlight w:val="none"/>
                <w:u w:val="single"/>
              </w:rPr>
              <w:t xml:space="preserve">                   </w:t>
            </w:r>
          </w:p>
          <w:p w14:paraId="65A437D9">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u w:val="single"/>
              </w:rPr>
            </w:pPr>
            <w:r>
              <w:rPr>
                <w:rFonts w:hint="eastAsia" w:ascii="宋体" w:hAnsi="宋体" w:cs="宋体"/>
                <w:color w:val="auto"/>
                <w:sz w:val="24"/>
                <w:highlight w:val="none"/>
              </w:rPr>
              <w:t>经营范围：</w:t>
            </w:r>
            <w:r>
              <w:rPr>
                <w:rFonts w:hint="eastAsia" w:ascii="宋体" w:hAnsi="宋体" w:cs="宋体"/>
                <w:color w:val="auto"/>
                <w:sz w:val="24"/>
                <w:highlight w:val="none"/>
                <w:u w:val="single"/>
              </w:rPr>
              <w:t xml:space="preserve">                          </w:t>
            </w:r>
          </w:p>
          <w:p w14:paraId="0EB72622">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单位：　　　　　　（盖章）</w:t>
            </w:r>
          </w:p>
          <w:p w14:paraId="65BCE43A">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　　　　　    年　月　　日</w:t>
            </w:r>
          </w:p>
        </w:tc>
      </w:tr>
    </w:tbl>
    <w:p w14:paraId="3E3490B6">
      <w:pPr>
        <w:spacing w:line="360" w:lineRule="auto"/>
        <w:jc w:val="center"/>
        <w:rPr>
          <w:rFonts w:ascii="宋体" w:hAnsi="宋体" w:cs="宋体"/>
          <w:b/>
          <w:color w:val="auto"/>
          <w:sz w:val="24"/>
          <w:highlight w:val="none"/>
        </w:rPr>
      </w:pPr>
    </w:p>
    <w:p w14:paraId="3A400F65">
      <w:pPr>
        <w:spacing w:line="360" w:lineRule="auto"/>
        <w:jc w:val="center"/>
        <w:rPr>
          <w:rFonts w:ascii="宋体" w:hAnsi="宋体" w:cs="宋体"/>
          <w:b/>
          <w:color w:val="auto"/>
          <w:sz w:val="24"/>
          <w:highlight w:val="none"/>
        </w:rPr>
      </w:pPr>
    </w:p>
    <w:p w14:paraId="1DF82A1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法定代表人授权委托书</w:t>
      </w:r>
    </w:p>
    <w:p w14:paraId="20EE5A68">
      <w:pPr>
        <w:spacing w:line="360" w:lineRule="auto"/>
        <w:jc w:val="right"/>
        <w:rPr>
          <w:rFonts w:ascii="宋体" w:hAnsi="宋体" w:cs="宋体"/>
          <w:color w:val="auto"/>
          <w:sz w:val="24"/>
          <w:highlight w:val="none"/>
        </w:rPr>
      </w:pPr>
      <w:r>
        <w:rPr>
          <w:rFonts w:hint="eastAsia" w:ascii="宋体" w:hAnsi="宋体" w:cs="宋体"/>
          <w:color w:val="auto"/>
          <w:highlight w:val="none"/>
        </w:rPr>
        <w:t>（　 ）第　号</w:t>
      </w:r>
    </w:p>
    <w:tbl>
      <w:tblPr>
        <w:tblStyle w:val="27"/>
        <w:tblW w:w="0" w:type="auto"/>
        <w:jc w:val="center"/>
        <w:tblLayout w:type="fixed"/>
        <w:tblCellMar>
          <w:top w:w="0" w:type="dxa"/>
          <w:left w:w="108" w:type="dxa"/>
          <w:bottom w:w="0" w:type="dxa"/>
          <w:right w:w="108" w:type="dxa"/>
        </w:tblCellMar>
      </w:tblPr>
      <w:tblGrid>
        <w:gridCol w:w="9287"/>
      </w:tblGrid>
      <w:tr w14:paraId="3AB991EB">
        <w:tblPrEx>
          <w:tblCellMar>
            <w:top w:w="0" w:type="dxa"/>
            <w:left w:w="108" w:type="dxa"/>
            <w:bottom w:w="0" w:type="dxa"/>
            <w:right w:w="108" w:type="dxa"/>
          </w:tblCellMar>
        </w:tblPrEx>
        <w:trPr>
          <w:jc w:val="center"/>
        </w:trPr>
        <w:tc>
          <w:tcPr>
            <w:tcW w:w="9287" w:type="dxa"/>
            <w:tcBorders>
              <w:top w:val="single" w:color="auto" w:sz="4" w:space="0"/>
              <w:left w:val="single" w:color="auto" w:sz="4" w:space="0"/>
              <w:bottom w:val="single" w:color="auto" w:sz="4" w:space="0"/>
              <w:right w:val="single" w:color="auto" w:sz="4" w:space="0"/>
            </w:tcBorders>
            <w:noWrap w:val="0"/>
            <w:vAlign w:val="top"/>
          </w:tcPr>
          <w:p w14:paraId="40F9989E">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为我方委托代理人，其权限是：</w:t>
            </w:r>
            <w:r>
              <w:rPr>
                <w:rFonts w:hint="eastAsia" w:ascii="宋体" w:hAnsi="宋体" w:cs="宋体"/>
                <w:color w:val="auto"/>
                <w:sz w:val="24"/>
                <w:highlight w:val="none"/>
                <w:u w:val="single"/>
              </w:rPr>
              <w:t xml:space="preserve">               </w:t>
            </w:r>
          </w:p>
          <w:p w14:paraId="67203588">
            <w:pPr>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 xml:space="preserve">                                                                  </w:t>
            </w:r>
          </w:p>
          <w:p w14:paraId="299F1165">
            <w:pPr>
              <w:spacing w:line="360" w:lineRule="auto"/>
              <w:rPr>
                <w:rFonts w:ascii="宋体" w:hAnsi="宋体" w:cs="宋体"/>
                <w:color w:val="auto"/>
                <w:sz w:val="24"/>
                <w:highlight w:val="none"/>
                <w:u w:val="single"/>
              </w:rPr>
            </w:pPr>
            <w:r>
              <w:rPr>
                <w:rFonts w:hint="eastAsia" w:ascii="宋体" w:hAnsi="宋体" w:cs="宋体"/>
                <w:color w:val="auto"/>
                <w:sz w:val="24"/>
                <w:highlight w:val="none"/>
              </w:rPr>
              <w:t>有效期限：</w:t>
            </w:r>
            <w:r>
              <w:rPr>
                <w:rFonts w:hint="eastAsia" w:ascii="宋体" w:hAnsi="宋体" w:cs="宋体"/>
                <w:color w:val="auto"/>
                <w:sz w:val="24"/>
                <w:highlight w:val="none"/>
                <w:u w:val="single"/>
              </w:rPr>
              <w:t xml:space="preserve">                                                       </w:t>
            </w:r>
          </w:p>
          <w:p w14:paraId="063BDA54">
            <w:pPr>
              <w:spacing w:line="360" w:lineRule="auto"/>
              <w:rPr>
                <w:rFonts w:ascii="宋体" w:hAnsi="宋体" w:cs="宋体"/>
                <w:color w:val="auto"/>
                <w:sz w:val="24"/>
                <w:highlight w:val="none"/>
              </w:rPr>
            </w:pPr>
            <w:r>
              <w:rPr>
                <w:rFonts w:hint="eastAsia" w:ascii="宋体" w:hAnsi="宋体" w:cs="宋体"/>
                <w:color w:val="auto"/>
                <w:sz w:val="24"/>
                <w:highlight w:val="none"/>
              </w:rPr>
              <w:t>附：代理人性别：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7CD6A101">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注册号码：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企业类型：</w:t>
            </w:r>
            <w:r>
              <w:rPr>
                <w:rFonts w:hint="eastAsia" w:ascii="宋体" w:hAnsi="宋体" w:cs="宋体"/>
                <w:color w:val="auto"/>
                <w:sz w:val="24"/>
                <w:highlight w:val="none"/>
                <w:u w:val="single"/>
              </w:rPr>
              <w:t xml:space="preserve">                      </w:t>
            </w:r>
          </w:p>
          <w:p w14:paraId="79B6BE96">
            <w:pPr>
              <w:spacing w:line="360" w:lineRule="auto"/>
              <w:rPr>
                <w:rFonts w:ascii="宋体" w:hAnsi="宋体" w:cs="宋体"/>
                <w:color w:val="auto"/>
                <w:sz w:val="24"/>
                <w:highlight w:val="none"/>
                <w:u w:val="single"/>
              </w:rPr>
            </w:pPr>
            <w:r>
              <w:rPr>
                <w:rFonts w:hint="eastAsia" w:ascii="宋体" w:hAnsi="宋体" w:cs="宋体"/>
                <w:color w:val="auto"/>
                <w:sz w:val="24"/>
                <w:highlight w:val="none"/>
              </w:rPr>
              <w:t>经营范围：</w:t>
            </w:r>
            <w:r>
              <w:rPr>
                <w:rFonts w:hint="eastAsia" w:ascii="宋体" w:hAnsi="宋体" w:cs="宋体"/>
                <w:color w:val="auto"/>
                <w:sz w:val="24"/>
                <w:highlight w:val="none"/>
                <w:u w:val="single"/>
              </w:rPr>
              <w:t xml:space="preserve">                                                  </w:t>
            </w:r>
          </w:p>
          <w:p w14:paraId="47F0018F">
            <w:pPr>
              <w:spacing w:line="360" w:lineRule="auto"/>
              <w:rPr>
                <w:rFonts w:ascii="宋体" w:hAnsi="宋体" w:cs="宋体"/>
                <w:color w:val="auto"/>
                <w:sz w:val="24"/>
                <w:highlight w:val="none"/>
              </w:rPr>
            </w:pPr>
            <w:r>
              <w:rPr>
                <w:rFonts w:hint="eastAsia" w:ascii="宋体" w:hAnsi="宋体" w:cs="宋体"/>
                <w:color w:val="auto"/>
                <w:sz w:val="24"/>
                <w:highlight w:val="none"/>
              </w:rPr>
              <w:t>法定代表人（负责人）：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（签名或盖章）</w:t>
            </w:r>
          </w:p>
          <w:p w14:paraId="6F0B21FC">
            <w:pPr>
              <w:spacing w:line="360" w:lineRule="auto"/>
              <w:rPr>
                <w:rFonts w:ascii="宋体" w:hAnsi="宋体" w:cs="宋体"/>
                <w:color w:val="auto"/>
                <w:sz w:val="24"/>
                <w:highlight w:val="none"/>
              </w:rPr>
            </w:pPr>
            <w:r>
              <w:rPr>
                <w:rFonts w:hint="eastAsia" w:ascii="宋体" w:hAnsi="宋体" w:cs="宋体"/>
                <w:color w:val="auto"/>
                <w:sz w:val="24"/>
                <w:highlight w:val="none"/>
              </w:rPr>
              <w:t>授权单位：（盖章）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A5C564E">
            <w:pPr>
              <w:spacing w:line="360" w:lineRule="auto"/>
              <w:ind w:firstLine="5880" w:firstLineChars="2450"/>
              <w:rPr>
                <w:rFonts w:ascii="宋体" w:hAnsi="宋体" w:cs="宋体"/>
                <w:color w:val="auto"/>
                <w:sz w:val="24"/>
                <w:highlight w:val="none"/>
              </w:rPr>
            </w:pPr>
            <w:r>
              <w:rPr>
                <w:rFonts w:hint="eastAsia" w:ascii="宋体" w:hAnsi="宋体" w:cs="宋体"/>
                <w:color w:val="auto"/>
                <w:sz w:val="24"/>
                <w:highlight w:val="none"/>
              </w:rPr>
              <w:t>年  月   日</w:t>
            </w:r>
          </w:p>
        </w:tc>
      </w:tr>
    </w:tbl>
    <w:p w14:paraId="7EEA875C">
      <w:pPr>
        <w:spacing w:line="360" w:lineRule="auto"/>
        <w:rPr>
          <w:rFonts w:ascii="宋体" w:hAnsi="宋体" w:cs="宋体"/>
          <w:color w:val="auto"/>
          <w:sz w:val="24"/>
          <w:highlight w:val="none"/>
        </w:rPr>
      </w:pPr>
    </w:p>
    <w:p w14:paraId="050C252E">
      <w:pPr>
        <w:spacing w:line="360" w:lineRule="auto"/>
        <w:rPr>
          <w:rFonts w:ascii="宋体" w:hAnsi="宋体" w:cs="宋体"/>
          <w:color w:val="auto"/>
          <w:sz w:val="24"/>
          <w:highlight w:val="none"/>
        </w:rPr>
      </w:pPr>
      <w:r>
        <w:rPr>
          <w:rFonts w:hint="eastAsia" w:ascii="宋体" w:hAnsi="宋体" w:cs="宋体"/>
          <w:color w:val="auto"/>
          <w:sz w:val="24"/>
          <w:highlight w:val="none"/>
        </w:rPr>
        <w:t>注：本格式供参考。</w:t>
      </w:r>
    </w:p>
    <w:p w14:paraId="1497B86F">
      <w:pPr>
        <w:topLinePunct/>
        <w:adjustRightInd w:val="0"/>
        <w:snapToGrid w:val="0"/>
        <w:jc w:val="left"/>
        <w:outlineLvl w:val="2"/>
        <w:rPr>
          <w:rFonts w:hint="eastAsia" w:ascii="宋体" w:hAnsi="宋体" w:cs="宋体"/>
          <w:snapToGrid w:val="0"/>
          <w:color w:val="auto"/>
          <w:spacing w:val="4"/>
          <w:kern w:val="0"/>
          <w:sz w:val="24"/>
          <w:szCs w:val="24"/>
          <w:highlight w:val="none"/>
        </w:rPr>
      </w:pPr>
    </w:p>
    <w:p w14:paraId="5B1A0C4F">
      <w:pPr>
        <w:rPr>
          <w:rFonts w:hint="eastAsia"/>
          <w:color w:val="auto"/>
          <w:highlight w:val="none"/>
        </w:rPr>
      </w:pPr>
      <w:bookmarkStart w:id="35" w:name="_Toc61541789"/>
      <w:bookmarkStart w:id="36" w:name="_Toc60070624"/>
      <w:r>
        <w:rPr>
          <w:rFonts w:hint="eastAsia"/>
          <w:color w:val="auto"/>
          <w:highlight w:val="none"/>
        </w:rPr>
        <w:br w:type="page"/>
      </w:r>
    </w:p>
    <w:p w14:paraId="317057A1">
      <w:pPr>
        <w:tabs>
          <w:tab w:val="left" w:pos="720"/>
        </w:tabs>
        <w:snapToGrid w:val="0"/>
        <w:spacing w:line="400" w:lineRule="exact"/>
        <w:jc w:val="both"/>
        <w:rPr>
          <w:rFonts w:hint="eastAsia" w:cs="Times New Roman"/>
          <w:color w:val="auto"/>
          <w:kern w:val="0"/>
          <w:sz w:val="27"/>
          <w:szCs w:val="27"/>
          <w:highlight w:val="none"/>
          <w:u w:val="none"/>
        </w:rPr>
      </w:pPr>
      <w:r>
        <w:rPr>
          <w:rFonts w:hint="eastAsia"/>
          <w:color w:val="auto"/>
          <w:kern w:val="0"/>
          <w:sz w:val="27"/>
          <w:szCs w:val="27"/>
          <w:highlight w:val="none"/>
        </w:rPr>
        <w:t>格式四</w:t>
      </w:r>
      <w:r>
        <w:rPr>
          <w:rFonts w:hint="eastAsia"/>
          <w:snapToGrid/>
          <w:color w:val="auto"/>
          <w:spacing w:val="0"/>
          <w:kern w:val="0"/>
          <w:sz w:val="27"/>
          <w:szCs w:val="27"/>
          <w:highlight w:val="none"/>
        </w:rPr>
        <w:t>：</w:t>
      </w:r>
      <w:bookmarkEnd w:id="35"/>
      <w:bookmarkEnd w:id="36"/>
    </w:p>
    <w:p w14:paraId="70A05AFB">
      <w:pPr>
        <w:widowControl/>
        <w:shd w:val="clear" w:color="auto" w:fill="FFFFFF"/>
        <w:spacing w:line="480" w:lineRule="exact"/>
        <w:ind w:firstLine="643" w:firstLineChars="200"/>
        <w:jc w:val="center"/>
        <w:rPr>
          <w:rFonts w:cs="宋体"/>
          <w:b/>
          <w:color w:val="auto"/>
          <w:kern w:val="0"/>
          <w:sz w:val="32"/>
          <w:szCs w:val="32"/>
          <w:highlight w:val="none"/>
          <w:lang w:bidi="ar"/>
        </w:rPr>
      </w:pPr>
      <w:r>
        <w:rPr>
          <w:rFonts w:hint="eastAsia" w:cs="宋体"/>
          <w:b/>
          <w:color w:val="auto"/>
          <w:kern w:val="0"/>
          <w:sz w:val="32"/>
          <w:szCs w:val="32"/>
          <w:highlight w:val="none"/>
          <w:lang w:bidi="ar"/>
        </w:rPr>
        <w:t>施工项目管理团队人员信息表</w:t>
      </w:r>
    </w:p>
    <w:p w14:paraId="55FA1AAE">
      <w:pPr>
        <w:widowControl/>
        <w:shd w:val="clear" w:color="auto" w:fill="FFFFFF"/>
        <w:ind w:firstLine="201" w:firstLineChars="200"/>
        <w:jc w:val="center"/>
        <w:rPr>
          <w:rFonts w:cs="宋体"/>
          <w:b/>
          <w:color w:val="auto"/>
          <w:kern w:val="0"/>
          <w:sz w:val="10"/>
          <w:szCs w:val="10"/>
          <w:highlight w:val="none"/>
          <w:lang w:bidi="ar"/>
        </w:rPr>
      </w:pPr>
    </w:p>
    <w:tbl>
      <w:tblPr>
        <w:tblStyle w:val="27"/>
        <w:tblW w:w="9038" w:type="dxa"/>
        <w:jc w:val="center"/>
        <w:tblLayout w:type="fixed"/>
        <w:tblCellMar>
          <w:top w:w="0" w:type="dxa"/>
          <w:left w:w="0" w:type="dxa"/>
          <w:bottom w:w="0" w:type="dxa"/>
          <w:right w:w="0" w:type="dxa"/>
        </w:tblCellMar>
      </w:tblPr>
      <w:tblGrid>
        <w:gridCol w:w="635"/>
        <w:gridCol w:w="1642"/>
        <w:gridCol w:w="2284"/>
        <w:gridCol w:w="1800"/>
        <w:gridCol w:w="2677"/>
      </w:tblGrid>
      <w:tr w14:paraId="0346F325">
        <w:tblPrEx>
          <w:tblCellMar>
            <w:top w:w="0" w:type="dxa"/>
            <w:left w:w="0" w:type="dxa"/>
            <w:bottom w:w="0" w:type="dxa"/>
            <w:right w:w="0" w:type="dxa"/>
          </w:tblCellMar>
        </w:tblPrEx>
        <w:trPr>
          <w:trHeight w:val="491" w:hRule="atLeast"/>
          <w:jc w:val="center"/>
        </w:trPr>
        <w:tc>
          <w:tcPr>
            <w:tcW w:w="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4498B">
            <w:pPr>
              <w:widowControl/>
              <w:jc w:val="center"/>
              <w:textAlignment w:val="center"/>
              <w:rPr>
                <w:rFonts w:cs="宋体"/>
                <w:b/>
                <w:color w:val="auto"/>
                <w:szCs w:val="21"/>
                <w:highlight w:val="none"/>
              </w:rPr>
            </w:pPr>
            <w:r>
              <w:rPr>
                <w:rFonts w:hint="eastAsia" w:cs="宋体"/>
                <w:b/>
                <w:color w:val="auto"/>
                <w:kern w:val="0"/>
                <w:szCs w:val="21"/>
                <w:highlight w:val="none"/>
                <w:lang w:bidi="ar"/>
              </w:rPr>
              <w:t>序号</w:t>
            </w:r>
          </w:p>
        </w:tc>
        <w:tc>
          <w:tcPr>
            <w:tcW w:w="1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4F1ED">
            <w:pPr>
              <w:widowControl/>
              <w:jc w:val="center"/>
              <w:textAlignment w:val="center"/>
              <w:rPr>
                <w:rFonts w:cs="宋体"/>
                <w:b/>
                <w:color w:val="auto"/>
                <w:szCs w:val="21"/>
                <w:highlight w:val="none"/>
              </w:rPr>
            </w:pPr>
            <w:r>
              <w:rPr>
                <w:rFonts w:hint="eastAsia" w:cs="宋体"/>
                <w:b/>
                <w:color w:val="auto"/>
                <w:kern w:val="0"/>
                <w:szCs w:val="21"/>
                <w:highlight w:val="none"/>
                <w:lang w:bidi="ar"/>
              </w:rPr>
              <w:t>姓名</w:t>
            </w:r>
          </w:p>
        </w:tc>
        <w:tc>
          <w:tcPr>
            <w:tcW w:w="22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A7ED4">
            <w:pPr>
              <w:widowControl/>
              <w:jc w:val="center"/>
              <w:textAlignment w:val="center"/>
              <w:rPr>
                <w:rFonts w:cs="宋体"/>
                <w:b/>
                <w:color w:val="auto"/>
                <w:szCs w:val="21"/>
                <w:highlight w:val="none"/>
              </w:rPr>
            </w:pPr>
            <w:r>
              <w:rPr>
                <w:rFonts w:hint="eastAsia" w:cs="宋体"/>
                <w:b/>
                <w:color w:val="auto"/>
                <w:kern w:val="0"/>
                <w:szCs w:val="21"/>
                <w:highlight w:val="none"/>
                <w:lang w:bidi="ar"/>
              </w:rPr>
              <w:t>岗位</w:t>
            </w:r>
          </w:p>
        </w:tc>
        <w:tc>
          <w:tcPr>
            <w:tcW w:w="18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216AC">
            <w:pPr>
              <w:widowControl/>
              <w:jc w:val="center"/>
              <w:textAlignment w:val="center"/>
              <w:rPr>
                <w:rFonts w:cs="宋体"/>
                <w:b/>
                <w:color w:val="auto"/>
                <w:szCs w:val="21"/>
                <w:highlight w:val="none"/>
              </w:rPr>
            </w:pPr>
            <w:r>
              <w:rPr>
                <w:rFonts w:hint="eastAsia" w:cs="宋体"/>
                <w:b/>
                <w:color w:val="auto"/>
                <w:kern w:val="0"/>
                <w:szCs w:val="21"/>
                <w:highlight w:val="none"/>
                <w:lang w:bidi="ar"/>
              </w:rPr>
              <w:t>职称</w:t>
            </w:r>
          </w:p>
        </w:tc>
        <w:tc>
          <w:tcPr>
            <w:tcW w:w="26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B038D">
            <w:pPr>
              <w:widowControl/>
              <w:jc w:val="center"/>
              <w:textAlignment w:val="center"/>
              <w:rPr>
                <w:rFonts w:cs="宋体"/>
                <w:b/>
                <w:color w:val="auto"/>
                <w:szCs w:val="21"/>
                <w:highlight w:val="none"/>
              </w:rPr>
            </w:pPr>
            <w:r>
              <w:rPr>
                <w:rFonts w:hint="eastAsia" w:cs="宋体"/>
                <w:b/>
                <w:color w:val="auto"/>
                <w:kern w:val="0"/>
                <w:szCs w:val="21"/>
                <w:highlight w:val="none"/>
                <w:lang w:bidi="ar"/>
              </w:rPr>
              <w:t>职称证书或资格证书编号</w:t>
            </w:r>
          </w:p>
        </w:tc>
      </w:tr>
      <w:tr w14:paraId="2B285714">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3F4DD8">
            <w:pPr>
              <w:widowControl/>
              <w:jc w:val="center"/>
              <w:textAlignment w:val="center"/>
              <w:rPr>
                <w:rFonts w:cs="宋体"/>
                <w:color w:val="auto"/>
                <w:szCs w:val="21"/>
                <w:highlight w:val="none"/>
              </w:rPr>
            </w:pPr>
            <w:r>
              <w:rPr>
                <w:rFonts w:hint="eastAsia" w:cs="宋体"/>
                <w:color w:val="auto"/>
                <w:kern w:val="0"/>
                <w:szCs w:val="21"/>
                <w:highlight w:val="none"/>
                <w:lang w:bidi="ar"/>
              </w:rPr>
              <w:t>1</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34D080">
            <w:pPr>
              <w:jc w:val="center"/>
              <w:rPr>
                <w:rFonts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7347F5">
            <w:pPr>
              <w:jc w:val="center"/>
              <w:rPr>
                <w:rFonts w:cs="宋体"/>
                <w:color w:val="auto"/>
                <w:szCs w:val="21"/>
                <w:highlight w:val="none"/>
              </w:rPr>
            </w:pPr>
            <w:r>
              <w:rPr>
                <w:rFonts w:hint="eastAsia" w:ascii="宋体" w:hAnsi="宋体"/>
                <w:color w:val="auto"/>
                <w:spacing w:val="-2"/>
                <w:kern w:val="0"/>
                <w:szCs w:val="21"/>
                <w:highlight w:val="none"/>
              </w:rPr>
              <w:t>技术负责人</w:t>
            </w: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A0352E">
            <w:pPr>
              <w:jc w:val="center"/>
              <w:rPr>
                <w:rFonts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5D8394">
            <w:pPr>
              <w:jc w:val="center"/>
              <w:rPr>
                <w:rFonts w:cs="宋体"/>
                <w:color w:val="auto"/>
                <w:szCs w:val="21"/>
                <w:highlight w:val="none"/>
              </w:rPr>
            </w:pPr>
          </w:p>
        </w:tc>
      </w:tr>
      <w:tr w14:paraId="6ECC927A">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CA466B">
            <w:pPr>
              <w:widowControl/>
              <w:jc w:val="center"/>
              <w:textAlignment w:val="center"/>
              <w:rPr>
                <w:rFonts w:cs="宋体"/>
                <w:color w:val="auto"/>
                <w:szCs w:val="21"/>
                <w:highlight w:val="none"/>
              </w:rPr>
            </w:pPr>
            <w:r>
              <w:rPr>
                <w:rFonts w:hint="eastAsia" w:cs="宋体"/>
                <w:color w:val="auto"/>
                <w:kern w:val="0"/>
                <w:szCs w:val="21"/>
                <w:highlight w:val="none"/>
                <w:lang w:bidi="ar"/>
              </w:rPr>
              <w:t>2</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6013B0">
            <w:pPr>
              <w:jc w:val="center"/>
              <w:rPr>
                <w:rFonts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AB5D1F">
            <w:pPr>
              <w:jc w:val="center"/>
              <w:rPr>
                <w:rFonts w:cs="宋体"/>
                <w:color w:val="auto"/>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31BD73">
            <w:pPr>
              <w:jc w:val="center"/>
              <w:rPr>
                <w:rFonts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E810B0">
            <w:pPr>
              <w:jc w:val="center"/>
              <w:rPr>
                <w:rFonts w:cs="宋体"/>
                <w:color w:val="auto"/>
                <w:szCs w:val="21"/>
                <w:highlight w:val="none"/>
              </w:rPr>
            </w:pPr>
          </w:p>
        </w:tc>
      </w:tr>
      <w:tr w14:paraId="363A7FF4">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DFABA6">
            <w:pPr>
              <w:widowControl/>
              <w:jc w:val="center"/>
              <w:textAlignment w:val="center"/>
              <w:rPr>
                <w:rFonts w:cs="宋体"/>
                <w:color w:val="auto"/>
                <w:szCs w:val="21"/>
                <w:highlight w:val="none"/>
              </w:rPr>
            </w:pPr>
            <w:r>
              <w:rPr>
                <w:rFonts w:hint="eastAsia" w:cs="宋体"/>
                <w:color w:val="auto"/>
                <w:kern w:val="0"/>
                <w:szCs w:val="21"/>
                <w:highlight w:val="none"/>
                <w:lang w:bidi="ar"/>
              </w:rPr>
              <w:t>3</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235765">
            <w:pPr>
              <w:jc w:val="center"/>
              <w:rPr>
                <w:rFonts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D6AA91">
            <w:pPr>
              <w:jc w:val="center"/>
              <w:rPr>
                <w:rFonts w:cs="宋体"/>
                <w:color w:val="auto"/>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B662D0">
            <w:pPr>
              <w:jc w:val="center"/>
              <w:rPr>
                <w:rFonts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EC59E7">
            <w:pPr>
              <w:jc w:val="center"/>
              <w:rPr>
                <w:rFonts w:cs="宋体"/>
                <w:color w:val="auto"/>
                <w:szCs w:val="21"/>
                <w:highlight w:val="none"/>
              </w:rPr>
            </w:pPr>
          </w:p>
        </w:tc>
      </w:tr>
      <w:tr w14:paraId="3B325008">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0BF79">
            <w:pPr>
              <w:widowControl/>
              <w:jc w:val="center"/>
              <w:textAlignment w:val="center"/>
              <w:rPr>
                <w:rFonts w:cs="宋体"/>
                <w:color w:val="auto"/>
                <w:szCs w:val="21"/>
                <w:highlight w:val="none"/>
              </w:rPr>
            </w:pPr>
            <w:r>
              <w:rPr>
                <w:rFonts w:hint="eastAsia" w:cs="宋体"/>
                <w:color w:val="auto"/>
                <w:kern w:val="0"/>
                <w:szCs w:val="21"/>
                <w:highlight w:val="none"/>
                <w:lang w:bidi="ar"/>
              </w:rPr>
              <w:t>4</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D232D">
            <w:pPr>
              <w:jc w:val="center"/>
              <w:rPr>
                <w:rFonts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17F091">
            <w:pPr>
              <w:jc w:val="center"/>
              <w:rPr>
                <w:rFonts w:cs="宋体"/>
                <w:color w:val="auto"/>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D89AB">
            <w:pPr>
              <w:jc w:val="center"/>
              <w:rPr>
                <w:rFonts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0A8178">
            <w:pPr>
              <w:jc w:val="center"/>
              <w:rPr>
                <w:rFonts w:cs="宋体"/>
                <w:color w:val="auto"/>
                <w:szCs w:val="21"/>
                <w:highlight w:val="none"/>
              </w:rPr>
            </w:pPr>
          </w:p>
        </w:tc>
      </w:tr>
      <w:tr w14:paraId="1E2DB643">
        <w:tblPrEx>
          <w:tblCellMar>
            <w:top w:w="0" w:type="dxa"/>
            <w:left w:w="0" w:type="dxa"/>
            <w:bottom w:w="0" w:type="dxa"/>
            <w:right w:w="0" w:type="dxa"/>
          </w:tblCellMar>
        </w:tblPrEx>
        <w:trPr>
          <w:trHeight w:val="554" w:hRule="atLeast"/>
          <w:jc w:val="center"/>
        </w:trPr>
        <w:tc>
          <w:tcPr>
            <w:tcW w:w="6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9CB95">
            <w:pPr>
              <w:jc w:val="center"/>
              <w:rPr>
                <w:rFonts w:cs="宋体"/>
                <w:color w:val="auto"/>
                <w:szCs w:val="21"/>
                <w:highlight w:val="none"/>
              </w:rPr>
            </w:pPr>
            <w:r>
              <w:rPr>
                <w:rFonts w:hint="eastAsia" w:cs="宋体"/>
                <w:color w:val="auto"/>
                <w:kern w:val="0"/>
                <w:szCs w:val="21"/>
                <w:highlight w:val="none"/>
                <w:lang w:bidi="ar"/>
              </w:rPr>
              <w:t>……</w:t>
            </w:r>
          </w:p>
        </w:tc>
        <w:tc>
          <w:tcPr>
            <w:tcW w:w="16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9A5F9F">
            <w:pPr>
              <w:jc w:val="center"/>
              <w:rPr>
                <w:rFonts w:cs="宋体"/>
                <w:color w:val="auto"/>
                <w:szCs w:val="21"/>
                <w:highlight w:val="none"/>
              </w:rPr>
            </w:pPr>
          </w:p>
        </w:tc>
        <w:tc>
          <w:tcPr>
            <w:tcW w:w="22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9FF702">
            <w:pPr>
              <w:jc w:val="center"/>
              <w:rPr>
                <w:rFonts w:cs="宋体"/>
                <w:color w:val="auto"/>
                <w:szCs w:val="21"/>
                <w:highlight w:val="none"/>
              </w:rPr>
            </w:pPr>
          </w:p>
        </w:tc>
        <w:tc>
          <w:tcPr>
            <w:tcW w:w="18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56710B">
            <w:pPr>
              <w:jc w:val="center"/>
              <w:rPr>
                <w:rFonts w:cs="宋体"/>
                <w:color w:val="auto"/>
                <w:szCs w:val="21"/>
                <w:highlight w:val="none"/>
              </w:rPr>
            </w:pPr>
          </w:p>
        </w:tc>
        <w:tc>
          <w:tcPr>
            <w:tcW w:w="2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34F7FA">
            <w:pPr>
              <w:jc w:val="center"/>
              <w:rPr>
                <w:rFonts w:cs="宋体"/>
                <w:color w:val="auto"/>
                <w:szCs w:val="21"/>
                <w:highlight w:val="none"/>
              </w:rPr>
            </w:pPr>
          </w:p>
        </w:tc>
      </w:tr>
      <w:tr w14:paraId="7EB3B309">
        <w:tblPrEx>
          <w:tblCellMar>
            <w:top w:w="0" w:type="dxa"/>
            <w:left w:w="0" w:type="dxa"/>
            <w:bottom w:w="0" w:type="dxa"/>
            <w:right w:w="0" w:type="dxa"/>
          </w:tblCellMar>
        </w:tblPrEx>
        <w:trPr>
          <w:trHeight w:val="3644" w:hRule="atLeast"/>
          <w:jc w:val="center"/>
        </w:trPr>
        <w:tc>
          <w:tcPr>
            <w:tcW w:w="903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12CEF">
            <w:pPr>
              <w:widowControl/>
              <w:jc w:val="left"/>
              <w:textAlignment w:val="center"/>
              <w:rPr>
                <w:rStyle w:val="53"/>
                <w:rFonts w:hint="eastAsia" w:ascii="宋体" w:hAnsi="宋体" w:eastAsia="宋体" w:cs="宋体"/>
                <w:color w:val="auto"/>
                <w:sz w:val="21"/>
                <w:szCs w:val="21"/>
                <w:highlight w:val="none"/>
                <w:lang w:eastAsia="zh-CN" w:bidi="ar"/>
              </w:rPr>
            </w:pPr>
            <w:r>
              <w:rPr>
                <w:rStyle w:val="53"/>
                <w:rFonts w:hint="default" w:ascii="宋体" w:hAnsi="宋体" w:eastAsia="宋体" w:cs="宋体"/>
                <w:color w:val="auto"/>
                <w:sz w:val="21"/>
                <w:szCs w:val="21"/>
                <w:highlight w:val="none"/>
                <w:lang w:bidi="ar"/>
              </w:rPr>
              <w:t>备注：</w:t>
            </w:r>
          </w:p>
          <w:p w14:paraId="0FC7E1A6">
            <w:pPr>
              <w:widowControl/>
              <w:jc w:val="left"/>
              <w:textAlignment w:val="center"/>
              <w:rPr>
                <w:rFonts w:hint="eastAsia" w:cs="宋体"/>
                <w:color w:val="auto"/>
                <w:szCs w:val="21"/>
                <w:highlight w:val="none"/>
              </w:rPr>
            </w:pPr>
            <w:r>
              <w:rPr>
                <w:rFonts w:hint="eastAsia" w:cs="宋体"/>
                <w:color w:val="auto"/>
                <w:szCs w:val="21"/>
                <w:highlight w:val="none"/>
              </w:rPr>
              <w:t>1、“岗位”要求（除项目负责人</w:t>
            </w:r>
            <w:r>
              <w:rPr>
                <w:rFonts w:hint="eastAsia"/>
                <w:color w:val="auto"/>
                <w:spacing w:val="-2"/>
                <w:kern w:val="0"/>
                <w:szCs w:val="21"/>
                <w:highlight w:val="none"/>
                <w:u w:val="single"/>
                <w:lang w:val="en-US" w:eastAsia="zh-CN"/>
              </w:rPr>
              <w:t>和专职安全员</w:t>
            </w:r>
            <w:r>
              <w:rPr>
                <w:rFonts w:hint="eastAsia" w:ascii="宋体" w:hAnsi="宋体"/>
                <w:color w:val="auto"/>
                <w:spacing w:val="-2"/>
                <w:kern w:val="0"/>
                <w:szCs w:val="21"/>
                <w:highlight w:val="none"/>
                <w:u w:val="single"/>
              </w:rPr>
              <w:t>外</w:t>
            </w:r>
            <w:r>
              <w:rPr>
                <w:rFonts w:hint="eastAsia" w:cs="宋体"/>
                <w:color w:val="auto"/>
                <w:szCs w:val="21"/>
                <w:highlight w:val="none"/>
              </w:rPr>
              <w:t>外）：拟派驻施工现场的技术负责人等。以上项目管理团队人员信息将由交易系统提取后供各相关单位在履约时比对、查核。</w:t>
            </w:r>
          </w:p>
          <w:p w14:paraId="6FB0638D">
            <w:pPr>
              <w:widowControl/>
              <w:jc w:val="left"/>
              <w:textAlignment w:val="center"/>
              <w:rPr>
                <w:rFonts w:hint="eastAsia" w:cs="宋体"/>
                <w:color w:val="auto"/>
                <w:szCs w:val="21"/>
                <w:highlight w:val="none"/>
              </w:rPr>
            </w:pPr>
            <w:r>
              <w:rPr>
                <w:rFonts w:hint="eastAsia" w:cs="宋体"/>
                <w:color w:val="auto"/>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41B27145">
            <w:pPr>
              <w:widowControl/>
              <w:jc w:val="left"/>
              <w:textAlignment w:val="center"/>
              <w:rPr>
                <w:rFonts w:cs="宋体"/>
                <w:color w:val="auto"/>
                <w:szCs w:val="21"/>
                <w:highlight w:val="none"/>
              </w:rPr>
            </w:pPr>
            <w:r>
              <w:rPr>
                <w:rFonts w:hint="eastAsia" w:cs="宋体"/>
                <w:color w:val="auto"/>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5B692EE2">
      <w:pPr>
        <w:pStyle w:val="37"/>
        <w:ind w:firstLine="3161" w:firstLineChars="1450"/>
        <w:rPr>
          <w:rFonts w:hint="default" w:cs="宋体"/>
          <w:color w:val="auto"/>
          <w:sz w:val="21"/>
          <w:szCs w:val="21"/>
          <w:highlight w:val="none"/>
        </w:rPr>
      </w:pPr>
      <w:r>
        <w:rPr>
          <w:rFonts w:cs="宋体"/>
          <w:color w:val="auto"/>
          <w:sz w:val="21"/>
          <w:szCs w:val="21"/>
          <w:highlight w:val="none"/>
        </w:rPr>
        <w:t>投标人：　　</w:t>
      </w:r>
    </w:p>
    <w:p w14:paraId="29532042">
      <w:pPr>
        <w:ind w:right="42" w:rightChars="20" w:firstLine="3150" w:firstLineChars="1500"/>
        <w:jc w:val="left"/>
        <w:rPr>
          <w:rFonts w:cs="宋体"/>
          <w:bCs/>
          <w:color w:val="auto"/>
          <w:szCs w:val="24"/>
          <w:highlight w:val="none"/>
        </w:rPr>
      </w:pPr>
      <w:r>
        <w:rPr>
          <w:rFonts w:hint="eastAsia" w:cs="宋体"/>
          <w:color w:val="auto"/>
          <w:szCs w:val="21"/>
          <w:highlight w:val="none"/>
        </w:rPr>
        <w:t>日   期：    年    月    日</w:t>
      </w:r>
    </w:p>
    <w:p w14:paraId="6BA57546">
      <w:pPr>
        <w:widowControl/>
        <w:jc w:val="left"/>
        <w:rPr>
          <w:color w:val="auto"/>
          <w:kern w:val="0"/>
          <w:sz w:val="27"/>
          <w:szCs w:val="27"/>
          <w:highlight w:val="none"/>
        </w:rPr>
      </w:pPr>
      <w:bookmarkStart w:id="37" w:name="_Toc60070626"/>
      <w:bookmarkStart w:id="38" w:name="_Toc61541791"/>
      <w:r>
        <w:rPr>
          <w:color w:val="auto"/>
          <w:highlight w:val="none"/>
        </w:rPr>
        <w:br w:type="page"/>
      </w:r>
    </w:p>
    <w:p w14:paraId="550506B6">
      <w:pPr>
        <w:pStyle w:val="5"/>
        <w:rPr>
          <w:color w:val="auto"/>
          <w:highlight w:val="none"/>
        </w:rPr>
      </w:pPr>
      <w:bookmarkStart w:id="39" w:name="_Toc18072"/>
      <w:r>
        <w:rPr>
          <w:rFonts w:hint="eastAsia"/>
          <w:color w:val="auto"/>
          <w:highlight w:val="none"/>
        </w:rPr>
        <w:t>格式</w:t>
      </w:r>
      <w:r>
        <w:rPr>
          <w:rFonts w:hint="eastAsia"/>
          <w:color w:val="auto"/>
          <w:highlight w:val="none"/>
          <w:lang w:val="en-US" w:eastAsia="zh-CN"/>
        </w:rPr>
        <w:t>五</w:t>
      </w:r>
      <w:r>
        <w:rPr>
          <w:rFonts w:hint="eastAsia"/>
          <w:color w:val="auto"/>
          <w:highlight w:val="none"/>
        </w:rPr>
        <w:t>：</w:t>
      </w:r>
      <w:bookmarkEnd w:id="37"/>
      <w:bookmarkEnd w:id="38"/>
      <w:bookmarkEnd w:id="39"/>
    </w:p>
    <w:p w14:paraId="3C788C73">
      <w:pPr>
        <w:jc w:val="center"/>
        <w:rPr>
          <w:rFonts w:hint="default" w:eastAsia="宋体" w:cs="宋体"/>
          <w:color w:val="auto"/>
          <w:sz w:val="36"/>
          <w:szCs w:val="36"/>
          <w:highlight w:val="none"/>
          <w:lang w:val="en-US" w:eastAsia="zh-CN"/>
        </w:rPr>
      </w:pPr>
      <w:r>
        <w:rPr>
          <w:rFonts w:hint="eastAsia" w:cs="宋体"/>
          <w:b/>
          <w:color w:val="auto"/>
          <w:sz w:val="36"/>
          <w:szCs w:val="36"/>
          <w:highlight w:val="none"/>
        </w:rPr>
        <w:t>企业</w:t>
      </w:r>
      <w:r>
        <w:rPr>
          <w:rFonts w:hint="eastAsia" w:cs="宋体"/>
          <w:b/>
          <w:color w:val="auto"/>
          <w:sz w:val="36"/>
          <w:szCs w:val="36"/>
          <w:highlight w:val="none"/>
          <w:lang w:val="en-US" w:eastAsia="zh-CN"/>
        </w:rPr>
        <w:t>资信证明材料</w:t>
      </w:r>
    </w:p>
    <w:p w14:paraId="5CF71703">
      <w:pPr>
        <w:rPr>
          <w:color w:val="auto"/>
          <w:sz w:val="24"/>
          <w:szCs w:val="24"/>
          <w:highlight w:val="none"/>
        </w:rPr>
      </w:pPr>
    </w:p>
    <w:p w14:paraId="4B8F0D83">
      <w:pPr>
        <w:spacing w:line="360" w:lineRule="auto"/>
        <w:jc w:val="center"/>
        <w:rPr>
          <w:rFonts w:cs="宋体"/>
          <w:bCs/>
          <w:color w:val="auto"/>
          <w:szCs w:val="24"/>
          <w:highlight w:val="none"/>
        </w:rPr>
      </w:pPr>
      <w:r>
        <w:rPr>
          <w:rFonts w:hint="eastAsia" w:cs="宋体"/>
          <w:bCs/>
          <w:color w:val="auto"/>
          <w:szCs w:val="24"/>
          <w:highlight w:val="none"/>
        </w:rPr>
        <w:t>按</w:t>
      </w:r>
      <w:r>
        <w:rPr>
          <w:rFonts w:hint="eastAsia" w:cs="宋体"/>
          <w:bCs/>
          <w:color w:val="auto"/>
          <w:szCs w:val="24"/>
          <w:highlight w:val="none"/>
          <w:lang w:val="en-US" w:eastAsia="zh-CN"/>
        </w:rPr>
        <w:t>评审标准</w:t>
      </w:r>
      <w:r>
        <w:rPr>
          <w:rFonts w:hint="eastAsia" w:cs="宋体"/>
          <w:bCs/>
          <w:color w:val="auto"/>
          <w:szCs w:val="24"/>
          <w:highlight w:val="none"/>
        </w:rPr>
        <w:t>附相关证明资料</w:t>
      </w:r>
      <w:r>
        <w:rPr>
          <w:rFonts w:hint="eastAsia" w:cs="宋体"/>
          <w:bCs/>
          <w:color w:val="auto"/>
          <w:szCs w:val="24"/>
          <w:highlight w:val="none"/>
          <w:lang w:eastAsia="zh-CN"/>
        </w:rPr>
        <w:t>，</w:t>
      </w:r>
      <w:r>
        <w:rPr>
          <w:rFonts w:hint="eastAsia" w:cs="宋体"/>
          <w:bCs/>
          <w:color w:val="auto"/>
          <w:szCs w:val="24"/>
          <w:highlight w:val="none"/>
          <w:lang w:val="en-US" w:eastAsia="zh-CN"/>
        </w:rPr>
        <w:t>格式自拟</w:t>
      </w:r>
      <w:r>
        <w:rPr>
          <w:rFonts w:hint="eastAsia" w:cs="宋体"/>
          <w:bCs/>
          <w:color w:val="auto"/>
          <w:szCs w:val="24"/>
          <w:highlight w:val="none"/>
        </w:rPr>
        <w:t>。</w:t>
      </w:r>
    </w:p>
    <w:p w14:paraId="0D3BE2C6">
      <w:pPr>
        <w:autoSpaceDE w:val="0"/>
        <w:autoSpaceDN w:val="0"/>
        <w:adjustRightInd w:val="0"/>
        <w:spacing w:line="360" w:lineRule="auto"/>
        <w:rPr>
          <w:rFonts w:cs="宋体"/>
          <w:color w:val="auto"/>
          <w:sz w:val="24"/>
          <w:szCs w:val="24"/>
          <w:highlight w:val="none"/>
        </w:rPr>
      </w:pPr>
    </w:p>
    <w:p w14:paraId="2B03F3B9">
      <w:pPr>
        <w:pStyle w:val="5"/>
        <w:rPr>
          <w:color w:val="auto"/>
          <w:highlight w:val="none"/>
        </w:rPr>
      </w:pPr>
      <w:r>
        <w:rPr>
          <w:rFonts w:hint="eastAsia"/>
          <w:color w:val="auto"/>
          <w:highlight w:val="none"/>
        </w:rPr>
        <w:br w:type="page"/>
      </w:r>
    </w:p>
    <w:p w14:paraId="0FAAB0D3">
      <w:pPr>
        <w:pStyle w:val="5"/>
        <w:rPr>
          <w:color w:val="auto"/>
          <w:highlight w:val="none"/>
        </w:rPr>
      </w:pPr>
      <w:bookmarkStart w:id="40" w:name="_Toc60070630"/>
      <w:bookmarkStart w:id="41" w:name="_Toc61541793"/>
      <w:bookmarkStart w:id="42" w:name="_Toc30714"/>
      <w:bookmarkStart w:id="43" w:name="_Toc58838602"/>
      <w:r>
        <w:rPr>
          <w:rFonts w:hint="eastAsia"/>
          <w:color w:val="auto"/>
          <w:highlight w:val="none"/>
        </w:rPr>
        <w:t>格式</w:t>
      </w:r>
      <w:r>
        <w:rPr>
          <w:rFonts w:hint="eastAsia"/>
          <w:color w:val="auto"/>
          <w:highlight w:val="none"/>
          <w:lang w:val="en-US" w:eastAsia="zh-CN"/>
        </w:rPr>
        <w:t>六</w:t>
      </w:r>
      <w:r>
        <w:rPr>
          <w:rFonts w:hint="eastAsia"/>
          <w:color w:val="auto"/>
          <w:highlight w:val="none"/>
        </w:rPr>
        <w:t>：</w:t>
      </w:r>
      <w:bookmarkEnd w:id="40"/>
      <w:bookmarkEnd w:id="41"/>
      <w:bookmarkEnd w:id="42"/>
    </w:p>
    <w:bookmarkEnd w:id="43"/>
    <w:p w14:paraId="50DB4830">
      <w:pPr>
        <w:jc w:val="center"/>
        <w:rPr>
          <w:b/>
          <w:color w:val="auto"/>
          <w:sz w:val="36"/>
          <w:szCs w:val="36"/>
          <w:highlight w:val="none"/>
        </w:rPr>
      </w:pPr>
      <w:r>
        <w:rPr>
          <w:rFonts w:hint="eastAsia"/>
          <w:b/>
          <w:color w:val="auto"/>
          <w:sz w:val="36"/>
          <w:szCs w:val="36"/>
          <w:highlight w:val="none"/>
        </w:rPr>
        <w:t>危险性较大的分部分项工程安全管理措施</w:t>
      </w:r>
    </w:p>
    <w:p w14:paraId="1A7840F1">
      <w:pPr>
        <w:pStyle w:val="46"/>
        <w:numPr>
          <w:ilvl w:val="0"/>
          <w:numId w:val="2"/>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根据中华人民共和国住房和城乡建设部令第37号《危险性较大的分部分项工程安全管理规定》（以下简称“37号文”），投标人在投标时须补充完善危大工程清单并明确相应的安全管理措施。</w:t>
      </w:r>
    </w:p>
    <w:p w14:paraId="77087BA5">
      <w:pPr>
        <w:pStyle w:val="46"/>
        <w:numPr>
          <w:ilvl w:val="0"/>
          <w:numId w:val="2"/>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招标人根据设计文件的要求及37号文的规定列出“危险性较大的分部分项工程清单及超过一定规模的危险性较大的分部分项工程清单”中与本招标项目相关的清单项，具体详</w:t>
      </w:r>
      <w:r>
        <w:rPr>
          <w:rFonts w:hint="eastAsia"/>
          <w:color w:val="auto"/>
          <w:szCs w:val="21"/>
          <w:highlight w:val="none"/>
          <w:lang w:val="en-US" w:eastAsia="zh-CN"/>
        </w:rPr>
        <w:t>见</w:t>
      </w:r>
      <w:r>
        <w:rPr>
          <w:rFonts w:hint="eastAsia"/>
          <w:color w:val="auto"/>
          <w:szCs w:val="21"/>
          <w:highlight w:val="none"/>
        </w:rPr>
        <w:t>第5点“打√”标识。</w:t>
      </w:r>
    </w:p>
    <w:p w14:paraId="61BC4C69">
      <w:pPr>
        <w:pStyle w:val="46"/>
        <w:numPr>
          <w:ilvl w:val="0"/>
          <w:numId w:val="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投标单位同意建设单位在清单中标识的该项请在对应项打“√”标识，并在投标文件中提供相应的安全管理措施。</w:t>
      </w:r>
    </w:p>
    <w:p w14:paraId="21DED309">
      <w:pPr>
        <w:pStyle w:val="46"/>
        <w:numPr>
          <w:ilvl w:val="0"/>
          <w:numId w:val="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投标单位对清单中认为需要补充的该项请在对应项打“√”标识，并在投标文件中提供相应的安全管理措施。</w:t>
      </w:r>
    </w:p>
    <w:p w14:paraId="24119C11">
      <w:pPr>
        <w:pStyle w:val="46"/>
        <w:numPr>
          <w:ilvl w:val="0"/>
          <w:numId w:val="3"/>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投标单位不同意建设单位在清单中标识的该项请在对应项打“×”标识，并在备注栏填上相关说明。</w:t>
      </w:r>
    </w:p>
    <w:p w14:paraId="76391B0F">
      <w:pPr>
        <w:pStyle w:val="46"/>
        <w:numPr>
          <w:ilvl w:val="0"/>
          <w:numId w:val="2"/>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投标单位应当在投标时根据招标人提供的下述第5点清单，在施工组织中编制专项施工方案。</w:t>
      </w:r>
    </w:p>
    <w:p w14:paraId="79B73BB3">
      <w:pPr>
        <w:pStyle w:val="46"/>
        <w:numPr>
          <w:ilvl w:val="0"/>
          <w:numId w:val="2"/>
        </w:numPr>
        <w:autoSpaceDE w:val="0"/>
        <w:autoSpaceDN w:val="0"/>
        <w:adjustRightInd w:val="0"/>
        <w:spacing w:line="276" w:lineRule="auto"/>
        <w:ind w:firstLineChars="0"/>
        <w:jc w:val="left"/>
        <w:rPr>
          <w:color w:val="auto"/>
          <w:szCs w:val="21"/>
          <w:highlight w:val="none"/>
        </w:rPr>
      </w:pPr>
      <w:r>
        <w:rPr>
          <w:rFonts w:hint="eastAsia"/>
          <w:color w:val="auto"/>
          <w:szCs w:val="21"/>
          <w:highlight w:val="none"/>
        </w:rPr>
        <w:t>对于超过一定规模的危大工程，中标单位应当组织召开专家论证会对专项施工方案进行论证。</w:t>
      </w:r>
    </w:p>
    <w:p w14:paraId="3038CA2B">
      <w:pPr>
        <w:pStyle w:val="46"/>
        <w:numPr>
          <w:ilvl w:val="0"/>
          <w:numId w:val="2"/>
        </w:numPr>
        <w:autoSpaceDE w:val="0"/>
        <w:autoSpaceDN w:val="0"/>
        <w:adjustRightInd w:val="0"/>
        <w:spacing w:line="276" w:lineRule="auto"/>
        <w:ind w:firstLineChars="0"/>
        <w:jc w:val="left"/>
        <w:rPr>
          <w:rFonts w:hint="eastAsia"/>
          <w:color w:val="auto"/>
          <w:szCs w:val="21"/>
          <w:highlight w:val="none"/>
        </w:rPr>
      </w:pPr>
      <w:r>
        <w:rPr>
          <w:rFonts w:hint="eastAsia"/>
          <w:color w:val="auto"/>
          <w:szCs w:val="21"/>
          <w:highlight w:val="none"/>
        </w:rPr>
        <w:t>危险性较大的分部分项工程清单及超过一定规模的危险性较大的分部分项工程清单：</w:t>
      </w:r>
    </w:p>
    <w:tbl>
      <w:tblPr>
        <w:tblStyle w:val="27"/>
        <w:tblW w:w="8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3"/>
        <w:gridCol w:w="1264"/>
        <w:gridCol w:w="1361"/>
        <w:gridCol w:w="1063"/>
      </w:tblGrid>
      <w:tr w14:paraId="745B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173" w:type="dxa"/>
            <w:noWrap w:val="0"/>
            <w:vAlign w:val="center"/>
          </w:tcPr>
          <w:p w14:paraId="1D8E3731">
            <w:pPr>
              <w:spacing w:line="276" w:lineRule="auto"/>
              <w:jc w:val="center"/>
              <w:rPr>
                <w:rFonts w:ascii="Times New Roman" w:hAnsi="Times New Roman"/>
                <w:b/>
                <w:color w:val="auto"/>
                <w:szCs w:val="21"/>
                <w:highlight w:val="none"/>
              </w:rPr>
            </w:pPr>
            <w:r>
              <w:rPr>
                <w:rFonts w:hint="eastAsia" w:ascii="Times New Roman" w:hAnsi="Times New Roman"/>
                <w:b/>
                <w:color w:val="auto"/>
                <w:szCs w:val="21"/>
                <w:highlight w:val="none"/>
              </w:rPr>
              <w:t>一、危险性较大的分部分项工程清单</w:t>
            </w:r>
          </w:p>
        </w:tc>
        <w:tc>
          <w:tcPr>
            <w:tcW w:w="1264" w:type="dxa"/>
            <w:noWrap w:val="0"/>
            <w:vAlign w:val="center"/>
          </w:tcPr>
          <w:p w14:paraId="6E3FB888">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建设单位</w:t>
            </w:r>
          </w:p>
        </w:tc>
        <w:tc>
          <w:tcPr>
            <w:tcW w:w="1361" w:type="dxa"/>
            <w:noWrap w:val="0"/>
            <w:vAlign w:val="center"/>
          </w:tcPr>
          <w:p w14:paraId="569C3EA4">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投标单位</w:t>
            </w:r>
          </w:p>
        </w:tc>
        <w:tc>
          <w:tcPr>
            <w:tcW w:w="1063" w:type="dxa"/>
            <w:noWrap w:val="0"/>
            <w:vAlign w:val="center"/>
          </w:tcPr>
          <w:p w14:paraId="6D7D5BC6">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备注</w:t>
            </w:r>
          </w:p>
        </w:tc>
      </w:tr>
      <w:tr w14:paraId="5EE0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5173" w:type="dxa"/>
            <w:noWrap w:val="0"/>
            <w:vAlign w:val="center"/>
          </w:tcPr>
          <w:p w14:paraId="21CB264E">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一、基坑支护</w:t>
            </w:r>
          </w:p>
        </w:tc>
        <w:tc>
          <w:tcPr>
            <w:tcW w:w="1264" w:type="dxa"/>
            <w:noWrap w:val="0"/>
            <w:vAlign w:val="center"/>
          </w:tcPr>
          <w:p w14:paraId="646A5262">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47D40A39">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44B5C301">
            <w:pPr>
              <w:spacing w:line="276" w:lineRule="auto"/>
              <w:jc w:val="left"/>
              <w:rPr>
                <w:rFonts w:ascii="Times New Roman" w:hAnsi="Times New Roman"/>
                <w:color w:val="auto"/>
                <w:szCs w:val="21"/>
                <w:highlight w:val="none"/>
              </w:rPr>
            </w:pPr>
          </w:p>
        </w:tc>
      </w:tr>
      <w:tr w14:paraId="0C64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64EE49E0">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（一）开挖深度超过3m（含3m）的基坑（槽）的土方开挖、支护、降水工程。</w:t>
            </w:r>
          </w:p>
        </w:tc>
        <w:tc>
          <w:tcPr>
            <w:tcW w:w="1264" w:type="dxa"/>
            <w:noWrap w:val="0"/>
            <w:vAlign w:val="center"/>
          </w:tcPr>
          <w:p w14:paraId="58872DC4">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292F726B">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553DD655">
            <w:pPr>
              <w:spacing w:line="276" w:lineRule="auto"/>
              <w:jc w:val="center"/>
              <w:rPr>
                <w:rFonts w:ascii="Times New Roman" w:hAnsi="Times New Roman"/>
                <w:color w:val="auto"/>
                <w:szCs w:val="21"/>
                <w:highlight w:val="none"/>
              </w:rPr>
            </w:pPr>
          </w:p>
        </w:tc>
      </w:tr>
      <w:tr w14:paraId="2CC7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390F0F09">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（二）开挖深度虽未超过3m，但地质条件、周围环境和地下管线复杂，或影响毗邻建、构筑物安全的基坑（槽）的土方开挖、支护、降水工程。</w:t>
            </w:r>
          </w:p>
        </w:tc>
        <w:tc>
          <w:tcPr>
            <w:tcW w:w="1264" w:type="dxa"/>
            <w:noWrap w:val="0"/>
            <w:vAlign w:val="center"/>
          </w:tcPr>
          <w:p w14:paraId="73764CA9">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1030C342">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0F29E084">
            <w:pPr>
              <w:spacing w:line="276" w:lineRule="auto"/>
              <w:jc w:val="center"/>
              <w:rPr>
                <w:rFonts w:ascii="Times New Roman" w:hAnsi="Times New Roman"/>
                <w:color w:val="auto"/>
                <w:szCs w:val="21"/>
                <w:highlight w:val="none"/>
              </w:rPr>
            </w:pPr>
          </w:p>
        </w:tc>
      </w:tr>
      <w:tr w14:paraId="14B4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108F4DC6">
            <w:pPr>
              <w:spacing w:line="276" w:lineRule="auto"/>
              <w:jc w:val="left"/>
              <w:rPr>
                <w:rFonts w:hint="eastAsia" w:ascii="Times New Roman" w:hAnsi="Times New Roman"/>
                <w:color w:val="auto"/>
                <w:szCs w:val="21"/>
                <w:highlight w:val="none"/>
              </w:rPr>
            </w:pPr>
            <w:r>
              <w:rPr>
                <w:rFonts w:hint="eastAsia" w:ascii="Times New Roman" w:hAnsi="Times New Roman"/>
                <w:color w:val="auto"/>
                <w:szCs w:val="21"/>
                <w:highlight w:val="none"/>
              </w:rPr>
              <w:t>二、模板工程及支撑体系</w:t>
            </w:r>
          </w:p>
        </w:tc>
        <w:tc>
          <w:tcPr>
            <w:tcW w:w="1264" w:type="dxa"/>
            <w:noWrap w:val="0"/>
            <w:vAlign w:val="center"/>
          </w:tcPr>
          <w:p w14:paraId="63DD8ADF">
            <w:pPr>
              <w:spacing w:line="276" w:lineRule="auto"/>
              <w:jc w:val="left"/>
              <w:rPr>
                <w:rFonts w:hint="eastAsia"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2F6281FA">
            <w:pPr>
              <w:spacing w:line="276" w:lineRule="auto"/>
              <w:jc w:val="left"/>
              <w:rPr>
                <w:rFonts w:hint="eastAsia"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2F9AF4D8">
            <w:pPr>
              <w:spacing w:line="276" w:lineRule="auto"/>
              <w:jc w:val="left"/>
              <w:rPr>
                <w:rFonts w:hint="eastAsia" w:ascii="Times New Roman" w:hAnsi="Times New Roman"/>
                <w:color w:val="auto"/>
                <w:szCs w:val="21"/>
                <w:highlight w:val="none"/>
              </w:rPr>
            </w:pPr>
          </w:p>
        </w:tc>
      </w:tr>
      <w:tr w14:paraId="2B43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10EFA2D6">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（一）各类工具式模板工程：包括滑模、爬模、飞模、隧道模等工程。</w:t>
            </w:r>
          </w:p>
        </w:tc>
        <w:tc>
          <w:tcPr>
            <w:tcW w:w="1264" w:type="dxa"/>
            <w:noWrap w:val="0"/>
            <w:vAlign w:val="center"/>
          </w:tcPr>
          <w:p w14:paraId="37170644">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0B2E525F">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7B43FD11">
            <w:pPr>
              <w:spacing w:line="276" w:lineRule="auto"/>
              <w:jc w:val="center"/>
              <w:rPr>
                <w:rFonts w:ascii="Times New Roman" w:hAnsi="Times New Roman"/>
                <w:color w:val="auto"/>
                <w:szCs w:val="21"/>
                <w:highlight w:val="none"/>
              </w:rPr>
            </w:pPr>
          </w:p>
        </w:tc>
      </w:tr>
      <w:tr w14:paraId="6DE1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1F20BA90">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64" w:type="dxa"/>
            <w:noWrap w:val="0"/>
            <w:vAlign w:val="center"/>
          </w:tcPr>
          <w:p w14:paraId="4CDBACD8">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11AFDF32">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7D8DA990">
            <w:pPr>
              <w:spacing w:line="276" w:lineRule="auto"/>
              <w:jc w:val="center"/>
              <w:rPr>
                <w:rFonts w:ascii="Times New Roman" w:hAnsi="Times New Roman"/>
                <w:color w:val="auto"/>
                <w:szCs w:val="21"/>
                <w:highlight w:val="none"/>
              </w:rPr>
            </w:pPr>
          </w:p>
        </w:tc>
      </w:tr>
      <w:tr w14:paraId="5773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3" w:type="dxa"/>
            <w:noWrap w:val="0"/>
            <w:vAlign w:val="center"/>
          </w:tcPr>
          <w:p w14:paraId="3FB8B95B">
            <w:pPr>
              <w:widowControl/>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（三）承重支撑体系：用于钢结构安装等满堂支撑体系。</w:t>
            </w:r>
          </w:p>
        </w:tc>
        <w:tc>
          <w:tcPr>
            <w:tcW w:w="1264" w:type="dxa"/>
            <w:noWrap w:val="0"/>
            <w:vAlign w:val="center"/>
          </w:tcPr>
          <w:p w14:paraId="491D6C5F">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747CB3F1">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3A98E2B0">
            <w:pPr>
              <w:spacing w:line="276" w:lineRule="auto"/>
              <w:jc w:val="left"/>
              <w:rPr>
                <w:rFonts w:ascii="Times New Roman" w:hAnsi="Times New Roman"/>
                <w:color w:val="auto"/>
                <w:szCs w:val="21"/>
                <w:highlight w:val="none"/>
              </w:rPr>
            </w:pPr>
          </w:p>
        </w:tc>
      </w:tr>
      <w:tr w14:paraId="53AF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3" w:type="dxa"/>
            <w:noWrap w:val="0"/>
            <w:vAlign w:val="center"/>
          </w:tcPr>
          <w:p w14:paraId="463B4041">
            <w:pPr>
              <w:widowControl/>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　三、起重吊装及起重机械安装拆卸工程</w:t>
            </w:r>
          </w:p>
        </w:tc>
        <w:tc>
          <w:tcPr>
            <w:tcW w:w="1264" w:type="dxa"/>
            <w:noWrap w:val="0"/>
            <w:vAlign w:val="center"/>
          </w:tcPr>
          <w:p w14:paraId="2F617687">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hint="eastAsia" w:ascii="Arial" w:hAnsi="Arial" w:cs="Arial"/>
                <w:color w:val="auto"/>
                <w:szCs w:val="21"/>
                <w:highlight w:val="none"/>
                <w:lang w:val="en-US" w:eastAsia="zh-CN"/>
              </w:rPr>
              <w:t xml:space="preserve">  </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w:t>
            </w:r>
          </w:p>
        </w:tc>
        <w:tc>
          <w:tcPr>
            <w:tcW w:w="1361" w:type="dxa"/>
            <w:noWrap w:val="0"/>
            <w:vAlign w:val="center"/>
          </w:tcPr>
          <w:p w14:paraId="2B01755C">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57120826">
            <w:pPr>
              <w:spacing w:line="276" w:lineRule="auto"/>
              <w:jc w:val="left"/>
              <w:rPr>
                <w:rFonts w:ascii="Times New Roman" w:hAnsi="Times New Roman"/>
                <w:color w:val="auto"/>
                <w:szCs w:val="21"/>
                <w:highlight w:val="none"/>
              </w:rPr>
            </w:pPr>
          </w:p>
        </w:tc>
      </w:tr>
      <w:tr w14:paraId="7ABD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center"/>
          </w:tcPr>
          <w:p w14:paraId="34A2FD7C">
            <w:pPr>
              <w:widowControl/>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（一）采用非常规起重设备、方法，且单件起吊重量在10kN及以上的起重吊装工程。</w:t>
            </w:r>
          </w:p>
        </w:tc>
        <w:tc>
          <w:tcPr>
            <w:tcW w:w="1264" w:type="dxa"/>
            <w:noWrap w:val="0"/>
            <w:vAlign w:val="center"/>
          </w:tcPr>
          <w:p w14:paraId="27616105">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hint="eastAsia" w:ascii="Arial" w:hAnsi="Arial" w:cs="Arial"/>
                <w:color w:val="auto"/>
                <w:szCs w:val="21"/>
                <w:highlight w:val="none"/>
                <w:lang w:val="en-US" w:eastAsia="zh-CN"/>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14:paraId="55DB4EC7">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13DD3B63">
            <w:pPr>
              <w:spacing w:line="276" w:lineRule="auto"/>
              <w:jc w:val="left"/>
              <w:rPr>
                <w:rFonts w:ascii="Times New Roman" w:hAnsi="Times New Roman"/>
                <w:color w:val="auto"/>
                <w:szCs w:val="21"/>
                <w:highlight w:val="none"/>
              </w:rPr>
            </w:pPr>
          </w:p>
        </w:tc>
      </w:tr>
      <w:tr w14:paraId="7F3F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3" w:type="dxa"/>
            <w:noWrap w:val="0"/>
            <w:vAlign w:val="center"/>
          </w:tcPr>
          <w:p w14:paraId="2A31C37C">
            <w:pPr>
              <w:spacing w:line="276" w:lineRule="auto"/>
              <w:jc w:val="left"/>
              <w:rPr>
                <w:rFonts w:ascii="Times New Roman" w:hAnsi="Times New Roman"/>
                <w:color w:val="auto"/>
                <w:szCs w:val="21"/>
                <w:highlight w:val="none"/>
              </w:rPr>
            </w:pPr>
            <w:r>
              <w:rPr>
                <w:rFonts w:hint="eastAsia" w:ascii="Times New Roman" w:hAnsi="Times New Roman" w:cs="宋体"/>
                <w:color w:val="auto"/>
                <w:szCs w:val="21"/>
                <w:highlight w:val="none"/>
              </w:rPr>
              <w:t>（二）采用起重机械进行安装的工程。</w:t>
            </w:r>
          </w:p>
        </w:tc>
        <w:tc>
          <w:tcPr>
            <w:tcW w:w="1264" w:type="dxa"/>
            <w:noWrap w:val="0"/>
            <w:vAlign w:val="center"/>
          </w:tcPr>
          <w:p w14:paraId="4D16CFBB">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w:t>
            </w:r>
            <w:r>
              <w:rPr>
                <w:rFonts w:hint="eastAsia"/>
                <w:color w:val="auto"/>
                <w:szCs w:val="21"/>
                <w:highlight w:val="none"/>
                <w:lang w:val="en-US" w:eastAsia="zh-CN"/>
              </w:rPr>
              <w:t xml:space="preserve">  </w:t>
            </w:r>
            <w:r>
              <w:rPr>
                <w:rFonts w:hint="eastAsia" w:ascii="Arial" w:hAnsi="Arial" w:cs="Arial"/>
                <w:color w:val="auto"/>
                <w:szCs w:val="21"/>
                <w:highlight w:val="none"/>
                <w:lang w:val="en-US" w:eastAsia="zh-CN"/>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w:t>
            </w:r>
          </w:p>
        </w:tc>
        <w:tc>
          <w:tcPr>
            <w:tcW w:w="1361" w:type="dxa"/>
            <w:noWrap w:val="0"/>
            <w:vAlign w:val="center"/>
          </w:tcPr>
          <w:p w14:paraId="2412FEEB">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0A28AA7F">
            <w:pPr>
              <w:spacing w:line="276" w:lineRule="auto"/>
              <w:jc w:val="left"/>
              <w:rPr>
                <w:rFonts w:ascii="Times New Roman" w:hAnsi="Times New Roman"/>
                <w:color w:val="auto"/>
                <w:szCs w:val="21"/>
                <w:highlight w:val="none"/>
              </w:rPr>
            </w:pPr>
          </w:p>
        </w:tc>
      </w:tr>
      <w:tr w14:paraId="692A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3" w:type="dxa"/>
            <w:noWrap w:val="0"/>
            <w:vAlign w:val="center"/>
          </w:tcPr>
          <w:p w14:paraId="58CD9230">
            <w:pPr>
              <w:spacing w:line="276" w:lineRule="auto"/>
              <w:jc w:val="left"/>
              <w:rPr>
                <w:rFonts w:ascii="Times New Roman" w:hAnsi="Times New Roman" w:cs="宋体"/>
                <w:color w:val="auto"/>
                <w:szCs w:val="21"/>
                <w:highlight w:val="none"/>
              </w:rPr>
            </w:pPr>
            <w:r>
              <w:rPr>
                <w:rFonts w:hint="eastAsia" w:ascii="Times New Roman" w:hAnsi="Times New Roman" w:cs="宋体"/>
                <w:color w:val="auto"/>
                <w:szCs w:val="21"/>
                <w:highlight w:val="none"/>
              </w:rPr>
              <w:t>（三）起重机械安装和拆卸工程。</w:t>
            </w:r>
          </w:p>
        </w:tc>
        <w:tc>
          <w:tcPr>
            <w:tcW w:w="1264" w:type="dxa"/>
            <w:noWrap w:val="0"/>
            <w:vAlign w:val="center"/>
          </w:tcPr>
          <w:p w14:paraId="21F5B672">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Arial" w:hAnsi="Arial" w:cs="Arial"/>
                <w:color w:val="auto"/>
                <w:szCs w:val="21"/>
                <w:highlight w:val="none"/>
                <w:lang w:val="en-US" w:eastAsia="zh-CN"/>
              </w:rPr>
              <w:t xml:space="preserve">  </w:t>
            </w:r>
            <w:r>
              <w:rPr>
                <w:rFonts w:hint="eastAsia" w:ascii="Times New Roman" w:hAnsi="Times New Roman"/>
                <w:color w:val="auto"/>
                <w:szCs w:val="21"/>
                <w:highlight w:val="none"/>
                <w:lang w:val="en-US" w:eastAsia="zh-CN"/>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w:t>
            </w:r>
          </w:p>
        </w:tc>
        <w:tc>
          <w:tcPr>
            <w:tcW w:w="1361" w:type="dxa"/>
            <w:noWrap w:val="0"/>
            <w:vAlign w:val="center"/>
          </w:tcPr>
          <w:p w14:paraId="7332FF55">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22D698C3">
            <w:pPr>
              <w:spacing w:line="276" w:lineRule="auto"/>
              <w:jc w:val="left"/>
              <w:rPr>
                <w:rFonts w:ascii="Times New Roman" w:hAnsi="Times New Roman"/>
                <w:color w:val="auto"/>
                <w:szCs w:val="21"/>
                <w:highlight w:val="none"/>
              </w:rPr>
            </w:pPr>
          </w:p>
        </w:tc>
      </w:tr>
      <w:tr w14:paraId="25DE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173" w:type="dxa"/>
            <w:noWrap w:val="0"/>
            <w:vAlign w:val="top"/>
          </w:tcPr>
          <w:p w14:paraId="3E81D593">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四、脚手架工程</w:t>
            </w:r>
          </w:p>
        </w:tc>
        <w:tc>
          <w:tcPr>
            <w:tcW w:w="1264" w:type="dxa"/>
            <w:noWrap w:val="0"/>
            <w:vAlign w:val="center"/>
          </w:tcPr>
          <w:p w14:paraId="189FFBA1">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745F43B8">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56B94EC8">
            <w:pPr>
              <w:spacing w:line="276" w:lineRule="auto"/>
              <w:jc w:val="center"/>
              <w:rPr>
                <w:rFonts w:ascii="Times New Roman" w:hAnsi="Times New Roman"/>
                <w:color w:val="auto"/>
                <w:szCs w:val="21"/>
                <w:highlight w:val="none"/>
              </w:rPr>
            </w:pPr>
          </w:p>
        </w:tc>
      </w:tr>
      <w:tr w14:paraId="17A6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164C4A6B">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（一）搭设高度24m及以上的落地式钢管脚手架工程（包括采光井、电梯井脚手架）。</w:t>
            </w:r>
          </w:p>
        </w:tc>
        <w:tc>
          <w:tcPr>
            <w:tcW w:w="1264" w:type="dxa"/>
            <w:noWrap w:val="0"/>
            <w:vAlign w:val="center"/>
          </w:tcPr>
          <w:p w14:paraId="50F3316F">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w:t>
            </w:r>
          </w:p>
        </w:tc>
        <w:tc>
          <w:tcPr>
            <w:tcW w:w="1361" w:type="dxa"/>
            <w:noWrap w:val="0"/>
            <w:vAlign w:val="center"/>
          </w:tcPr>
          <w:p w14:paraId="323CC9C8">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3A3A18DD">
            <w:pPr>
              <w:spacing w:line="276" w:lineRule="auto"/>
              <w:jc w:val="center"/>
              <w:rPr>
                <w:rFonts w:ascii="Times New Roman" w:hAnsi="Times New Roman"/>
                <w:color w:val="auto"/>
                <w:szCs w:val="21"/>
                <w:highlight w:val="none"/>
              </w:rPr>
            </w:pPr>
          </w:p>
        </w:tc>
      </w:tr>
      <w:tr w14:paraId="321B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3" w:type="dxa"/>
            <w:noWrap w:val="0"/>
            <w:vAlign w:val="center"/>
          </w:tcPr>
          <w:p w14:paraId="6E4B60AE">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（二）附着式升降脚手架工程。</w:t>
            </w:r>
          </w:p>
        </w:tc>
        <w:tc>
          <w:tcPr>
            <w:tcW w:w="1264" w:type="dxa"/>
            <w:noWrap w:val="0"/>
            <w:vAlign w:val="center"/>
          </w:tcPr>
          <w:p w14:paraId="78F3BA72">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14:paraId="43458459">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6FA0DC9A">
            <w:pPr>
              <w:spacing w:line="276" w:lineRule="auto"/>
              <w:jc w:val="left"/>
              <w:rPr>
                <w:rFonts w:ascii="Times New Roman" w:hAnsi="Times New Roman"/>
                <w:color w:val="auto"/>
                <w:szCs w:val="21"/>
                <w:highlight w:val="none"/>
              </w:rPr>
            </w:pPr>
          </w:p>
        </w:tc>
      </w:tr>
      <w:tr w14:paraId="7D07C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3" w:type="dxa"/>
            <w:noWrap w:val="0"/>
            <w:vAlign w:val="center"/>
          </w:tcPr>
          <w:p w14:paraId="14514B1C">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（三）悬挑式脚手架工程。</w:t>
            </w:r>
          </w:p>
        </w:tc>
        <w:tc>
          <w:tcPr>
            <w:tcW w:w="1264" w:type="dxa"/>
            <w:noWrap w:val="0"/>
            <w:vAlign w:val="center"/>
          </w:tcPr>
          <w:p w14:paraId="1D1B7B8B">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14:paraId="3CC71D19">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28BECC98">
            <w:pPr>
              <w:spacing w:line="276" w:lineRule="auto"/>
              <w:jc w:val="left"/>
              <w:rPr>
                <w:rFonts w:ascii="Times New Roman" w:hAnsi="Times New Roman"/>
                <w:color w:val="auto"/>
                <w:szCs w:val="21"/>
                <w:highlight w:val="none"/>
              </w:rPr>
            </w:pPr>
          </w:p>
        </w:tc>
      </w:tr>
      <w:tr w14:paraId="07DA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3" w:type="dxa"/>
            <w:noWrap w:val="0"/>
            <w:vAlign w:val="center"/>
          </w:tcPr>
          <w:p w14:paraId="6623D8EA">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（四）高处作业吊篮。</w:t>
            </w:r>
          </w:p>
        </w:tc>
        <w:tc>
          <w:tcPr>
            <w:tcW w:w="1264" w:type="dxa"/>
            <w:noWrap w:val="0"/>
            <w:vAlign w:val="center"/>
          </w:tcPr>
          <w:p w14:paraId="6257F0D9">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w:t>
            </w:r>
            <w:r>
              <w:rPr>
                <w:rFonts w:hint="eastAsia" w:ascii="Times New Roman" w:hAnsi="Times New Roman"/>
                <w:color w:val="auto"/>
                <w:szCs w:val="21"/>
                <w:highlight w:val="none"/>
                <w:lang w:val="en-US" w:eastAsia="zh-CN"/>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w:t>
            </w:r>
          </w:p>
        </w:tc>
        <w:tc>
          <w:tcPr>
            <w:tcW w:w="1361" w:type="dxa"/>
            <w:noWrap w:val="0"/>
            <w:vAlign w:val="center"/>
          </w:tcPr>
          <w:p w14:paraId="692AD606">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309293A5">
            <w:pPr>
              <w:spacing w:line="276" w:lineRule="auto"/>
              <w:jc w:val="left"/>
              <w:rPr>
                <w:rFonts w:ascii="Times New Roman" w:hAnsi="Times New Roman"/>
                <w:color w:val="auto"/>
                <w:szCs w:val="21"/>
                <w:highlight w:val="none"/>
              </w:rPr>
            </w:pPr>
          </w:p>
        </w:tc>
      </w:tr>
      <w:tr w14:paraId="4908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3" w:type="dxa"/>
            <w:noWrap w:val="0"/>
            <w:vAlign w:val="center"/>
          </w:tcPr>
          <w:p w14:paraId="360D140F">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（五）卸料平台、操作平台工程。</w:t>
            </w:r>
          </w:p>
        </w:tc>
        <w:tc>
          <w:tcPr>
            <w:tcW w:w="1264" w:type="dxa"/>
            <w:noWrap w:val="0"/>
            <w:vAlign w:val="center"/>
          </w:tcPr>
          <w:p w14:paraId="5B6559B7">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w:t>
            </w:r>
          </w:p>
        </w:tc>
        <w:tc>
          <w:tcPr>
            <w:tcW w:w="1361" w:type="dxa"/>
            <w:noWrap w:val="0"/>
            <w:vAlign w:val="center"/>
          </w:tcPr>
          <w:p w14:paraId="52B7534D">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114ECB54">
            <w:pPr>
              <w:spacing w:line="276" w:lineRule="auto"/>
              <w:jc w:val="left"/>
              <w:rPr>
                <w:rFonts w:ascii="Times New Roman" w:hAnsi="Times New Roman"/>
                <w:color w:val="auto"/>
                <w:szCs w:val="21"/>
                <w:highlight w:val="none"/>
              </w:rPr>
            </w:pPr>
          </w:p>
        </w:tc>
      </w:tr>
      <w:tr w14:paraId="5FEF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3" w:type="dxa"/>
            <w:noWrap w:val="0"/>
            <w:vAlign w:val="center"/>
          </w:tcPr>
          <w:p w14:paraId="70F720EC">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（六）异型脚手架工程。</w:t>
            </w:r>
          </w:p>
        </w:tc>
        <w:tc>
          <w:tcPr>
            <w:tcW w:w="1264" w:type="dxa"/>
            <w:noWrap w:val="0"/>
            <w:vAlign w:val="center"/>
          </w:tcPr>
          <w:p w14:paraId="34117443">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14:paraId="0ECAAC55">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0795EA0D">
            <w:pPr>
              <w:spacing w:line="276" w:lineRule="auto"/>
              <w:jc w:val="left"/>
              <w:rPr>
                <w:rFonts w:ascii="Times New Roman" w:hAnsi="Times New Roman"/>
                <w:color w:val="auto"/>
                <w:szCs w:val="21"/>
                <w:highlight w:val="none"/>
              </w:rPr>
            </w:pPr>
          </w:p>
        </w:tc>
      </w:tr>
      <w:tr w14:paraId="565E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3" w:type="dxa"/>
            <w:noWrap w:val="0"/>
            <w:vAlign w:val="center"/>
          </w:tcPr>
          <w:p w14:paraId="391901D3">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五、拆除工程</w:t>
            </w:r>
          </w:p>
        </w:tc>
        <w:tc>
          <w:tcPr>
            <w:tcW w:w="1264" w:type="dxa"/>
            <w:noWrap w:val="0"/>
            <w:vAlign w:val="center"/>
          </w:tcPr>
          <w:p w14:paraId="17824984">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70A3DE37">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0369D67A">
            <w:pPr>
              <w:spacing w:line="276" w:lineRule="auto"/>
              <w:jc w:val="left"/>
              <w:rPr>
                <w:rFonts w:ascii="Times New Roman" w:hAnsi="Times New Roman"/>
                <w:color w:val="auto"/>
                <w:szCs w:val="21"/>
                <w:highlight w:val="none"/>
              </w:rPr>
            </w:pPr>
          </w:p>
        </w:tc>
      </w:tr>
      <w:tr w14:paraId="33A3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01EC16C9">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可能影响行人、交通、电力设施、通讯设施或其它建、构筑物安全的拆除工程。</w:t>
            </w:r>
          </w:p>
        </w:tc>
        <w:tc>
          <w:tcPr>
            <w:tcW w:w="1264" w:type="dxa"/>
            <w:noWrap w:val="0"/>
            <w:vAlign w:val="center"/>
          </w:tcPr>
          <w:p w14:paraId="437B468D">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14:paraId="6260DE16">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27E7C28D">
            <w:pPr>
              <w:spacing w:line="276" w:lineRule="auto"/>
              <w:jc w:val="center"/>
              <w:rPr>
                <w:rFonts w:ascii="Times New Roman" w:hAnsi="Times New Roman"/>
                <w:color w:val="auto"/>
                <w:szCs w:val="21"/>
                <w:highlight w:val="none"/>
              </w:rPr>
            </w:pPr>
          </w:p>
        </w:tc>
      </w:tr>
      <w:tr w14:paraId="33BA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05BB7EA2">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六、暗挖工程</w:t>
            </w:r>
          </w:p>
        </w:tc>
        <w:tc>
          <w:tcPr>
            <w:tcW w:w="1264" w:type="dxa"/>
            <w:noWrap w:val="0"/>
            <w:vAlign w:val="center"/>
          </w:tcPr>
          <w:p w14:paraId="61B0F992">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19DB1093">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60E8FF93">
            <w:pPr>
              <w:spacing w:line="276" w:lineRule="auto"/>
              <w:jc w:val="center"/>
              <w:rPr>
                <w:rFonts w:ascii="Times New Roman" w:hAnsi="Times New Roman"/>
                <w:color w:val="auto"/>
                <w:szCs w:val="21"/>
                <w:highlight w:val="none"/>
              </w:rPr>
            </w:pPr>
          </w:p>
        </w:tc>
      </w:tr>
      <w:tr w14:paraId="140D5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2AA6AB3B">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采用矿山法、盾构法、顶管法施工的隧道、洞室工程。</w:t>
            </w:r>
          </w:p>
        </w:tc>
        <w:tc>
          <w:tcPr>
            <w:tcW w:w="1264" w:type="dxa"/>
            <w:noWrap w:val="0"/>
            <w:vAlign w:val="center"/>
          </w:tcPr>
          <w:p w14:paraId="2B0B9FF2">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222CDE57">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177A5CFC">
            <w:pPr>
              <w:spacing w:line="276" w:lineRule="auto"/>
              <w:jc w:val="center"/>
              <w:rPr>
                <w:rFonts w:ascii="Times New Roman" w:hAnsi="Times New Roman"/>
                <w:color w:val="auto"/>
                <w:szCs w:val="21"/>
                <w:highlight w:val="none"/>
              </w:rPr>
            </w:pPr>
          </w:p>
        </w:tc>
      </w:tr>
      <w:tr w14:paraId="3F99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183D4308">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七、其它</w:t>
            </w:r>
          </w:p>
        </w:tc>
        <w:tc>
          <w:tcPr>
            <w:tcW w:w="1264" w:type="dxa"/>
            <w:noWrap w:val="0"/>
            <w:vAlign w:val="center"/>
          </w:tcPr>
          <w:p w14:paraId="5C926ACA">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659100AC">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72E1419E">
            <w:pPr>
              <w:spacing w:line="276" w:lineRule="auto"/>
              <w:jc w:val="center"/>
              <w:rPr>
                <w:rFonts w:ascii="Times New Roman" w:hAnsi="Times New Roman"/>
                <w:color w:val="auto"/>
                <w:szCs w:val="21"/>
                <w:highlight w:val="none"/>
              </w:rPr>
            </w:pPr>
          </w:p>
        </w:tc>
      </w:tr>
      <w:tr w14:paraId="762B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56BD79C1">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（一）建筑幕墙安装工程。</w:t>
            </w:r>
          </w:p>
        </w:tc>
        <w:tc>
          <w:tcPr>
            <w:tcW w:w="1264" w:type="dxa"/>
            <w:noWrap w:val="0"/>
            <w:vAlign w:val="center"/>
          </w:tcPr>
          <w:p w14:paraId="30D052C1">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14:paraId="4C97B6FC">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1C89EE62">
            <w:pPr>
              <w:spacing w:line="276" w:lineRule="auto"/>
              <w:jc w:val="center"/>
              <w:rPr>
                <w:rFonts w:ascii="Times New Roman" w:hAnsi="Times New Roman"/>
                <w:color w:val="auto"/>
                <w:szCs w:val="21"/>
                <w:highlight w:val="none"/>
              </w:rPr>
            </w:pPr>
          </w:p>
        </w:tc>
      </w:tr>
      <w:tr w14:paraId="0557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7FE6A233">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（二）钢结构、网架和索膜结构安装工程。</w:t>
            </w:r>
          </w:p>
        </w:tc>
        <w:tc>
          <w:tcPr>
            <w:tcW w:w="1264" w:type="dxa"/>
            <w:noWrap w:val="0"/>
            <w:vAlign w:val="center"/>
          </w:tcPr>
          <w:p w14:paraId="4A1617E7">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0BFCE8A7">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609ADA33">
            <w:pPr>
              <w:spacing w:line="276" w:lineRule="auto"/>
              <w:jc w:val="center"/>
              <w:rPr>
                <w:rFonts w:ascii="Times New Roman" w:hAnsi="Times New Roman"/>
                <w:color w:val="auto"/>
                <w:szCs w:val="21"/>
                <w:highlight w:val="none"/>
              </w:rPr>
            </w:pPr>
          </w:p>
        </w:tc>
      </w:tr>
      <w:tr w14:paraId="4532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0AAD6304">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（三）人工挖孔桩工程。</w:t>
            </w:r>
          </w:p>
        </w:tc>
        <w:tc>
          <w:tcPr>
            <w:tcW w:w="1264" w:type="dxa"/>
            <w:noWrap w:val="0"/>
            <w:vAlign w:val="center"/>
          </w:tcPr>
          <w:p w14:paraId="532D2539">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14:paraId="2AA41407">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1DE83617">
            <w:pPr>
              <w:spacing w:line="276" w:lineRule="auto"/>
              <w:jc w:val="center"/>
              <w:rPr>
                <w:rFonts w:ascii="Times New Roman" w:hAnsi="Times New Roman"/>
                <w:color w:val="auto"/>
                <w:szCs w:val="21"/>
                <w:highlight w:val="none"/>
              </w:rPr>
            </w:pPr>
          </w:p>
        </w:tc>
      </w:tr>
      <w:tr w14:paraId="45E51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07E1B28A">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（四）水下作业工程。</w:t>
            </w:r>
          </w:p>
        </w:tc>
        <w:tc>
          <w:tcPr>
            <w:tcW w:w="1264" w:type="dxa"/>
            <w:noWrap w:val="0"/>
            <w:vAlign w:val="center"/>
          </w:tcPr>
          <w:p w14:paraId="5F9BD5A7">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25694BE3">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4834472D">
            <w:pPr>
              <w:spacing w:line="276" w:lineRule="auto"/>
              <w:jc w:val="center"/>
              <w:rPr>
                <w:rFonts w:ascii="Times New Roman" w:hAnsi="Times New Roman"/>
                <w:color w:val="auto"/>
                <w:szCs w:val="21"/>
                <w:highlight w:val="none"/>
              </w:rPr>
            </w:pPr>
          </w:p>
        </w:tc>
      </w:tr>
      <w:tr w14:paraId="4E76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020A4AD4">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（五）装配式建筑混凝土预制构件安装工程。</w:t>
            </w:r>
          </w:p>
        </w:tc>
        <w:tc>
          <w:tcPr>
            <w:tcW w:w="1264" w:type="dxa"/>
            <w:noWrap w:val="0"/>
            <w:vAlign w:val="center"/>
          </w:tcPr>
          <w:p w14:paraId="52E4FA8B">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032CB3CC">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6BEB9306">
            <w:pPr>
              <w:spacing w:line="276" w:lineRule="auto"/>
              <w:jc w:val="center"/>
              <w:rPr>
                <w:rFonts w:ascii="Times New Roman" w:hAnsi="Times New Roman"/>
                <w:color w:val="auto"/>
                <w:szCs w:val="21"/>
                <w:highlight w:val="none"/>
              </w:rPr>
            </w:pPr>
          </w:p>
        </w:tc>
      </w:tr>
      <w:tr w14:paraId="1CBA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53F54B60">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（六）采用新技术、新工艺、新材料、新设备可能影响工程施工安全，尚无国家、行业及地方技术标准的分部分项工程。</w:t>
            </w:r>
          </w:p>
        </w:tc>
        <w:tc>
          <w:tcPr>
            <w:tcW w:w="1264" w:type="dxa"/>
            <w:noWrap w:val="0"/>
            <w:vAlign w:val="center"/>
          </w:tcPr>
          <w:p w14:paraId="0F3C8E87">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14:paraId="712F7B0F">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516DC427">
            <w:pPr>
              <w:spacing w:line="276" w:lineRule="auto"/>
              <w:jc w:val="center"/>
              <w:rPr>
                <w:rFonts w:ascii="Times New Roman" w:hAnsi="Times New Roman"/>
                <w:color w:val="auto"/>
                <w:szCs w:val="21"/>
                <w:highlight w:val="none"/>
              </w:rPr>
            </w:pPr>
          </w:p>
        </w:tc>
      </w:tr>
      <w:tr w14:paraId="3FD2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center"/>
          </w:tcPr>
          <w:p w14:paraId="4CC4E2A9">
            <w:pPr>
              <w:widowControl/>
              <w:spacing w:line="276" w:lineRule="auto"/>
              <w:rPr>
                <w:rFonts w:ascii="Times New Roman" w:hAnsi="Times New Roman" w:cs="宋体"/>
                <w:b/>
                <w:color w:val="auto"/>
                <w:szCs w:val="21"/>
                <w:highlight w:val="none"/>
              </w:rPr>
            </w:pPr>
            <w:r>
              <w:rPr>
                <w:rFonts w:hint="eastAsia" w:ascii="Times New Roman" w:hAnsi="Times New Roman" w:cs="宋体"/>
                <w:b/>
                <w:bCs/>
                <w:color w:val="auto"/>
                <w:szCs w:val="21"/>
                <w:highlight w:val="none"/>
              </w:rPr>
              <w:t>二、超过一定规模的危险性较大的分部分项工程清单</w:t>
            </w:r>
          </w:p>
        </w:tc>
        <w:tc>
          <w:tcPr>
            <w:tcW w:w="1264" w:type="dxa"/>
            <w:noWrap w:val="0"/>
            <w:vAlign w:val="center"/>
          </w:tcPr>
          <w:p w14:paraId="2E67E0D5">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55E604B4">
            <w:pPr>
              <w:spacing w:line="276" w:lineRule="auto"/>
              <w:jc w:val="center"/>
              <w:rPr>
                <w:rFonts w:ascii="Times New Roman" w:hAnsi="Times New Roman"/>
                <w:color w:val="auto"/>
                <w:szCs w:val="21"/>
                <w:highlight w:val="none"/>
              </w:rPr>
            </w:pPr>
          </w:p>
        </w:tc>
        <w:tc>
          <w:tcPr>
            <w:tcW w:w="1063" w:type="dxa"/>
            <w:noWrap w:val="0"/>
            <w:vAlign w:val="center"/>
          </w:tcPr>
          <w:p w14:paraId="3C693523">
            <w:pPr>
              <w:spacing w:line="276" w:lineRule="auto"/>
              <w:jc w:val="center"/>
              <w:rPr>
                <w:rFonts w:ascii="Times New Roman" w:hAnsi="Times New Roman"/>
                <w:color w:val="auto"/>
                <w:szCs w:val="21"/>
                <w:highlight w:val="none"/>
              </w:rPr>
            </w:pPr>
          </w:p>
        </w:tc>
      </w:tr>
      <w:tr w14:paraId="5D9C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388B2D0A">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一、深基坑工程</w:t>
            </w:r>
          </w:p>
        </w:tc>
        <w:tc>
          <w:tcPr>
            <w:tcW w:w="1264" w:type="dxa"/>
            <w:noWrap w:val="0"/>
            <w:vAlign w:val="center"/>
          </w:tcPr>
          <w:p w14:paraId="1E69F530">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26FE1E13">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1AC92449">
            <w:pPr>
              <w:spacing w:line="276" w:lineRule="auto"/>
              <w:jc w:val="center"/>
              <w:rPr>
                <w:rFonts w:ascii="Times New Roman" w:hAnsi="Times New Roman"/>
                <w:color w:val="auto"/>
                <w:szCs w:val="21"/>
                <w:highlight w:val="none"/>
              </w:rPr>
            </w:pPr>
          </w:p>
        </w:tc>
      </w:tr>
      <w:tr w14:paraId="72CB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4B7B4283">
            <w:pPr>
              <w:spacing w:line="276" w:lineRule="auto"/>
              <w:ind w:firstLine="480"/>
              <w:jc w:val="left"/>
              <w:rPr>
                <w:rFonts w:ascii="Times New Roman" w:hAnsi="Times New Roman"/>
                <w:color w:val="auto"/>
                <w:szCs w:val="21"/>
                <w:highlight w:val="none"/>
              </w:rPr>
            </w:pPr>
            <w:r>
              <w:rPr>
                <w:rFonts w:hint="eastAsia" w:ascii="Times New Roman" w:hAnsi="Times New Roman"/>
                <w:color w:val="auto"/>
                <w:szCs w:val="21"/>
                <w:highlight w:val="none"/>
              </w:rPr>
              <w:t>开挖深度超过5m（含5m）的基坑（槽）的土方开挖、支护、降水工程。</w:t>
            </w:r>
          </w:p>
        </w:tc>
        <w:tc>
          <w:tcPr>
            <w:tcW w:w="1264" w:type="dxa"/>
            <w:noWrap w:val="0"/>
            <w:vAlign w:val="center"/>
          </w:tcPr>
          <w:p w14:paraId="5127D8D0">
            <w:pPr>
              <w:spacing w:line="276" w:lineRule="auto"/>
              <w:ind w:firstLine="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2A9C2F01">
            <w:pPr>
              <w:spacing w:line="276" w:lineRule="auto"/>
              <w:ind w:firstLine="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5AB4DB67">
            <w:pPr>
              <w:spacing w:line="276" w:lineRule="auto"/>
              <w:ind w:firstLine="480"/>
              <w:jc w:val="center"/>
              <w:rPr>
                <w:rFonts w:ascii="Times New Roman" w:hAnsi="Times New Roman"/>
                <w:color w:val="auto"/>
                <w:szCs w:val="21"/>
                <w:highlight w:val="none"/>
              </w:rPr>
            </w:pPr>
          </w:p>
        </w:tc>
      </w:tr>
      <w:tr w14:paraId="02E5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5D9633C2">
            <w:pPr>
              <w:spacing w:line="276" w:lineRule="auto"/>
              <w:ind w:firstLine="480"/>
              <w:jc w:val="left"/>
              <w:rPr>
                <w:rFonts w:ascii="Times New Roman" w:hAnsi="Times New Roman"/>
                <w:color w:val="auto"/>
                <w:szCs w:val="21"/>
                <w:highlight w:val="none"/>
              </w:rPr>
            </w:pPr>
            <w:r>
              <w:rPr>
                <w:rFonts w:hint="eastAsia" w:ascii="Times New Roman" w:hAnsi="Times New Roman"/>
                <w:color w:val="auto"/>
                <w:szCs w:val="21"/>
                <w:highlight w:val="none"/>
              </w:rPr>
              <w:t>二、模板工程及支撑体系</w:t>
            </w:r>
          </w:p>
        </w:tc>
        <w:tc>
          <w:tcPr>
            <w:tcW w:w="1264" w:type="dxa"/>
            <w:noWrap w:val="0"/>
            <w:vAlign w:val="center"/>
          </w:tcPr>
          <w:p w14:paraId="751CE5A8">
            <w:pPr>
              <w:spacing w:line="276" w:lineRule="auto"/>
              <w:ind w:firstLine="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0C38805A">
            <w:pPr>
              <w:spacing w:line="276" w:lineRule="auto"/>
              <w:ind w:firstLine="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32E8C4C9">
            <w:pPr>
              <w:spacing w:line="276" w:lineRule="auto"/>
              <w:ind w:firstLine="480"/>
              <w:jc w:val="center"/>
              <w:rPr>
                <w:rFonts w:ascii="Times New Roman" w:hAnsi="Times New Roman"/>
                <w:color w:val="auto"/>
                <w:szCs w:val="21"/>
                <w:highlight w:val="none"/>
              </w:rPr>
            </w:pPr>
          </w:p>
        </w:tc>
      </w:tr>
      <w:tr w14:paraId="09D9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03E00230">
            <w:pPr>
              <w:spacing w:line="276" w:lineRule="auto"/>
              <w:ind w:firstLine="480"/>
              <w:jc w:val="left"/>
              <w:rPr>
                <w:rFonts w:ascii="Times New Roman" w:hAnsi="Times New Roman"/>
                <w:color w:val="auto"/>
                <w:szCs w:val="21"/>
                <w:highlight w:val="none"/>
              </w:rPr>
            </w:pPr>
            <w:r>
              <w:rPr>
                <w:rFonts w:hint="eastAsia" w:ascii="Times New Roman" w:hAnsi="Times New Roman"/>
                <w:color w:val="auto"/>
                <w:szCs w:val="21"/>
                <w:highlight w:val="none"/>
              </w:rPr>
              <w:t>（一）各类工具式模板工程：包括滑模、爬模、飞模、隧道模等工程。</w:t>
            </w:r>
          </w:p>
        </w:tc>
        <w:tc>
          <w:tcPr>
            <w:tcW w:w="1264" w:type="dxa"/>
            <w:noWrap w:val="0"/>
            <w:vAlign w:val="center"/>
          </w:tcPr>
          <w:p w14:paraId="53AA1A19">
            <w:pPr>
              <w:spacing w:line="276" w:lineRule="auto"/>
              <w:ind w:firstLine="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57052FBC">
            <w:pPr>
              <w:spacing w:line="276" w:lineRule="auto"/>
              <w:ind w:firstLine="0"/>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351AD165">
            <w:pPr>
              <w:spacing w:line="276" w:lineRule="auto"/>
              <w:ind w:firstLine="480"/>
              <w:jc w:val="center"/>
              <w:rPr>
                <w:rFonts w:ascii="Times New Roman" w:hAnsi="Times New Roman"/>
                <w:color w:val="auto"/>
                <w:szCs w:val="21"/>
                <w:highlight w:val="none"/>
              </w:rPr>
            </w:pPr>
          </w:p>
        </w:tc>
      </w:tr>
      <w:tr w14:paraId="1955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1F7493C5">
            <w:pPr>
              <w:spacing w:line="276" w:lineRule="auto"/>
              <w:ind w:firstLine="480"/>
              <w:jc w:val="left"/>
              <w:rPr>
                <w:rFonts w:ascii="Times New Roman" w:hAnsi="Times New Roman"/>
                <w:color w:val="auto"/>
                <w:szCs w:val="21"/>
                <w:highlight w:val="none"/>
              </w:rPr>
            </w:pPr>
            <w:r>
              <w:rPr>
                <w:rFonts w:hint="eastAsia" w:ascii="Times New Roman" w:hAnsi="Times New Roman"/>
                <w:color w:val="auto"/>
                <w:szCs w:val="21"/>
                <w:highlight w:val="none"/>
              </w:rPr>
              <w:t>（二）混凝土模板支撑工程：搭设高度8m及以上，或搭设跨度18m及以上，或施工总荷载（设计值）15kN/m2及以上，或集中线荷载（设计值）20kN/m及以上。</w:t>
            </w:r>
          </w:p>
        </w:tc>
        <w:tc>
          <w:tcPr>
            <w:tcW w:w="1264" w:type="dxa"/>
            <w:noWrap w:val="0"/>
            <w:vAlign w:val="center"/>
          </w:tcPr>
          <w:p w14:paraId="1B38EF7B">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2A181D6B">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6822CF09">
            <w:pPr>
              <w:spacing w:line="276" w:lineRule="auto"/>
              <w:jc w:val="center"/>
              <w:rPr>
                <w:rFonts w:ascii="Times New Roman" w:hAnsi="Times New Roman"/>
                <w:color w:val="auto"/>
                <w:szCs w:val="21"/>
                <w:highlight w:val="none"/>
              </w:rPr>
            </w:pPr>
          </w:p>
        </w:tc>
      </w:tr>
      <w:tr w14:paraId="5CEC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00845331">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（三）承重支撑体系：用于钢结构安装等满堂支撑体系，承受单点集中荷载7kN及以上。</w:t>
            </w:r>
          </w:p>
        </w:tc>
        <w:tc>
          <w:tcPr>
            <w:tcW w:w="1264" w:type="dxa"/>
            <w:noWrap w:val="0"/>
            <w:vAlign w:val="center"/>
          </w:tcPr>
          <w:p w14:paraId="13189052">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13A2BCFE">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5F7811B0">
            <w:pPr>
              <w:spacing w:line="276" w:lineRule="auto"/>
              <w:jc w:val="center"/>
              <w:rPr>
                <w:rFonts w:ascii="Times New Roman" w:hAnsi="Times New Roman"/>
                <w:color w:val="auto"/>
                <w:szCs w:val="21"/>
                <w:highlight w:val="none"/>
              </w:rPr>
            </w:pPr>
          </w:p>
        </w:tc>
      </w:tr>
      <w:tr w14:paraId="11C1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3" w:type="dxa"/>
            <w:noWrap w:val="0"/>
            <w:vAlign w:val="center"/>
          </w:tcPr>
          <w:p w14:paraId="57B3C58D">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三、起重吊装及起重机械安装拆卸工程</w:t>
            </w:r>
          </w:p>
        </w:tc>
        <w:tc>
          <w:tcPr>
            <w:tcW w:w="1264" w:type="dxa"/>
            <w:noWrap w:val="0"/>
            <w:vAlign w:val="center"/>
          </w:tcPr>
          <w:p w14:paraId="33D58CA9">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w:t>
            </w:r>
            <w:r>
              <w:rPr>
                <w:rFonts w:hint="eastAsia" w:ascii="Times New Roman" w:hAnsi="Times New Roman"/>
                <w:color w:val="auto"/>
                <w:szCs w:val="21"/>
                <w:highlight w:val="none"/>
                <w:lang w:val="en-US" w:eastAsia="zh-CN"/>
              </w:rPr>
              <w:t xml:space="preserve">  </w:t>
            </w:r>
            <w:r>
              <w:rPr>
                <w:rFonts w:hint="eastAsia" w:ascii="Arial" w:hAnsi="Arial" w:cs="Arial"/>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14:paraId="3AD6BB1B">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67742A85">
            <w:pPr>
              <w:spacing w:line="276" w:lineRule="auto"/>
              <w:jc w:val="left"/>
              <w:rPr>
                <w:rFonts w:ascii="Times New Roman" w:hAnsi="Times New Roman"/>
                <w:color w:val="auto"/>
                <w:szCs w:val="21"/>
                <w:highlight w:val="none"/>
              </w:rPr>
            </w:pPr>
          </w:p>
        </w:tc>
      </w:tr>
      <w:tr w14:paraId="1776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25C71FAC">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（一）采用非常规起重设备、方法，且单件起吊重量在100kN及以上的起重吊装工程。</w:t>
            </w:r>
          </w:p>
        </w:tc>
        <w:tc>
          <w:tcPr>
            <w:tcW w:w="1264" w:type="dxa"/>
            <w:noWrap w:val="0"/>
            <w:vAlign w:val="center"/>
          </w:tcPr>
          <w:p w14:paraId="58AAB022">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Arial" w:hAnsi="Arial" w:cs="Arial"/>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14:paraId="13B51DAA">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6F9B2419">
            <w:pPr>
              <w:spacing w:line="276" w:lineRule="auto"/>
              <w:jc w:val="center"/>
              <w:rPr>
                <w:rFonts w:ascii="Times New Roman" w:hAnsi="Times New Roman"/>
                <w:color w:val="auto"/>
                <w:szCs w:val="21"/>
                <w:highlight w:val="none"/>
              </w:rPr>
            </w:pPr>
          </w:p>
        </w:tc>
      </w:tr>
      <w:tr w14:paraId="053F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597B53D6">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（二）起重量300kN及以上，或搭设总高度200m及以上，或搭设基础标高在200m及以上的起重机械安装和拆卸工程。</w:t>
            </w:r>
          </w:p>
        </w:tc>
        <w:tc>
          <w:tcPr>
            <w:tcW w:w="1264" w:type="dxa"/>
            <w:noWrap w:val="0"/>
            <w:vAlign w:val="center"/>
          </w:tcPr>
          <w:p w14:paraId="6661D1E6">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Arial" w:hAnsi="Arial" w:cs="Arial"/>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14:paraId="33980F1A">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57143F6F">
            <w:pPr>
              <w:spacing w:line="276" w:lineRule="auto"/>
              <w:jc w:val="center"/>
              <w:rPr>
                <w:rFonts w:ascii="Times New Roman" w:hAnsi="Times New Roman"/>
                <w:color w:val="auto"/>
                <w:szCs w:val="21"/>
                <w:highlight w:val="none"/>
              </w:rPr>
            </w:pPr>
          </w:p>
        </w:tc>
      </w:tr>
      <w:tr w14:paraId="4B5B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3" w:type="dxa"/>
            <w:noWrap w:val="0"/>
            <w:vAlign w:val="center"/>
          </w:tcPr>
          <w:p w14:paraId="25E07FFF">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四、脚手架工程</w:t>
            </w:r>
          </w:p>
        </w:tc>
        <w:tc>
          <w:tcPr>
            <w:tcW w:w="1264" w:type="dxa"/>
            <w:noWrap w:val="0"/>
            <w:vAlign w:val="center"/>
          </w:tcPr>
          <w:p w14:paraId="28B481E9">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0DF615C3">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020E7FAE">
            <w:pPr>
              <w:spacing w:line="276" w:lineRule="auto"/>
              <w:jc w:val="left"/>
              <w:rPr>
                <w:rFonts w:ascii="Times New Roman" w:hAnsi="Times New Roman"/>
                <w:color w:val="auto"/>
                <w:szCs w:val="21"/>
                <w:highlight w:val="none"/>
              </w:rPr>
            </w:pPr>
          </w:p>
        </w:tc>
      </w:tr>
      <w:tr w14:paraId="07F1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29B6B5D0">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（一）搭设高度50m及以上的落地式钢管脚手架工程。</w:t>
            </w:r>
          </w:p>
        </w:tc>
        <w:tc>
          <w:tcPr>
            <w:tcW w:w="1264" w:type="dxa"/>
            <w:noWrap w:val="0"/>
            <w:vAlign w:val="center"/>
          </w:tcPr>
          <w:p w14:paraId="4C5F5585">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253DCACD">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2D75C905">
            <w:pPr>
              <w:spacing w:line="276" w:lineRule="auto"/>
              <w:jc w:val="center"/>
              <w:rPr>
                <w:rFonts w:ascii="Times New Roman" w:hAnsi="Times New Roman"/>
                <w:color w:val="auto"/>
                <w:szCs w:val="21"/>
                <w:highlight w:val="none"/>
              </w:rPr>
            </w:pPr>
          </w:p>
        </w:tc>
      </w:tr>
      <w:tr w14:paraId="2ACA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10EC49F9">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（二）提升高度在150m及以上的附着式升降脚手架工程或附着式升降操作平台工程。</w:t>
            </w:r>
          </w:p>
        </w:tc>
        <w:tc>
          <w:tcPr>
            <w:tcW w:w="1264" w:type="dxa"/>
            <w:noWrap w:val="0"/>
            <w:vAlign w:val="center"/>
          </w:tcPr>
          <w:p w14:paraId="65E89DA2">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4966FFEE">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7CD200D8">
            <w:pPr>
              <w:spacing w:line="276" w:lineRule="auto"/>
              <w:jc w:val="center"/>
              <w:rPr>
                <w:rFonts w:ascii="Times New Roman" w:hAnsi="Times New Roman"/>
                <w:color w:val="auto"/>
                <w:szCs w:val="21"/>
                <w:highlight w:val="none"/>
              </w:rPr>
            </w:pPr>
          </w:p>
        </w:tc>
      </w:tr>
      <w:tr w14:paraId="3467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5A0858EF">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（三）分段架体搭设高度20m及以上的悬挑式脚手架工程。</w:t>
            </w:r>
          </w:p>
        </w:tc>
        <w:tc>
          <w:tcPr>
            <w:tcW w:w="1264" w:type="dxa"/>
            <w:noWrap w:val="0"/>
            <w:vAlign w:val="center"/>
          </w:tcPr>
          <w:p w14:paraId="14010C05">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6AF9277E">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4271D943">
            <w:pPr>
              <w:spacing w:line="276" w:lineRule="auto"/>
              <w:jc w:val="center"/>
              <w:rPr>
                <w:rFonts w:ascii="Times New Roman" w:hAnsi="Times New Roman"/>
                <w:color w:val="auto"/>
                <w:szCs w:val="21"/>
                <w:highlight w:val="none"/>
              </w:rPr>
            </w:pPr>
          </w:p>
        </w:tc>
      </w:tr>
      <w:tr w14:paraId="5D1A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3" w:type="dxa"/>
            <w:noWrap w:val="0"/>
            <w:vAlign w:val="center"/>
          </w:tcPr>
          <w:p w14:paraId="7782D9C5">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五、拆除工程</w:t>
            </w:r>
          </w:p>
        </w:tc>
        <w:tc>
          <w:tcPr>
            <w:tcW w:w="1264" w:type="dxa"/>
            <w:noWrap w:val="0"/>
            <w:vAlign w:val="center"/>
          </w:tcPr>
          <w:p w14:paraId="73345AD7">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758AB616">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1EDC9454">
            <w:pPr>
              <w:spacing w:line="276" w:lineRule="auto"/>
              <w:jc w:val="left"/>
              <w:rPr>
                <w:rFonts w:ascii="Times New Roman" w:hAnsi="Times New Roman"/>
                <w:color w:val="auto"/>
                <w:szCs w:val="21"/>
                <w:highlight w:val="none"/>
              </w:rPr>
            </w:pPr>
          </w:p>
        </w:tc>
      </w:tr>
      <w:tr w14:paraId="402FC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5C3F805A">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（一）码头、桥梁、高架、烟囱、水塔或拆除中容易引起有毒有害气（液）体或粉尘扩散、易燃易爆事故发生的特殊建、构筑物的拆除工程。</w:t>
            </w:r>
          </w:p>
        </w:tc>
        <w:tc>
          <w:tcPr>
            <w:tcW w:w="1264" w:type="dxa"/>
            <w:noWrap w:val="0"/>
            <w:vAlign w:val="center"/>
          </w:tcPr>
          <w:p w14:paraId="4420AC43">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5887BD53">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703D69AD">
            <w:pPr>
              <w:spacing w:line="276" w:lineRule="auto"/>
              <w:jc w:val="center"/>
              <w:rPr>
                <w:rFonts w:ascii="Times New Roman" w:hAnsi="Times New Roman"/>
                <w:color w:val="auto"/>
                <w:szCs w:val="21"/>
                <w:highlight w:val="none"/>
              </w:rPr>
            </w:pPr>
          </w:p>
        </w:tc>
      </w:tr>
      <w:tr w14:paraId="6AFF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0FE818AC">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（二）文物保护建筑、优秀历史建筑或历史文化风貌区影响范围内的拆除工程。</w:t>
            </w:r>
          </w:p>
        </w:tc>
        <w:tc>
          <w:tcPr>
            <w:tcW w:w="1264" w:type="dxa"/>
            <w:noWrap w:val="0"/>
            <w:vAlign w:val="center"/>
          </w:tcPr>
          <w:p w14:paraId="63DD3F4D">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54D9182F">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0D9F60B4">
            <w:pPr>
              <w:spacing w:line="276" w:lineRule="auto"/>
              <w:jc w:val="center"/>
              <w:rPr>
                <w:rFonts w:ascii="Times New Roman" w:hAnsi="Times New Roman"/>
                <w:color w:val="auto"/>
                <w:szCs w:val="21"/>
                <w:highlight w:val="none"/>
              </w:rPr>
            </w:pPr>
          </w:p>
        </w:tc>
      </w:tr>
      <w:tr w14:paraId="54AC0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3" w:type="dxa"/>
            <w:noWrap w:val="0"/>
            <w:vAlign w:val="center"/>
          </w:tcPr>
          <w:p w14:paraId="2D6F8C04">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六、暗挖工程</w:t>
            </w:r>
          </w:p>
        </w:tc>
        <w:tc>
          <w:tcPr>
            <w:tcW w:w="1264" w:type="dxa"/>
            <w:noWrap w:val="0"/>
            <w:vAlign w:val="center"/>
          </w:tcPr>
          <w:p w14:paraId="3B9E0A3B">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31D2BEAE">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4E481DB4">
            <w:pPr>
              <w:spacing w:line="276" w:lineRule="auto"/>
              <w:jc w:val="left"/>
              <w:rPr>
                <w:rFonts w:ascii="Times New Roman" w:hAnsi="Times New Roman"/>
                <w:color w:val="auto"/>
                <w:szCs w:val="21"/>
                <w:highlight w:val="none"/>
              </w:rPr>
            </w:pPr>
          </w:p>
        </w:tc>
      </w:tr>
      <w:tr w14:paraId="23D7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3" w:type="dxa"/>
            <w:noWrap w:val="0"/>
            <w:vAlign w:val="center"/>
          </w:tcPr>
          <w:p w14:paraId="13E054D9">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采用矿山法、盾构法、顶管法施工的隧道、洞室工程。</w:t>
            </w:r>
          </w:p>
        </w:tc>
        <w:tc>
          <w:tcPr>
            <w:tcW w:w="1264" w:type="dxa"/>
            <w:noWrap w:val="0"/>
            <w:vAlign w:val="center"/>
          </w:tcPr>
          <w:p w14:paraId="42BB2249">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76EA9632">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274F3ED9">
            <w:pPr>
              <w:spacing w:line="276" w:lineRule="auto"/>
              <w:jc w:val="left"/>
              <w:rPr>
                <w:rFonts w:ascii="Times New Roman" w:hAnsi="Times New Roman"/>
                <w:color w:val="auto"/>
                <w:szCs w:val="21"/>
                <w:highlight w:val="none"/>
              </w:rPr>
            </w:pPr>
          </w:p>
        </w:tc>
      </w:tr>
      <w:tr w14:paraId="4AEE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3" w:type="dxa"/>
            <w:noWrap w:val="0"/>
            <w:vAlign w:val="center"/>
          </w:tcPr>
          <w:p w14:paraId="3C54DDE4">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七、其它</w:t>
            </w:r>
          </w:p>
        </w:tc>
        <w:tc>
          <w:tcPr>
            <w:tcW w:w="1264" w:type="dxa"/>
            <w:noWrap w:val="0"/>
            <w:vAlign w:val="center"/>
          </w:tcPr>
          <w:p w14:paraId="11C948E4">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30CCD030">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44A28499">
            <w:pPr>
              <w:spacing w:line="276" w:lineRule="auto"/>
              <w:jc w:val="left"/>
              <w:rPr>
                <w:rFonts w:ascii="Times New Roman" w:hAnsi="Times New Roman"/>
                <w:color w:val="auto"/>
                <w:szCs w:val="21"/>
                <w:highlight w:val="none"/>
              </w:rPr>
            </w:pPr>
          </w:p>
        </w:tc>
      </w:tr>
      <w:tr w14:paraId="7F19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3" w:type="dxa"/>
            <w:noWrap w:val="0"/>
            <w:vAlign w:val="center"/>
          </w:tcPr>
          <w:p w14:paraId="356EC234">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（一）施工高度50m及以上的建筑幕墙安装工程。</w:t>
            </w:r>
          </w:p>
        </w:tc>
        <w:tc>
          <w:tcPr>
            <w:tcW w:w="1264" w:type="dxa"/>
            <w:noWrap w:val="0"/>
            <w:vAlign w:val="center"/>
          </w:tcPr>
          <w:p w14:paraId="34317554">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xml:space="preserve">( </w:t>
            </w:r>
            <w:r>
              <w:rPr>
                <w:rFonts w:hint="eastAsia" w:ascii="Times New Roman" w:hAnsi="Times New Roman"/>
                <w:color w:val="auto"/>
                <w:szCs w:val="21"/>
                <w:highlight w:val="none"/>
                <w:lang w:val="en-US" w:eastAsia="zh-CN"/>
              </w:rPr>
              <w:t xml:space="preserve"> </w:t>
            </w:r>
            <w:r>
              <w:rPr>
                <w:rFonts w:hint="eastAsia" w:ascii="Times New Roman" w:hAnsi="Times New Roman"/>
                <w:color w:val="auto"/>
                <w:szCs w:val="21"/>
                <w:highlight w:val="none"/>
              </w:rPr>
              <w:t xml:space="preserve"> )</w:t>
            </w:r>
          </w:p>
        </w:tc>
        <w:tc>
          <w:tcPr>
            <w:tcW w:w="1361" w:type="dxa"/>
            <w:noWrap w:val="0"/>
            <w:vAlign w:val="center"/>
          </w:tcPr>
          <w:p w14:paraId="3871CB9D">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297489D4">
            <w:pPr>
              <w:spacing w:line="276" w:lineRule="auto"/>
              <w:jc w:val="left"/>
              <w:rPr>
                <w:rFonts w:ascii="Times New Roman" w:hAnsi="Times New Roman"/>
                <w:color w:val="auto"/>
                <w:szCs w:val="21"/>
                <w:highlight w:val="none"/>
              </w:rPr>
            </w:pPr>
          </w:p>
        </w:tc>
      </w:tr>
      <w:tr w14:paraId="4D0C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05CC761B">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（二）跨度36m及以上的钢结构安装工程，或跨度60m及以上的网架和索膜结构安装工程。</w:t>
            </w:r>
          </w:p>
        </w:tc>
        <w:tc>
          <w:tcPr>
            <w:tcW w:w="1264" w:type="dxa"/>
            <w:noWrap w:val="0"/>
            <w:vAlign w:val="center"/>
          </w:tcPr>
          <w:p w14:paraId="0A031210">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7D2242B5">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08516472">
            <w:pPr>
              <w:spacing w:line="276" w:lineRule="auto"/>
              <w:jc w:val="center"/>
              <w:rPr>
                <w:rFonts w:ascii="Times New Roman" w:hAnsi="Times New Roman"/>
                <w:color w:val="auto"/>
                <w:szCs w:val="21"/>
                <w:highlight w:val="none"/>
              </w:rPr>
            </w:pPr>
          </w:p>
        </w:tc>
      </w:tr>
      <w:tr w14:paraId="540D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6D26D8A8">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（三）开挖深度16m及以上的人工挖孔桩工程。</w:t>
            </w:r>
          </w:p>
        </w:tc>
        <w:tc>
          <w:tcPr>
            <w:tcW w:w="1264" w:type="dxa"/>
            <w:noWrap w:val="0"/>
            <w:vAlign w:val="center"/>
          </w:tcPr>
          <w:p w14:paraId="744D9CDD">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6058515E">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5039F7F1">
            <w:pPr>
              <w:spacing w:line="276" w:lineRule="auto"/>
              <w:jc w:val="center"/>
              <w:rPr>
                <w:rFonts w:ascii="Times New Roman" w:hAnsi="Times New Roman"/>
                <w:color w:val="auto"/>
                <w:szCs w:val="21"/>
                <w:highlight w:val="none"/>
              </w:rPr>
            </w:pPr>
          </w:p>
        </w:tc>
      </w:tr>
      <w:tr w14:paraId="7580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7B739BF9">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（四）水下作业工程。</w:t>
            </w:r>
          </w:p>
        </w:tc>
        <w:tc>
          <w:tcPr>
            <w:tcW w:w="1264" w:type="dxa"/>
            <w:noWrap w:val="0"/>
            <w:vAlign w:val="center"/>
          </w:tcPr>
          <w:p w14:paraId="3FCE99C2">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13DD20DD">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37BCDF91">
            <w:pPr>
              <w:spacing w:line="276" w:lineRule="auto"/>
              <w:jc w:val="center"/>
              <w:rPr>
                <w:rFonts w:ascii="Times New Roman" w:hAnsi="Times New Roman"/>
                <w:color w:val="auto"/>
                <w:szCs w:val="21"/>
                <w:highlight w:val="none"/>
              </w:rPr>
            </w:pPr>
          </w:p>
        </w:tc>
      </w:tr>
      <w:tr w14:paraId="693D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7BDC68F0">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（五）重量1000kN及以上的大型结构整体顶升、平移、转体等施工工艺。</w:t>
            </w:r>
          </w:p>
        </w:tc>
        <w:tc>
          <w:tcPr>
            <w:tcW w:w="1264" w:type="dxa"/>
            <w:noWrap w:val="0"/>
            <w:vAlign w:val="center"/>
          </w:tcPr>
          <w:p w14:paraId="40D2C979">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33666030">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6777A52F">
            <w:pPr>
              <w:spacing w:line="276" w:lineRule="auto"/>
              <w:jc w:val="center"/>
              <w:rPr>
                <w:rFonts w:ascii="Times New Roman" w:hAnsi="Times New Roman"/>
                <w:color w:val="auto"/>
                <w:szCs w:val="21"/>
                <w:highlight w:val="none"/>
              </w:rPr>
            </w:pPr>
          </w:p>
        </w:tc>
      </w:tr>
      <w:tr w14:paraId="360F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3" w:type="dxa"/>
            <w:noWrap w:val="0"/>
            <w:vAlign w:val="top"/>
          </w:tcPr>
          <w:p w14:paraId="0890FA26">
            <w:pPr>
              <w:spacing w:line="276" w:lineRule="auto"/>
              <w:jc w:val="left"/>
              <w:rPr>
                <w:rFonts w:ascii="Times New Roman" w:hAnsi="Times New Roman"/>
                <w:color w:val="auto"/>
                <w:szCs w:val="21"/>
                <w:highlight w:val="none"/>
              </w:rPr>
            </w:pPr>
            <w:r>
              <w:rPr>
                <w:rFonts w:hint="eastAsia" w:ascii="Times New Roman" w:hAnsi="Times New Roman"/>
                <w:color w:val="auto"/>
                <w:szCs w:val="21"/>
                <w:highlight w:val="none"/>
              </w:rPr>
              <w:t>（六）采用新技术、新工艺、新材料、新设备可能影响工程施工安全，尚无国家、行业及地方技术标准的分部分项工程。</w:t>
            </w:r>
          </w:p>
        </w:tc>
        <w:tc>
          <w:tcPr>
            <w:tcW w:w="1264" w:type="dxa"/>
            <w:noWrap w:val="0"/>
            <w:vAlign w:val="center"/>
          </w:tcPr>
          <w:p w14:paraId="06058709">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361" w:type="dxa"/>
            <w:noWrap w:val="0"/>
            <w:vAlign w:val="center"/>
          </w:tcPr>
          <w:p w14:paraId="6DFFFFE3">
            <w:pPr>
              <w:spacing w:line="276" w:lineRule="auto"/>
              <w:jc w:val="center"/>
              <w:rPr>
                <w:rFonts w:ascii="Times New Roman" w:hAnsi="Times New Roman"/>
                <w:color w:val="auto"/>
                <w:szCs w:val="21"/>
                <w:highlight w:val="none"/>
              </w:rPr>
            </w:pPr>
            <w:r>
              <w:rPr>
                <w:rFonts w:hint="eastAsia" w:ascii="Times New Roman" w:hAnsi="Times New Roman"/>
                <w:color w:val="auto"/>
                <w:szCs w:val="21"/>
                <w:highlight w:val="none"/>
              </w:rPr>
              <w:t>(    )</w:t>
            </w:r>
          </w:p>
        </w:tc>
        <w:tc>
          <w:tcPr>
            <w:tcW w:w="1063" w:type="dxa"/>
            <w:noWrap w:val="0"/>
            <w:vAlign w:val="center"/>
          </w:tcPr>
          <w:p w14:paraId="6E193FBA">
            <w:pPr>
              <w:spacing w:line="276" w:lineRule="auto"/>
              <w:jc w:val="center"/>
              <w:rPr>
                <w:rFonts w:ascii="Times New Roman" w:hAnsi="Times New Roman"/>
                <w:color w:val="auto"/>
                <w:szCs w:val="21"/>
                <w:highlight w:val="none"/>
              </w:rPr>
            </w:pPr>
          </w:p>
        </w:tc>
      </w:tr>
    </w:tbl>
    <w:p w14:paraId="4E9E5071">
      <w:pPr>
        <w:autoSpaceDE w:val="0"/>
        <w:autoSpaceDN w:val="0"/>
        <w:adjustRightInd w:val="0"/>
        <w:spacing w:line="360" w:lineRule="auto"/>
        <w:jc w:val="left"/>
        <w:rPr>
          <w:color w:val="auto"/>
          <w:sz w:val="24"/>
          <w:szCs w:val="28"/>
          <w:highlight w:val="none"/>
        </w:rPr>
      </w:pPr>
    </w:p>
    <w:p w14:paraId="56C0B3BA">
      <w:pPr>
        <w:topLinePunct/>
        <w:adjustRightInd w:val="0"/>
        <w:snapToGrid w:val="0"/>
        <w:spacing w:line="360" w:lineRule="auto"/>
        <w:ind w:firstLine="496" w:firstLineChars="200"/>
        <w:rPr>
          <w:color w:val="auto"/>
          <w:spacing w:val="4"/>
          <w:kern w:val="0"/>
          <w:sz w:val="24"/>
          <w:szCs w:val="24"/>
          <w:highlight w:val="none"/>
        </w:rPr>
      </w:pPr>
    </w:p>
    <w:p w14:paraId="30BEAF5A">
      <w:pPr>
        <w:topLinePunct/>
        <w:adjustRightInd w:val="0"/>
        <w:snapToGrid w:val="0"/>
        <w:spacing w:line="360" w:lineRule="auto"/>
        <w:ind w:firstLine="691" w:firstLineChars="279"/>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投 标 人：</w:t>
      </w:r>
    </w:p>
    <w:p w14:paraId="29AEF1EF">
      <w:pPr>
        <w:autoSpaceDE w:val="0"/>
        <w:autoSpaceDN w:val="0"/>
        <w:adjustRightInd w:val="0"/>
        <w:spacing w:line="360" w:lineRule="auto"/>
        <w:ind w:firstLine="691" w:firstLineChars="279"/>
        <w:rPr>
          <w:rFonts w:cs="宋体"/>
          <w:bCs/>
          <w:color w:val="auto"/>
          <w:sz w:val="24"/>
          <w:szCs w:val="24"/>
          <w:highlight w:val="none"/>
        </w:rPr>
      </w:pPr>
      <w:r>
        <w:rPr>
          <w:rFonts w:hint="eastAsia" w:cs="宋体"/>
          <w:snapToGrid w:val="0"/>
          <w:color w:val="auto"/>
          <w:spacing w:val="4"/>
          <w:kern w:val="0"/>
          <w:sz w:val="24"/>
          <w:szCs w:val="24"/>
          <w:highlight w:val="none"/>
        </w:rPr>
        <w:t>日    期：    年    月    日</w:t>
      </w:r>
    </w:p>
    <w:p w14:paraId="20816DF9">
      <w:pPr>
        <w:rPr>
          <w:color w:val="auto"/>
          <w:highlight w:val="none"/>
        </w:rPr>
      </w:pPr>
    </w:p>
    <w:p w14:paraId="1119F695">
      <w:pPr>
        <w:ind w:right="-130" w:rightChars="-62"/>
        <w:rPr>
          <w:color w:val="auto"/>
          <w:highlight w:val="none"/>
        </w:rPr>
      </w:pPr>
    </w:p>
    <w:p w14:paraId="4AB3F114">
      <w:pPr>
        <w:widowControl/>
        <w:jc w:val="left"/>
        <w:rPr>
          <w:color w:val="auto"/>
          <w:highlight w:val="none"/>
        </w:rPr>
      </w:pPr>
      <w:r>
        <w:rPr>
          <w:color w:val="auto"/>
          <w:highlight w:val="none"/>
        </w:rPr>
        <w:br w:type="page"/>
      </w:r>
    </w:p>
    <w:p w14:paraId="17B624AB">
      <w:pPr>
        <w:pStyle w:val="5"/>
        <w:rPr>
          <w:color w:val="auto"/>
          <w:highlight w:val="none"/>
        </w:rPr>
      </w:pPr>
      <w:bookmarkStart w:id="44" w:name="_Toc2689"/>
      <w:bookmarkStart w:id="45" w:name="_Toc58838603"/>
      <w:bookmarkStart w:id="46" w:name="_Toc60070631"/>
      <w:bookmarkStart w:id="47" w:name="_Toc61541795"/>
      <w:r>
        <w:rPr>
          <w:rFonts w:hint="eastAsia"/>
          <w:color w:val="auto"/>
          <w:highlight w:val="none"/>
        </w:rPr>
        <w:t>格式</w:t>
      </w:r>
      <w:r>
        <w:rPr>
          <w:rFonts w:hint="eastAsia"/>
          <w:color w:val="auto"/>
          <w:highlight w:val="none"/>
          <w:lang w:val="en-US" w:eastAsia="zh-CN"/>
        </w:rPr>
        <w:t>七</w:t>
      </w:r>
      <w:r>
        <w:rPr>
          <w:rFonts w:hint="eastAsia"/>
          <w:color w:val="auto"/>
          <w:highlight w:val="none"/>
        </w:rPr>
        <w:t>：</w:t>
      </w:r>
      <w:bookmarkEnd w:id="44"/>
      <w:bookmarkEnd w:id="45"/>
      <w:bookmarkEnd w:id="46"/>
      <w:bookmarkEnd w:id="47"/>
    </w:p>
    <w:p w14:paraId="37DFD4CF">
      <w:pPr>
        <w:jc w:val="center"/>
        <w:rPr>
          <w:b/>
          <w:color w:val="auto"/>
          <w:sz w:val="36"/>
          <w:szCs w:val="36"/>
          <w:highlight w:val="none"/>
        </w:rPr>
      </w:pPr>
      <w:r>
        <w:rPr>
          <w:rFonts w:hint="eastAsia"/>
          <w:b/>
          <w:color w:val="auto"/>
          <w:sz w:val="36"/>
          <w:szCs w:val="36"/>
          <w:highlight w:val="none"/>
        </w:rPr>
        <w:t>参与编制技术标投标文件人员名单</w:t>
      </w:r>
    </w:p>
    <w:tbl>
      <w:tblPr>
        <w:tblStyle w:val="27"/>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14:paraId="0E2B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vAlign w:val="center"/>
          </w:tcPr>
          <w:p w14:paraId="2445426D">
            <w:pPr>
              <w:tabs>
                <w:tab w:val="left" w:pos="720"/>
              </w:tabs>
              <w:snapToGrid w:val="0"/>
              <w:jc w:val="center"/>
              <w:rPr>
                <w:rFonts w:cs="宋体"/>
                <w:color w:val="auto"/>
                <w:szCs w:val="21"/>
                <w:highlight w:val="none"/>
              </w:rPr>
            </w:pPr>
            <w:r>
              <w:rPr>
                <w:rFonts w:hint="eastAsia" w:cs="宋体"/>
                <w:color w:val="auto"/>
                <w:szCs w:val="21"/>
                <w:highlight w:val="none"/>
              </w:rPr>
              <w:t>投标单位名称</w:t>
            </w:r>
          </w:p>
        </w:tc>
      </w:tr>
      <w:tr w14:paraId="5F56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vAlign w:val="center"/>
          </w:tcPr>
          <w:p w14:paraId="0246D11D">
            <w:pPr>
              <w:tabs>
                <w:tab w:val="left" w:pos="720"/>
              </w:tabs>
              <w:snapToGrid w:val="0"/>
              <w:jc w:val="center"/>
              <w:rPr>
                <w:rFonts w:cs="宋体"/>
                <w:color w:val="auto"/>
                <w:szCs w:val="21"/>
                <w:highlight w:val="none"/>
              </w:rPr>
            </w:pPr>
            <w:r>
              <w:rPr>
                <w:rFonts w:hint="eastAsia" w:cs="宋体"/>
                <w:color w:val="auto"/>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vAlign w:val="center"/>
          </w:tcPr>
          <w:p w14:paraId="6F055F24">
            <w:pPr>
              <w:tabs>
                <w:tab w:val="left" w:pos="720"/>
              </w:tabs>
              <w:snapToGrid w:val="0"/>
              <w:jc w:val="center"/>
              <w:rPr>
                <w:rFonts w:cs="宋体"/>
                <w:color w:val="auto"/>
                <w:szCs w:val="21"/>
                <w:highlight w:val="none"/>
              </w:rPr>
            </w:pPr>
            <w:r>
              <w:rPr>
                <w:rFonts w:hint="eastAsia" w:cs="宋体"/>
                <w:color w:val="auto"/>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vAlign w:val="center"/>
          </w:tcPr>
          <w:p w14:paraId="0CF11561">
            <w:pPr>
              <w:tabs>
                <w:tab w:val="left" w:pos="720"/>
              </w:tabs>
              <w:snapToGrid w:val="0"/>
              <w:jc w:val="center"/>
              <w:rPr>
                <w:rFonts w:cs="宋体"/>
                <w:color w:val="auto"/>
                <w:szCs w:val="21"/>
                <w:highlight w:val="none"/>
              </w:rPr>
            </w:pPr>
            <w:r>
              <w:rPr>
                <w:rFonts w:hint="eastAsia" w:cs="宋体"/>
                <w:color w:val="auto"/>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vAlign w:val="center"/>
          </w:tcPr>
          <w:p w14:paraId="7239ABCC">
            <w:pPr>
              <w:tabs>
                <w:tab w:val="left" w:pos="720"/>
              </w:tabs>
              <w:snapToGrid w:val="0"/>
              <w:jc w:val="center"/>
              <w:rPr>
                <w:rFonts w:cs="宋体"/>
                <w:color w:val="auto"/>
                <w:szCs w:val="21"/>
                <w:highlight w:val="none"/>
              </w:rPr>
            </w:pPr>
            <w:r>
              <w:rPr>
                <w:rFonts w:hint="eastAsia" w:cs="宋体"/>
                <w:color w:val="auto"/>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vAlign w:val="center"/>
          </w:tcPr>
          <w:p w14:paraId="7966F754">
            <w:pPr>
              <w:tabs>
                <w:tab w:val="left" w:pos="720"/>
              </w:tabs>
              <w:snapToGrid w:val="0"/>
              <w:jc w:val="center"/>
              <w:rPr>
                <w:rFonts w:cs="宋体"/>
                <w:color w:val="auto"/>
                <w:szCs w:val="21"/>
                <w:highlight w:val="none"/>
              </w:rPr>
            </w:pPr>
            <w:r>
              <w:rPr>
                <w:rFonts w:hint="eastAsia" w:cs="宋体"/>
                <w:color w:val="auto"/>
                <w:szCs w:val="21"/>
                <w:highlight w:val="none"/>
              </w:rPr>
              <w:t>本人签名栏</w:t>
            </w:r>
          </w:p>
        </w:tc>
      </w:tr>
      <w:tr w14:paraId="0A67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vAlign w:val="center"/>
          </w:tcPr>
          <w:p w14:paraId="1F1BF417">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602A2480">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616F4B83">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14:paraId="091F2C9B">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14:paraId="289BE99D">
            <w:pPr>
              <w:tabs>
                <w:tab w:val="left" w:pos="720"/>
              </w:tabs>
              <w:snapToGrid w:val="0"/>
              <w:jc w:val="center"/>
              <w:rPr>
                <w:rFonts w:cs="宋体"/>
                <w:color w:val="auto"/>
                <w:szCs w:val="21"/>
                <w:highlight w:val="none"/>
              </w:rPr>
            </w:pPr>
          </w:p>
        </w:tc>
      </w:tr>
      <w:tr w14:paraId="3CB9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14:paraId="3BFB8F0E">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70382D45">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40F3D089">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14:paraId="5FBA0B82">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14:paraId="05C7E9F6">
            <w:pPr>
              <w:tabs>
                <w:tab w:val="left" w:pos="720"/>
              </w:tabs>
              <w:snapToGrid w:val="0"/>
              <w:jc w:val="center"/>
              <w:rPr>
                <w:rFonts w:cs="宋体"/>
                <w:color w:val="auto"/>
                <w:szCs w:val="21"/>
                <w:highlight w:val="none"/>
              </w:rPr>
            </w:pPr>
          </w:p>
        </w:tc>
      </w:tr>
      <w:tr w14:paraId="0A99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14:paraId="778FD8F6">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0F0C9932">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41A9D425">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14:paraId="51BBAC8C">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14:paraId="438B2C3E">
            <w:pPr>
              <w:tabs>
                <w:tab w:val="left" w:pos="720"/>
              </w:tabs>
              <w:snapToGrid w:val="0"/>
              <w:jc w:val="center"/>
              <w:rPr>
                <w:rFonts w:cs="宋体"/>
                <w:color w:val="auto"/>
                <w:szCs w:val="21"/>
                <w:highlight w:val="none"/>
              </w:rPr>
            </w:pPr>
          </w:p>
        </w:tc>
      </w:tr>
      <w:tr w14:paraId="6685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14:paraId="0C668925">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027CC32E">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069D185F">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14:paraId="558766C0">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14:paraId="7E6207BD">
            <w:pPr>
              <w:tabs>
                <w:tab w:val="left" w:pos="720"/>
              </w:tabs>
              <w:snapToGrid w:val="0"/>
              <w:jc w:val="center"/>
              <w:rPr>
                <w:rFonts w:cs="宋体"/>
                <w:color w:val="auto"/>
                <w:szCs w:val="21"/>
                <w:highlight w:val="none"/>
              </w:rPr>
            </w:pPr>
          </w:p>
        </w:tc>
      </w:tr>
      <w:tr w14:paraId="28CF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14:paraId="0299E50F">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0D74C9FC">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24BC5FDC">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14:paraId="2DA869BD">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14:paraId="4A6206D6">
            <w:pPr>
              <w:tabs>
                <w:tab w:val="left" w:pos="720"/>
              </w:tabs>
              <w:snapToGrid w:val="0"/>
              <w:jc w:val="center"/>
              <w:rPr>
                <w:rFonts w:cs="宋体"/>
                <w:color w:val="auto"/>
                <w:szCs w:val="21"/>
                <w:highlight w:val="none"/>
              </w:rPr>
            </w:pPr>
          </w:p>
        </w:tc>
      </w:tr>
      <w:tr w14:paraId="768F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vAlign w:val="center"/>
          </w:tcPr>
          <w:p w14:paraId="2E39406B">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687A809A">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203D726F">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14:paraId="364E4227">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14:paraId="069BD65F">
            <w:pPr>
              <w:tabs>
                <w:tab w:val="left" w:pos="720"/>
              </w:tabs>
              <w:snapToGrid w:val="0"/>
              <w:jc w:val="center"/>
              <w:rPr>
                <w:rFonts w:cs="宋体"/>
                <w:color w:val="auto"/>
                <w:szCs w:val="21"/>
                <w:highlight w:val="none"/>
              </w:rPr>
            </w:pPr>
          </w:p>
        </w:tc>
      </w:tr>
      <w:tr w14:paraId="1A6D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vAlign w:val="center"/>
          </w:tcPr>
          <w:p w14:paraId="5245043E">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7A543A81">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1AC96DD0">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14:paraId="72737DC2">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14:paraId="73002AB8">
            <w:pPr>
              <w:tabs>
                <w:tab w:val="left" w:pos="720"/>
              </w:tabs>
              <w:snapToGrid w:val="0"/>
              <w:jc w:val="center"/>
              <w:rPr>
                <w:rFonts w:cs="宋体"/>
                <w:color w:val="auto"/>
                <w:szCs w:val="21"/>
                <w:highlight w:val="none"/>
              </w:rPr>
            </w:pPr>
          </w:p>
        </w:tc>
      </w:tr>
      <w:tr w14:paraId="18DB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vAlign w:val="center"/>
          </w:tcPr>
          <w:p w14:paraId="5A12F590">
            <w:pPr>
              <w:tabs>
                <w:tab w:val="left" w:pos="720"/>
              </w:tabs>
              <w:snapToGrid w:val="0"/>
              <w:jc w:val="center"/>
              <w:rPr>
                <w:rFonts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1BB34FD8">
            <w:pPr>
              <w:tabs>
                <w:tab w:val="left" w:pos="720"/>
              </w:tabs>
              <w:snapToGrid w:val="0"/>
              <w:jc w:val="center"/>
              <w:rPr>
                <w:rFonts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vAlign w:val="center"/>
          </w:tcPr>
          <w:p w14:paraId="182F7DBF">
            <w:pPr>
              <w:tabs>
                <w:tab w:val="left" w:pos="720"/>
              </w:tabs>
              <w:snapToGrid w:val="0"/>
              <w:jc w:val="center"/>
              <w:rPr>
                <w:rFonts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vAlign w:val="center"/>
          </w:tcPr>
          <w:p w14:paraId="03B0BFB8">
            <w:pPr>
              <w:tabs>
                <w:tab w:val="left" w:pos="720"/>
              </w:tabs>
              <w:snapToGrid w:val="0"/>
              <w:jc w:val="center"/>
              <w:rPr>
                <w:rFonts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vAlign w:val="center"/>
          </w:tcPr>
          <w:p w14:paraId="22633CE6">
            <w:pPr>
              <w:tabs>
                <w:tab w:val="left" w:pos="720"/>
              </w:tabs>
              <w:snapToGrid w:val="0"/>
              <w:jc w:val="center"/>
              <w:rPr>
                <w:rFonts w:cs="宋体"/>
                <w:color w:val="auto"/>
                <w:szCs w:val="21"/>
                <w:highlight w:val="none"/>
              </w:rPr>
            </w:pPr>
          </w:p>
        </w:tc>
      </w:tr>
    </w:tbl>
    <w:p w14:paraId="617064AF">
      <w:pPr>
        <w:autoSpaceDE w:val="0"/>
        <w:autoSpaceDN w:val="0"/>
        <w:adjustRightInd w:val="0"/>
        <w:spacing w:line="360" w:lineRule="auto"/>
        <w:rPr>
          <w:rFonts w:cs="宋体"/>
          <w:bCs/>
          <w:color w:val="auto"/>
          <w:sz w:val="24"/>
          <w:szCs w:val="24"/>
          <w:highlight w:val="none"/>
        </w:rPr>
      </w:pPr>
      <w:r>
        <w:rPr>
          <w:rFonts w:hint="eastAsia" w:cs="宋体"/>
          <w:color w:val="auto"/>
          <w:sz w:val="24"/>
          <w:szCs w:val="24"/>
          <w:highlight w:val="none"/>
        </w:rPr>
        <w:t>注：参与编制技术标书所有人员名单应包括如编制技术投标方案、负责清样校对、负责打印及复印等所有人员在内的人员名单。</w:t>
      </w:r>
    </w:p>
    <w:p w14:paraId="50DEC377">
      <w:pPr>
        <w:rPr>
          <w:color w:val="auto"/>
          <w:highlight w:val="none"/>
        </w:rPr>
      </w:pPr>
    </w:p>
    <w:p w14:paraId="2105A9F1">
      <w:pPr>
        <w:pStyle w:val="5"/>
        <w:rPr>
          <w:rFonts w:hint="default" w:eastAsia="宋体" w:cs="宋体"/>
          <w:b/>
          <w:bCs/>
          <w:color w:val="auto"/>
          <w:sz w:val="44"/>
          <w:szCs w:val="44"/>
          <w:highlight w:val="none"/>
          <w:lang w:val="en-US" w:eastAsia="zh-CN"/>
        </w:rPr>
      </w:pPr>
      <w:r>
        <w:rPr>
          <w:color w:val="auto"/>
          <w:highlight w:val="none"/>
        </w:rPr>
        <w:br w:type="page"/>
      </w:r>
      <w:bookmarkStart w:id="48" w:name="_Toc11862"/>
      <w:r>
        <w:rPr>
          <w:rFonts w:hint="eastAsia"/>
          <w:snapToGrid w:val="0"/>
          <w:color w:val="auto"/>
          <w:highlight w:val="none"/>
        </w:rPr>
        <w:t>格式</w:t>
      </w:r>
      <w:r>
        <w:rPr>
          <w:rFonts w:hint="eastAsia"/>
          <w:snapToGrid w:val="0"/>
          <w:color w:val="auto"/>
          <w:highlight w:val="none"/>
          <w:lang w:val="en-US" w:eastAsia="zh-CN"/>
        </w:rPr>
        <w:t>八</w:t>
      </w:r>
      <w:r>
        <w:rPr>
          <w:rFonts w:hint="eastAsia"/>
          <w:snapToGrid w:val="0"/>
          <w:color w:val="auto"/>
          <w:highlight w:val="none"/>
        </w:rPr>
        <w:t>：</w:t>
      </w:r>
      <w:r>
        <w:rPr>
          <w:rFonts w:hint="eastAsia"/>
          <w:snapToGrid w:val="0"/>
          <w:color w:val="auto"/>
          <w:highlight w:val="none"/>
          <w:lang w:val="en-US" w:eastAsia="zh-CN"/>
        </w:rPr>
        <w:t>施工组织设计或施工方案（格式自拟）</w:t>
      </w:r>
      <w:bookmarkEnd w:id="48"/>
    </w:p>
    <w:p w14:paraId="725DB57E">
      <w:pPr>
        <w:rPr>
          <w:color w:val="auto"/>
          <w:highlight w:val="none"/>
        </w:rPr>
      </w:pPr>
    </w:p>
    <w:p w14:paraId="1D87036E">
      <w:pPr>
        <w:pStyle w:val="26"/>
        <w:rPr>
          <w:color w:val="auto"/>
          <w:highlight w:val="none"/>
        </w:rPr>
      </w:pPr>
    </w:p>
    <w:p w14:paraId="74F5DCD3">
      <w:pPr>
        <w:rPr>
          <w:rFonts w:hint="eastAsia"/>
          <w:color w:val="auto"/>
          <w:highlight w:val="none"/>
        </w:rPr>
      </w:pPr>
      <w:bookmarkStart w:id="49" w:name="_Toc58838604"/>
      <w:bookmarkStart w:id="50" w:name="_Toc61541796"/>
      <w:r>
        <w:rPr>
          <w:rFonts w:hint="eastAsia"/>
          <w:color w:val="auto"/>
          <w:highlight w:val="none"/>
        </w:rPr>
        <w:br w:type="page"/>
      </w:r>
    </w:p>
    <w:p w14:paraId="29A90D8B">
      <w:pPr>
        <w:pStyle w:val="4"/>
        <w:rPr>
          <w:bCs/>
          <w:color w:val="auto"/>
          <w:highlight w:val="none"/>
        </w:rPr>
      </w:pPr>
      <w:bookmarkStart w:id="51" w:name="_Toc589"/>
      <w:r>
        <w:rPr>
          <w:rFonts w:hint="eastAsia"/>
          <w:color w:val="auto"/>
          <w:highlight w:val="none"/>
        </w:rPr>
        <w:t>二、经济标投标文件格式</w:t>
      </w:r>
      <w:bookmarkEnd w:id="49"/>
      <w:bookmarkEnd w:id="50"/>
      <w:bookmarkEnd w:id="51"/>
    </w:p>
    <w:p w14:paraId="5008BB65">
      <w:pPr>
        <w:topLinePunct/>
        <w:adjustRightInd w:val="0"/>
        <w:snapToGrid w:val="0"/>
        <w:jc w:val="center"/>
        <w:outlineLvl w:val="2"/>
        <w:rPr>
          <w:rFonts w:ascii="宋体" w:hAnsi="宋体" w:cs="宋体"/>
          <w:snapToGrid w:val="0"/>
          <w:color w:val="auto"/>
          <w:spacing w:val="4"/>
          <w:kern w:val="0"/>
          <w:sz w:val="24"/>
          <w:szCs w:val="24"/>
          <w:highlight w:val="none"/>
        </w:rPr>
      </w:pPr>
      <w:bookmarkStart w:id="52" w:name="_Toc58838605"/>
      <w:bookmarkStart w:id="53" w:name="_Toc6493862"/>
      <w:bookmarkStart w:id="54" w:name="_Toc60070633"/>
      <w:bookmarkStart w:id="55" w:name="_Toc61541797"/>
    </w:p>
    <w:p w14:paraId="3A8663FC">
      <w:pPr>
        <w:topLinePunct/>
        <w:adjustRightInd w:val="0"/>
        <w:snapToGrid w:val="0"/>
        <w:spacing w:line="360" w:lineRule="auto"/>
        <w:ind w:firstLine="496" w:firstLineChars="200"/>
        <w:jc w:val="left"/>
        <w:rPr>
          <w:rFonts w:ascii="宋体" w:hAnsi="宋体" w:cs="宋体"/>
          <w:color w:val="auto"/>
          <w:spacing w:val="4"/>
          <w:kern w:val="0"/>
          <w:sz w:val="24"/>
          <w:szCs w:val="24"/>
          <w:highlight w:val="none"/>
        </w:rPr>
      </w:pPr>
    </w:p>
    <w:p w14:paraId="5F76E7EB">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79B6DD56">
      <w:pPr>
        <w:topLinePunct/>
        <w:adjustRightInd w:val="0"/>
        <w:snapToGrid w:val="0"/>
        <w:spacing w:line="360" w:lineRule="auto"/>
        <w:jc w:val="center"/>
        <w:rPr>
          <w:rFonts w:ascii="宋体" w:hAnsi="宋体" w:cs="宋体"/>
          <w:snapToGrid w:val="0"/>
          <w:color w:val="auto"/>
          <w:spacing w:val="4"/>
          <w:kern w:val="0"/>
          <w:sz w:val="36"/>
          <w:szCs w:val="36"/>
          <w:highlight w:val="none"/>
          <w:u w:val="single"/>
        </w:rPr>
      </w:pPr>
      <w:r>
        <w:rPr>
          <w:rFonts w:hint="eastAsia" w:ascii="宋体" w:hAnsi="宋体" w:cs="宋体"/>
          <w:snapToGrid w:val="0"/>
          <w:color w:val="auto"/>
          <w:spacing w:val="4"/>
          <w:kern w:val="0"/>
          <w:sz w:val="36"/>
          <w:szCs w:val="36"/>
          <w:highlight w:val="none"/>
          <w:u w:val="single"/>
        </w:rPr>
        <w:t xml:space="preserve">[工程名称] </w:t>
      </w:r>
    </w:p>
    <w:p w14:paraId="6662FBA4">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3C8D4AE3">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06CA6A4B">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20306E17">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25FE7041">
      <w:pPr>
        <w:topLinePunct/>
        <w:adjustRightInd w:val="0"/>
        <w:snapToGrid w:val="0"/>
        <w:spacing w:line="360" w:lineRule="auto"/>
        <w:jc w:val="center"/>
        <w:rPr>
          <w:rFonts w:hint="eastAsia" w:ascii="宋体" w:hAnsi="宋体" w:cs="宋体"/>
          <w:snapToGrid w:val="0"/>
          <w:color w:val="auto"/>
          <w:spacing w:val="4"/>
          <w:kern w:val="0"/>
          <w:sz w:val="84"/>
          <w:szCs w:val="84"/>
          <w:highlight w:val="none"/>
        </w:rPr>
      </w:pPr>
      <w:r>
        <w:rPr>
          <w:rFonts w:hint="eastAsia" w:ascii="宋体" w:hAnsi="宋体" w:cs="宋体"/>
          <w:snapToGrid w:val="0"/>
          <w:color w:val="auto"/>
          <w:spacing w:val="4"/>
          <w:kern w:val="0"/>
          <w:sz w:val="84"/>
          <w:szCs w:val="84"/>
          <w:highlight w:val="none"/>
        </w:rPr>
        <w:t>投标文件</w:t>
      </w:r>
    </w:p>
    <w:p w14:paraId="06703886">
      <w:pPr>
        <w:topLinePunct/>
        <w:adjustRightInd w:val="0"/>
        <w:snapToGrid w:val="0"/>
        <w:spacing w:line="360" w:lineRule="auto"/>
        <w:jc w:val="center"/>
        <w:rPr>
          <w:rFonts w:hint="eastAsia" w:ascii="宋体" w:hAnsi="宋体" w:eastAsia="宋体" w:cs="宋体"/>
          <w:snapToGrid w:val="0"/>
          <w:color w:val="auto"/>
          <w:spacing w:val="4"/>
          <w:kern w:val="0"/>
          <w:sz w:val="36"/>
          <w:szCs w:val="36"/>
          <w:highlight w:val="none"/>
          <w:u w:val="single"/>
          <w:lang w:eastAsia="zh-CN"/>
        </w:rPr>
      </w:pPr>
      <w:r>
        <w:rPr>
          <w:rFonts w:hint="eastAsia" w:ascii="宋体" w:hAnsi="宋体" w:eastAsia="宋体" w:cs="宋体"/>
          <w:b w:val="0"/>
          <w:snapToGrid w:val="0"/>
          <w:color w:val="auto"/>
          <w:spacing w:val="4"/>
          <w:kern w:val="0"/>
          <w:sz w:val="36"/>
          <w:szCs w:val="36"/>
          <w:highlight w:val="none"/>
          <w:u w:val="single"/>
          <w:lang w:val="en-US" w:eastAsia="zh-CN"/>
        </w:rPr>
        <w:t>（经济标书）</w:t>
      </w:r>
    </w:p>
    <w:p w14:paraId="0B32682A">
      <w:pPr>
        <w:topLinePunct/>
        <w:adjustRightInd w:val="0"/>
        <w:snapToGrid w:val="0"/>
        <w:spacing w:line="360" w:lineRule="auto"/>
        <w:jc w:val="center"/>
        <w:rPr>
          <w:rFonts w:ascii="宋体" w:hAnsi="宋体" w:cs="宋体"/>
          <w:snapToGrid w:val="0"/>
          <w:color w:val="auto"/>
          <w:spacing w:val="4"/>
          <w:kern w:val="0"/>
          <w:sz w:val="36"/>
          <w:szCs w:val="36"/>
          <w:highlight w:val="none"/>
        </w:rPr>
      </w:pPr>
    </w:p>
    <w:p w14:paraId="7B3A80E0">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14BAFBA2">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6F50D0B4">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38185EC3">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482584EE">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08473EF0">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5185E57B">
      <w:pPr>
        <w:topLinePunct/>
        <w:adjustRightInd w:val="0"/>
        <w:snapToGrid w:val="0"/>
        <w:spacing w:line="360" w:lineRule="auto"/>
        <w:rPr>
          <w:rFonts w:ascii="宋体" w:hAnsi="宋体" w:cs="宋体"/>
          <w:color w:val="auto"/>
          <w:spacing w:val="4"/>
          <w:kern w:val="0"/>
          <w:sz w:val="24"/>
          <w:szCs w:val="24"/>
          <w:highlight w:val="none"/>
        </w:rPr>
      </w:pPr>
    </w:p>
    <w:p w14:paraId="01829410">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3ED3B7CB">
      <w:pPr>
        <w:topLinePunct/>
        <w:adjustRightInd w:val="0"/>
        <w:snapToGrid w:val="0"/>
        <w:spacing w:line="360" w:lineRule="auto"/>
        <w:ind w:firstLine="616" w:firstLineChars="200"/>
        <w:jc w:val="left"/>
        <w:rPr>
          <w:rFonts w:hint="default" w:ascii="宋体" w:hAnsi="宋体" w:eastAsia="宋体" w:cs="宋体"/>
          <w:snapToGrid w:val="0"/>
          <w:color w:val="auto"/>
          <w:spacing w:val="4"/>
          <w:kern w:val="0"/>
          <w:sz w:val="30"/>
          <w:szCs w:val="30"/>
          <w:highlight w:val="none"/>
          <w:lang w:val="en-US" w:eastAsia="zh-CN"/>
        </w:rPr>
      </w:pPr>
      <w:r>
        <w:rPr>
          <w:rFonts w:hint="eastAsia" w:ascii="宋体" w:hAnsi="宋体" w:cs="宋体"/>
          <w:snapToGrid w:val="0"/>
          <w:color w:val="auto"/>
          <w:spacing w:val="4"/>
          <w:kern w:val="0"/>
          <w:sz w:val="30"/>
          <w:szCs w:val="30"/>
          <w:highlight w:val="none"/>
        </w:rPr>
        <w:t>投标人：</w:t>
      </w:r>
      <w:r>
        <w:rPr>
          <w:rFonts w:hint="eastAsia" w:ascii="宋体" w:hAnsi="宋体" w:cs="宋体"/>
          <w:snapToGrid w:val="0"/>
          <w:color w:val="auto"/>
          <w:spacing w:val="4"/>
          <w:kern w:val="0"/>
          <w:sz w:val="30"/>
          <w:szCs w:val="30"/>
          <w:highlight w:val="none"/>
          <w:u w:val="single"/>
        </w:rPr>
        <w:t xml:space="preserve"> </w:t>
      </w:r>
      <w:r>
        <w:rPr>
          <w:rFonts w:hint="eastAsia" w:cs="宋体"/>
          <w:snapToGrid w:val="0"/>
          <w:color w:val="auto"/>
          <w:spacing w:val="4"/>
          <w:kern w:val="0"/>
          <w:sz w:val="30"/>
          <w:szCs w:val="30"/>
          <w:highlight w:val="none"/>
          <w:u w:val="single"/>
          <w:lang w:val="en-US" w:eastAsia="zh-CN"/>
        </w:rPr>
        <w:t xml:space="preserve">                                     </w:t>
      </w:r>
    </w:p>
    <w:p w14:paraId="22FB79D6">
      <w:pPr>
        <w:topLinePunct/>
        <w:adjustRightInd w:val="0"/>
        <w:snapToGrid w:val="0"/>
        <w:spacing w:line="360" w:lineRule="auto"/>
        <w:ind w:firstLine="616" w:firstLineChars="200"/>
        <w:jc w:val="left"/>
        <w:rPr>
          <w:rFonts w:ascii="宋体" w:hAnsi="宋体" w:cs="宋体"/>
          <w:snapToGrid w:val="0"/>
          <w:color w:val="auto"/>
          <w:spacing w:val="4"/>
          <w:kern w:val="0"/>
          <w:sz w:val="30"/>
          <w:szCs w:val="30"/>
          <w:highlight w:val="none"/>
        </w:rPr>
      </w:pPr>
      <w:r>
        <w:rPr>
          <w:rFonts w:hint="eastAsia" w:ascii="宋体" w:hAnsi="宋体" w:cs="宋体"/>
          <w:snapToGrid w:val="0"/>
          <w:color w:val="auto"/>
          <w:spacing w:val="4"/>
          <w:kern w:val="0"/>
          <w:sz w:val="30"/>
          <w:szCs w:val="30"/>
          <w:highlight w:val="none"/>
        </w:rPr>
        <w:t>日  期：</w:t>
      </w:r>
      <w:r>
        <w:rPr>
          <w:rFonts w:hint="eastAsia" w:ascii="宋体" w:hAnsi="宋体" w:cs="宋体"/>
          <w:snapToGrid w:val="0"/>
          <w:color w:val="auto"/>
          <w:spacing w:val="4"/>
          <w:kern w:val="0"/>
          <w:sz w:val="30"/>
          <w:szCs w:val="30"/>
          <w:highlight w:val="none"/>
          <w:u w:val="single"/>
        </w:rPr>
        <w:t xml:space="preserve">                                        </w:t>
      </w:r>
    </w:p>
    <w:p w14:paraId="27F1003D">
      <w:pPr>
        <w:pStyle w:val="5"/>
        <w:rPr>
          <w:rFonts w:hint="eastAsia"/>
          <w:snapToGrid w:val="0"/>
          <w:color w:val="auto"/>
          <w:highlight w:val="none"/>
        </w:rPr>
      </w:pPr>
    </w:p>
    <w:p w14:paraId="46C10625">
      <w:pPr>
        <w:rPr>
          <w:rFonts w:hint="eastAsia"/>
          <w:color w:val="auto"/>
          <w:highlight w:val="none"/>
        </w:rPr>
      </w:pPr>
    </w:p>
    <w:p w14:paraId="4748F555">
      <w:pPr>
        <w:pStyle w:val="5"/>
        <w:rPr>
          <w:rFonts w:cs="宋体"/>
          <w:b/>
          <w:bCs/>
          <w:color w:val="auto"/>
          <w:sz w:val="44"/>
          <w:szCs w:val="44"/>
          <w:highlight w:val="none"/>
          <w:lang w:val="zh-CN"/>
        </w:rPr>
      </w:pPr>
      <w:bookmarkStart w:id="56" w:name="_Toc6783"/>
      <w:r>
        <w:rPr>
          <w:rFonts w:hint="eastAsia"/>
          <w:snapToGrid w:val="0"/>
          <w:color w:val="auto"/>
          <w:highlight w:val="none"/>
        </w:rPr>
        <w:t>格式</w:t>
      </w:r>
      <w:bookmarkEnd w:id="52"/>
      <w:bookmarkEnd w:id="53"/>
      <w:r>
        <w:rPr>
          <w:rFonts w:hint="eastAsia"/>
          <w:snapToGrid w:val="0"/>
          <w:color w:val="auto"/>
          <w:highlight w:val="none"/>
          <w:lang w:val="en-US" w:eastAsia="zh-CN"/>
        </w:rPr>
        <w:t>九</w:t>
      </w:r>
      <w:r>
        <w:rPr>
          <w:rFonts w:hint="eastAsia"/>
          <w:snapToGrid w:val="0"/>
          <w:color w:val="auto"/>
          <w:highlight w:val="none"/>
        </w:rPr>
        <w:t>：</w:t>
      </w:r>
      <w:bookmarkEnd w:id="54"/>
      <w:bookmarkEnd w:id="55"/>
      <w:bookmarkEnd w:id="56"/>
    </w:p>
    <w:p w14:paraId="2F5E80E1">
      <w:pPr>
        <w:jc w:val="center"/>
        <w:rPr>
          <w:b/>
          <w:color w:val="auto"/>
          <w:sz w:val="36"/>
          <w:szCs w:val="36"/>
          <w:highlight w:val="none"/>
        </w:rPr>
      </w:pPr>
      <w:bookmarkStart w:id="57" w:name="_Toc58838606"/>
      <w:r>
        <w:rPr>
          <w:rFonts w:hint="eastAsia"/>
          <w:b/>
          <w:color w:val="auto"/>
          <w:sz w:val="36"/>
          <w:szCs w:val="36"/>
          <w:highlight w:val="none"/>
        </w:rPr>
        <w:t>广州建设工程施工招标投标书（经济标）</w:t>
      </w:r>
      <w:bookmarkEnd w:id="57"/>
    </w:p>
    <w:tbl>
      <w:tblPr>
        <w:tblStyle w:val="27"/>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6045"/>
      </w:tblGrid>
      <w:tr w14:paraId="7FC8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3334" w:type="dxa"/>
            <w:tcBorders>
              <w:top w:val="single" w:color="auto" w:sz="4" w:space="0"/>
              <w:left w:val="single" w:color="auto" w:sz="4" w:space="0"/>
              <w:bottom w:val="single" w:color="auto" w:sz="4" w:space="0"/>
              <w:right w:val="single" w:color="auto" w:sz="4" w:space="0"/>
            </w:tcBorders>
            <w:vAlign w:val="center"/>
          </w:tcPr>
          <w:p w14:paraId="76F036DC">
            <w:pPr>
              <w:autoSpaceDE w:val="0"/>
              <w:autoSpaceDN w:val="0"/>
              <w:adjustRightInd w:val="0"/>
              <w:jc w:val="center"/>
              <w:rPr>
                <w:rFonts w:cs="宋体"/>
                <w:bCs/>
                <w:color w:val="auto"/>
                <w:sz w:val="24"/>
                <w:szCs w:val="24"/>
                <w:highlight w:val="none"/>
                <w:lang w:val="zh-CN"/>
              </w:rPr>
            </w:pPr>
            <w:r>
              <w:rPr>
                <w:rFonts w:hint="eastAsia" w:cs="宋体"/>
                <w:color w:val="auto"/>
                <w:sz w:val="24"/>
                <w:szCs w:val="24"/>
                <w:highlight w:val="none"/>
                <w:lang w:val="zh-CN"/>
              </w:rPr>
              <w:t>工程名称</w:t>
            </w:r>
          </w:p>
        </w:tc>
        <w:tc>
          <w:tcPr>
            <w:tcW w:w="6045" w:type="dxa"/>
            <w:tcBorders>
              <w:top w:val="single" w:color="auto" w:sz="4" w:space="0"/>
              <w:left w:val="single" w:color="auto" w:sz="4" w:space="0"/>
              <w:bottom w:val="single" w:color="auto" w:sz="4" w:space="0"/>
              <w:right w:val="single" w:color="auto" w:sz="4" w:space="0"/>
            </w:tcBorders>
          </w:tcPr>
          <w:p w14:paraId="47CABB28">
            <w:pPr>
              <w:autoSpaceDE w:val="0"/>
              <w:autoSpaceDN w:val="0"/>
              <w:adjustRightInd w:val="0"/>
              <w:rPr>
                <w:rFonts w:cs="宋体"/>
                <w:bCs/>
                <w:color w:val="auto"/>
                <w:sz w:val="24"/>
                <w:szCs w:val="24"/>
                <w:highlight w:val="none"/>
                <w:lang w:val="zh-CN"/>
              </w:rPr>
            </w:pPr>
          </w:p>
        </w:tc>
      </w:tr>
      <w:tr w14:paraId="0A35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14:paraId="5EB556AC">
            <w:pPr>
              <w:autoSpaceDE w:val="0"/>
              <w:autoSpaceDN w:val="0"/>
              <w:adjustRightInd w:val="0"/>
              <w:jc w:val="center"/>
              <w:rPr>
                <w:rFonts w:cs="宋体"/>
                <w:bCs/>
                <w:color w:val="auto"/>
                <w:sz w:val="24"/>
                <w:szCs w:val="24"/>
                <w:highlight w:val="none"/>
                <w:lang w:val="zh-CN"/>
              </w:rPr>
            </w:pPr>
            <w:r>
              <w:rPr>
                <w:rFonts w:hint="eastAsia" w:cs="宋体"/>
                <w:color w:val="auto"/>
                <w:sz w:val="24"/>
                <w:szCs w:val="24"/>
                <w:highlight w:val="none"/>
                <w:lang w:val="zh-CN"/>
              </w:rPr>
              <w:t>投标总报价（元）</w:t>
            </w:r>
          </w:p>
        </w:tc>
        <w:tc>
          <w:tcPr>
            <w:tcW w:w="6045" w:type="dxa"/>
            <w:tcBorders>
              <w:top w:val="single" w:color="auto" w:sz="4" w:space="0"/>
              <w:left w:val="single" w:color="auto" w:sz="4" w:space="0"/>
              <w:bottom w:val="single" w:color="auto" w:sz="4" w:space="0"/>
              <w:right w:val="single" w:color="auto" w:sz="4" w:space="0"/>
            </w:tcBorders>
            <w:vAlign w:val="center"/>
          </w:tcPr>
          <w:p w14:paraId="6FF322CF">
            <w:pPr>
              <w:autoSpaceDE w:val="0"/>
              <w:autoSpaceDN w:val="0"/>
              <w:adjustRightInd w:val="0"/>
              <w:rPr>
                <w:rFonts w:cs="宋体"/>
                <w:bCs/>
                <w:color w:val="auto"/>
                <w:sz w:val="24"/>
                <w:szCs w:val="24"/>
                <w:highlight w:val="none"/>
                <w:lang w:val="zh-CN"/>
              </w:rPr>
            </w:pPr>
            <w:r>
              <w:rPr>
                <w:rFonts w:hint="eastAsia"/>
                <w:color w:val="auto"/>
                <w:sz w:val="24"/>
                <w:szCs w:val="24"/>
                <w:highlight w:val="none"/>
              </w:rPr>
              <w:t>大写：</w:t>
            </w:r>
          </w:p>
        </w:tc>
      </w:tr>
      <w:tr w14:paraId="11AB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14:paraId="3D626BE0">
            <w:pPr>
              <w:widowControl/>
              <w:jc w:val="left"/>
              <w:rPr>
                <w:rFonts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0E8D7D12">
            <w:pPr>
              <w:autoSpaceDE w:val="0"/>
              <w:autoSpaceDN w:val="0"/>
              <w:adjustRightInd w:val="0"/>
              <w:rPr>
                <w:rFonts w:cs="宋体"/>
                <w:bCs/>
                <w:color w:val="auto"/>
                <w:sz w:val="24"/>
                <w:szCs w:val="24"/>
                <w:highlight w:val="none"/>
                <w:lang w:val="zh-CN"/>
              </w:rPr>
            </w:pPr>
            <w:r>
              <w:rPr>
                <w:rFonts w:hint="eastAsia"/>
                <w:color w:val="auto"/>
                <w:sz w:val="24"/>
                <w:szCs w:val="24"/>
                <w:highlight w:val="none"/>
              </w:rPr>
              <w:t>小写：</w:t>
            </w:r>
          </w:p>
        </w:tc>
      </w:tr>
      <w:tr w14:paraId="53701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334" w:type="dxa"/>
            <w:vMerge w:val="restart"/>
            <w:tcBorders>
              <w:top w:val="single" w:color="auto" w:sz="4" w:space="0"/>
              <w:left w:val="single" w:color="auto" w:sz="4" w:space="0"/>
              <w:bottom w:val="single" w:color="auto" w:sz="4" w:space="0"/>
              <w:right w:val="single" w:color="auto" w:sz="4" w:space="0"/>
            </w:tcBorders>
            <w:vAlign w:val="center"/>
          </w:tcPr>
          <w:p w14:paraId="7C2AFBCF">
            <w:pPr>
              <w:autoSpaceDE w:val="0"/>
              <w:autoSpaceDN w:val="0"/>
              <w:adjustRightInd w:val="0"/>
              <w:jc w:val="center"/>
              <w:rPr>
                <w:rFonts w:cs="宋体"/>
                <w:bCs/>
                <w:color w:val="auto"/>
                <w:sz w:val="24"/>
                <w:szCs w:val="24"/>
                <w:highlight w:val="none"/>
                <w:lang w:val="zh-CN"/>
              </w:rPr>
            </w:pPr>
            <w:r>
              <w:rPr>
                <w:rFonts w:hint="eastAsia" w:cs="宋体"/>
                <w:color w:val="auto"/>
                <w:sz w:val="24"/>
                <w:szCs w:val="24"/>
                <w:highlight w:val="none"/>
                <w:lang w:val="zh-CN"/>
              </w:rPr>
              <w:t>其中：</w:t>
            </w:r>
            <w:r>
              <w:rPr>
                <w:rFonts w:hint="eastAsia" w:cs="宋体"/>
                <w:bCs/>
                <w:color w:val="auto"/>
                <w:sz w:val="24"/>
                <w:szCs w:val="24"/>
                <w:highlight w:val="none"/>
                <w:lang w:val="zh-CN"/>
              </w:rPr>
              <w:t>人工费</w:t>
            </w:r>
            <w:r>
              <w:rPr>
                <w:rFonts w:hint="eastAsia"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14:paraId="17E32EE3">
            <w:pPr>
              <w:autoSpaceDE w:val="0"/>
              <w:autoSpaceDN w:val="0"/>
              <w:adjustRightInd w:val="0"/>
              <w:rPr>
                <w:rFonts w:cs="宋体"/>
                <w:bCs/>
                <w:color w:val="auto"/>
                <w:sz w:val="24"/>
                <w:szCs w:val="24"/>
                <w:highlight w:val="none"/>
                <w:lang w:val="zh-CN"/>
              </w:rPr>
            </w:pPr>
            <w:r>
              <w:rPr>
                <w:rFonts w:hint="eastAsia"/>
                <w:color w:val="auto"/>
                <w:sz w:val="24"/>
                <w:szCs w:val="24"/>
                <w:highlight w:val="none"/>
              </w:rPr>
              <w:t>大写：</w:t>
            </w:r>
          </w:p>
        </w:tc>
      </w:tr>
      <w:tr w14:paraId="637F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top w:val="single" w:color="auto" w:sz="4" w:space="0"/>
              <w:left w:val="single" w:color="auto" w:sz="4" w:space="0"/>
              <w:bottom w:val="single" w:color="auto" w:sz="4" w:space="0"/>
              <w:right w:val="single" w:color="auto" w:sz="4" w:space="0"/>
            </w:tcBorders>
            <w:vAlign w:val="center"/>
          </w:tcPr>
          <w:p w14:paraId="283C7EC0">
            <w:pPr>
              <w:widowControl/>
              <w:jc w:val="left"/>
              <w:rPr>
                <w:rFonts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220D94C1">
            <w:pPr>
              <w:autoSpaceDE w:val="0"/>
              <w:autoSpaceDN w:val="0"/>
              <w:adjustRightInd w:val="0"/>
              <w:rPr>
                <w:rFonts w:cs="宋体"/>
                <w:bCs/>
                <w:color w:val="auto"/>
                <w:sz w:val="24"/>
                <w:szCs w:val="24"/>
                <w:highlight w:val="none"/>
                <w:lang w:val="zh-CN"/>
              </w:rPr>
            </w:pPr>
            <w:r>
              <w:rPr>
                <w:rFonts w:hint="eastAsia"/>
                <w:color w:val="auto"/>
                <w:sz w:val="24"/>
                <w:szCs w:val="24"/>
                <w:highlight w:val="none"/>
              </w:rPr>
              <w:t>小写：</w:t>
            </w:r>
          </w:p>
        </w:tc>
      </w:tr>
      <w:tr w14:paraId="08F7E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top w:val="single" w:color="auto" w:sz="4" w:space="0"/>
              <w:left w:val="single" w:color="auto" w:sz="4" w:space="0"/>
              <w:right w:val="single" w:color="auto" w:sz="4" w:space="0"/>
            </w:tcBorders>
            <w:vAlign w:val="center"/>
          </w:tcPr>
          <w:p w14:paraId="1C9C0737">
            <w:pPr>
              <w:widowControl/>
              <w:jc w:val="left"/>
              <w:rPr>
                <w:rFonts w:cs="宋体"/>
                <w:b/>
                <w:color w:val="auto"/>
                <w:sz w:val="24"/>
                <w:szCs w:val="24"/>
                <w:highlight w:val="none"/>
                <w:lang w:val="zh-CN"/>
              </w:rPr>
            </w:pPr>
            <w:r>
              <w:rPr>
                <w:rFonts w:hint="eastAsia" w:cs="宋体"/>
                <w:bCs/>
                <w:color w:val="auto"/>
                <w:sz w:val="24"/>
                <w:szCs w:val="24"/>
                <w:highlight w:val="none"/>
                <w:lang w:val="zh-CN"/>
              </w:rPr>
              <w:t>其中：安全生产措施</w:t>
            </w:r>
            <w:r>
              <w:rPr>
                <w:rFonts w:hint="eastAsia" w:cs="宋体"/>
                <w:color w:val="auto"/>
                <w:sz w:val="24"/>
                <w:szCs w:val="24"/>
                <w:highlight w:val="none"/>
                <w:lang w:val="zh-CN"/>
              </w:rPr>
              <w:t>费（元）</w:t>
            </w:r>
          </w:p>
        </w:tc>
        <w:tc>
          <w:tcPr>
            <w:tcW w:w="6045" w:type="dxa"/>
            <w:tcBorders>
              <w:top w:val="single" w:color="auto" w:sz="4" w:space="0"/>
              <w:left w:val="single" w:color="auto" w:sz="4" w:space="0"/>
              <w:bottom w:val="single" w:color="auto" w:sz="4" w:space="0"/>
              <w:right w:val="single" w:color="auto" w:sz="4" w:space="0"/>
            </w:tcBorders>
            <w:vAlign w:val="center"/>
          </w:tcPr>
          <w:p w14:paraId="1A3A2816">
            <w:pPr>
              <w:autoSpaceDE w:val="0"/>
              <w:autoSpaceDN w:val="0"/>
              <w:adjustRightInd w:val="0"/>
              <w:rPr>
                <w:rFonts w:cs="宋体"/>
                <w:bCs/>
                <w:color w:val="auto"/>
                <w:sz w:val="24"/>
                <w:szCs w:val="24"/>
                <w:highlight w:val="none"/>
                <w:lang w:val="zh-CN"/>
              </w:rPr>
            </w:pPr>
            <w:r>
              <w:rPr>
                <w:rFonts w:hint="eastAsia"/>
                <w:color w:val="auto"/>
                <w:sz w:val="24"/>
                <w:szCs w:val="24"/>
                <w:highlight w:val="none"/>
              </w:rPr>
              <w:t>大写：</w:t>
            </w:r>
          </w:p>
        </w:tc>
      </w:tr>
      <w:tr w14:paraId="6684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14:paraId="6075E3CF">
            <w:pPr>
              <w:widowControl/>
              <w:jc w:val="left"/>
              <w:rPr>
                <w:rFonts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4002D753">
            <w:pPr>
              <w:autoSpaceDE w:val="0"/>
              <w:autoSpaceDN w:val="0"/>
              <w:adjustRightInd w:val="0"/>
              <w:rPr>
                <w:rFonts w:cs="宋体"/>
                <w:bCs/>
                <w:color w:val="auto"/>
                <w:sz w:val="24"/>
                <w:szCs w:val="24"/>
                <w:highlight w:val="none"/>
                <w:lang w:val="zh-CN"/>
              </w:rPr>
            </w:pPr>
            <w:r>
              <w:rPr>
                <w:rFonts w:hint="eastAsia"/>
                <w:color w:val="auto"/>
                <w:sz w:val="24"/>
                <w:szCs w:val="24"/>
                <w:highlight w:val="none"/>
              </w:rPr>
              <w:t>小写：</w:t>
            </w:r>
          </w:p>
        </w:tc>
      </w:tr>
      <w:tr w14:paraId="4592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restart"/>
            <w:tcBorders>
              <w:left w:val="single" w:color="auto" w:sz="4" w:space="0"/>
              <w:right w:val="single" w:color="auto" w:sz="4" w:space="0"/>
            </w:tcBorders>
            <w:vAlign w:val="center"/>
          </w:tcPr>
          <w:p w14:paraId="68BF2E50">
            <w:pPr>
              <w:widowControl/>
              <w:jc w:val="left"/>
              <w:rPr>
                <w:rFonts w:cs="宋体"/>
                <w:bCs/>
                <w:color w:val="auto"/>
                <w:sz w:val="24"/>
                <w:szCs w:val="24"/>
                <w:highlight w:val="none"/>
                <w:lang w:val="zh-CN"/>
              </w:rPr>
            </w:pPr>
            <w:r>
              <w:rPr>
                <w:rFonts w:hint="eastAsia" w:cs="宋体"/>
                <w:bCs/>
                <w:color w:val="auto"/>
                <w:sz w:val="24"/>
                <w:szCs w:val="24"/>
                <w:highlight w:val="none"/>
                <w:lang w:val="zh-CN"/>
              </w:rPr>
              <w:t>其中： 暂列金额</w:t>
            </w:r>
            <w:r>
              <w:rPr>
                <w:rFonts w:hint="eastAsia" w:cs="宋体"/>
                <w:color w:val="auto"/>
                <w:sz w:val="24"/>
                <w:szCs w:val="24"/>
                <w:highlight w:val="none"/>
                <w:lang w:val="zh-CN"/>
              </w:rPr>
              <w:t>（元）</w:t>
            </w:r>
          </w:p>
        </w:tc>
        <w:tc>
          <w:tcPr>
            <w:tcW w:w="6045" w:type="dxa"/>
            <w:tcBorders>
              <w:top w:val="single" w:color="auto" w:sz="4" w:space="0"/>
              <w:left w:val="single" w:color="auto" w:sz="4" w:space="0"/>
              <w:bottom w:val="single" w:color="auto" w:sz="4" w:space="0"/>
              <w:right w:val="single" w:color="auto" w:sz="4" w:space="0"/>
            </w:tcBorders>
            <w:vAlign w:val="center"/>
          </w:tcPr>
          <w:p w14:paraId="569565B0">
            <w:pPr>
              <w:autoSpaceDE w:val="0"/>
              <w:autoSpaceDN w:val="0"/>
              <w:adjustRightInd w:val="0"/>
              <w:rPr>
                <w:rFonts w:cs="宋体"/>
                <w:bCs/>
                <w:color w:val="auto"/>
                <w:sz w:val="24"/>
                <w:szCs w:val="24"/>
                <w:highlight w:val="none"/>
                <w:lang w:val="zh-CN"/>
              </w:rPr>
            </w:pPr>
            <w:r>
              <w:rPr>
                <w:rFonts w:hint="eastAsia"/>
                <w:color w:val="auto"/>
                <w:sz w:val="24"/>
                <w:szCs w:val="24"/>
                <w:highlight w:val="none"/>
              </w:rPr>
              <w:t>大写：</w:t>
            </w:r>
          </w:p>
        </w:tc>
      </w:tr>
      <w:tr w14:paraId="202F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3334" w:type="dxa"/>
            <w:vMerge w:val="continue"/>
            <w:tcBorders>
              <w:left w:val="single" w:color="auto" w:sz="4" w:space="0"/>
              <w:right w:val="single" w:color="auto" w:sz="4" w:space="0"/>
            </w:tcBorders>
            <w:vAlign w:val="center"/>
          </w:tcPr>
          <w:p w14:paraId="61D8020C">
            <w:pPr>
              <w:widowControl/>
              <w:jc w:val="left"/>
              <w:rPr>
                <w:rFonts w:cs="宋体"/>
                <w:bCs/>
                <w:color w:val="auto"/>
                <w:sz w:val="24"/>
                <w:szCs w:val="24"/>
                <w:highlight w:val="none"/>
                <w:lang w:val="zh-CN"/>
              </w:rPr>
            </w:pPr>
          </w:p>
        </w:tc>
        <w:tc>
          <w:tcPr>
            <w:tcW w:w="6045" w:type="dxa"/>
            <w:tcBorders>
              <w:top w:val="single" w:color="auto" w:sz="4" w:space="0"/>
              <w:left w:val="single" w:color="auto" w:sz="4" w:space="0"/>
              <w:bottom w:val="single" w:color="auto" w:sz="4" w:space="0"/>
              <w:right w:val="single" w:color="auto" w:sz="4" w:space="0"/>
            </w:tcBorders>
            <w:vAlign w:val="center"/>
          </w:tcPr>
          <w:p w14:paraId="56CBB93C">
            <w:pPr>
              <w:autoSpaceDE w:val="0"/>
              <w:autoSpaceDN w:val="0"/>
              <w:adjustRightInd w:val="0"/>
              <w:rPr>
                <w:rFonts w:cs="宋体"/>
                <w:bCs/>
                <w:color w:val="auto"/>
                <w:sz w:val="24"/>
                <w:szCs w:val="24"/>
                <w:highlight w:val="none"/>
                <w:lang w:val="zh-CN"/>
              </w:rPr>
            </w:pPr>
            <w:r>
              <w:rPr>
                <w:rFonts w:hint="eastAsia"/>
                <w:color w:val="auto"/>
                <w:sz w:val="24"/>
                <w:szCs w:val="24"/>
                <w:highlight w:val="none"/>
              </w:rPr>
              <w:t>小写：</w:t>
            </w:r>
          </w:p>
        </w:tc>
      </w:tr>
    </w:tbl>
    <w:p w14:paraId="686F1171">
      <w:pPr>
        <w:autoSpaceDE w:val="0"/>
        <w:autoSpaceDN w:val="0"/>
        <w:adjustRightInd w:val="0"/>
        <w:jc w:val="left"/>
        <w:rPr>
          <w:rFonts w:cs="宋体"/>
          <w:b/>
          <w:color w:val="auto"/>
          <w:sz w:val="24"/>
          <w:szCs w:val="24"/>
          <w:highlight w:val="none"/>
          <w:lang w:val="zh-CN"/>
        </w:rPr>
      </w:pPr>
      <w:r>
        <w:rPr>
          <w:color w:val="auto"/>
          <w:highlight w:val="none"/>
        </w:rPr>
        <w:br w:type="page"/>
      </w:r>
      <w:bookmarkStart w:id="58" w:name="_Toc6493863"/>
      <w:bookmarkStart w:id="59" w:name="_Toc58838607"/>
      <w:bookmarkStart w:id="60" w:name="_Toc61541798"/>
      <w:bookmarkStart w:id="61" w:name="_Toc60070634"/>
    </w:p>
    <w:p w14:paraId="75AD437D">
      <w:pPr>
        <w:pStyle w:val="5"/>
        <w:rPr>
          <w:bCs/>
          <w:color w:val="auto"/>
          <w:highlight w:val="none"/>
        </w:rPr>
      </w:pPr>
      <w:bookmarkStart w:id="62" w:name="_Toc31170"/>
      <w:r>
        <w:rPr>
          <w:rFonts w:hint="eastAsia"/>
          <w:snapToGrid w:val="0"/>
          <w:color w:val="auto"/>
          <w:highlight w:val="none"/>
        </w:rPr>
        <w:t>格式十</w:t>
      </w:r>
      <w:bookmarkEnd w:id="58"/>
      <w:bookmarkEnd w:id="59"/>
      <w:r>
        <w:rPr>
          <w:rFonts w:hint="eastAsia"/>
          <w:snapToGrid w:val="0"/>
          <w:color w:val="auto"/>
          <w:highlight w:val="none"/>
        </w:rPr>
        <w:t>：</w:t>
      </w:r>
      <w:bookmarkEnd w:id="60"/>
      <w:bookmarkEnd w:id="61"/>
      <w:bookmarkEnd w:id="62"/>
    </w:p>
    <w:p w14:paraId="475D96F6">
      <w:pPr>
        <w:jc w:val="center"/>
        <w:rPr>
          <w:b/>
          <w:color w:val="auto"/>
          <w:sz w:val="36"/>
          <w:szCs w:val="36"/>
          <w:highlight w:val="none"/>
        </w:rPr>
      </w:pPr>
      <w:bookmarkStart w:id="63" w:name="_Toc58838608"/>
      <w:r>
        <w:rPr>
          <w:rFonts w:hint="eastAsia"/>
          <w:b/>
          <w:color w:val="auto"/>
          <w:sz w:val="36"/>
          <w:szCs w:val="36"/>
          <w:highlight w:val="none"/>
        </w:rPr>
        <w:t>参与编制经济标投标文件人员名单</w:t>
      </w:r>
      <w:bookmarkEnd w:id="63"/>
    </w:p>
    <w:tbl>
      <w:tblPr>
        <w:tblStyle w:val="27"/>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14:paraId="3936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919" w:type="dxa"/>
            <w:gridSpan w:val="5"/>
            <w:vAlign w:val="center"/>
          </w:tcPr>
          <w:p w14:paraId="73904B26">
            <w:pPr>
              <w:tabs>
                <w:tab w:val="left" w:pos="720"/>
              </w:tabs>
              <w:snapToGrid w:val="0"/>
              <w:spacing w:line="360" w:lineRule="auto"/>
              <w:jc w:val="center"/>
              <w:rPr>
                <w:color w:val="auto"/>
                <w:sz w:val="24"/>
                <w:szCs w:val="24"/>
                <w:highlight w:val="none"/>
              </w:rPr>
            </w:pPr>
            <w:r>
              <w:rPr>
                <w:rFonts w:hint="eastAsia"/>
                <w:color w:val="auto"/>
                <w:sz w:val="24"/>
                <w:szCs w:val="24"/>
                <w:highlight w:val="none"/>
              </w:rPr>
              <w:t>投标单位名称</w:t>
            </w:r>
          </w:p>
        </w:tc>
      </w:tr>
      <w:tr w14:paraId="4D09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39" w:type="dxa"/>
            <w:vAlign w:val="center"/>
          </w:tcPr>
          <w:p w14:paraId="46DECCB9">
            <w:pPr>
              <w:tabs>
                <w:tab w:val="left" w:pos="720"/>
              </w:tabs>
              <w:snapToGrid w:val="0"/>
              <w:spacing w:line="360" w:lineRule="auto"/>
              <w:jc w:val="center"/>
              <w:rPr>
                <w:color w:val="auto"/>
                <w:sz w:val="24"/>
                <w:szCs w:val="24"/>
                <w:highlight w:val="none"/>
              </w:rPr>
            </w:pPr>
            <w:r>
              <w:rPr>
                <w:rFonts w:hint="eastAsia"/>
                <w:color w:val="auto"/>
                <w:sz w:val="24"/>
                <w:szCs w:val="24"/>
                <w:highlight w:val="none"/>
              </w:rPr>
              <w:t>姓名</w:t>
            </w:r>
          </w:p>
        </w:tc>
        <w:tc>
          <w:tcPr>
            <w:tcW w:w="1441" w:type="dxa"/>
            <w:vAlign w:val="center"/>
          </w:tcPr>
          <w:p w14:paraId="3976D449">
            <w:pPr>
              <w:tabs>
                <w:tab w:val="left" w:pos="720"/>
              </w:tabs>
              <w:snapToGrid w:val="0"/>
              <w:spacing w:line="360" w:lineRule="auto"/>
              <w:jc w:val="center"/>
              <w:rPr>
                <w:color w:val="auto"/>
                <w:sz w:val="24"/>
                <w:szCs w:val="24"/>
                <w:highlight w:val="none"/>
              </w:rPr>
            </w:pPr>
            <w:r>
              <w:rPr>
                <w:rFonts w:hint="eastAsia"/>
                <w:color w:val="auto"/>
                <w:sz w:val="24"/>
                <w:szCs w:val="24"/>
                <w:highlight w:val="none"/>
              </w:rPr>
              <w:t>职务</w:t>
            </w:r>
          </w:p>
        </w:tc>
        <w:tc>
          <w:tcPr>
            <w:tcW w:w="2461" w:type="dxa"/>
            <w:vAlign w:val="center"/>
          </w:tcPr>
          <w:p w14:paraId="388E873C">
            <w:pPr>
              <w:tabs>
                <w:tab w:val="left" w:pos="720"/>
              </w:tabs>
              <w:snapToGrid w:val="0"/>
              <w:spacing w:line="360" w:lineRule="auto"/>
              <w:jc w:val="center"/>
              <w:rPr>
                <w:color w:val="auto"/>
                <w:sz w:val="24"/>
                <w:szCs w:val="24"/>
                <w:highlight w:val="none"/>
              </w:rPr>
            </w:pPr>
            <w:r>
              <w:rPr>
                <w:rFonts w:hint="eastAsia"/>
                <w:color w:val="auto"/>
                <w:sz w:val="24"/>
                <w:szCs w:val="24"/>
                <w:highlight w:val="none"/>
              </w:rPr>
              <w:t>所承担工作</w:t>
            </w:r>
          </w:p>
        </w:tc>
        <w:tc>
          <w:tcPr>
            <w:tcW w:w="2359" w:type="dxa"/>
            <w:vAlign w:val="center"/>
          </w:tcPr>
          <w:p w14:paraId="3361E6E3">
            <w:pPr>
              <w:tabs>
                <w:tab w:val="left" w:pos="720"/>
              </w:tabs>
              <w:snapToGrid w:val="0"/>
              <w:spacing w:line="360" w:lineRule="auto"/>
              <w:jc w:val="center"/>
              <w:rPr>
                <w:color w:val="auto"/>
                <w:sz w:val="24"/>
                <w:szCs w:val="24"/>
                <w:highlight w:val="none"/>
              </w:rPr>
            </w:pPr>
            <w:r>
              <w:rPr>
                <w:rFonts w:hint="eastAsia"/>
                <w:color w:val="auto"/>
                <w:sz w:val="24"/>
                <w:szCs w:val="24"/>
                <w:highlight w:val="none"/>
              </w:rPr>
              <w:t>身份证号码</w:t>
            </w:r>
          </w:p>
        </w:tc>
        <w:tc>
          <w:tcPr>
            <w:tcW w:w="1419" w:type="dxa"/>
            <w:vAlign w:val="center"/>
          </w:tcPr>
          <w:p w14:paraId="3027DD2A">
            <w:pPr>
              <w:tabs>
                <w:tab w:val="left" w:pos="720"/>
              </w:tabs>
              <w:snapToGrid w:val="0"/>
              <w:spacing w:line="360" w:lineRule="auto"/>
              <w:jc w:val="center"/>
              <w:rPr>
                <w:color w:val="auto"/>
                <w:sz w:val="24"/>
                <w:szCs w:val="24"/>
                <w:highlight w:val="none"/>
              </w:rPr>
            </w:pPr>
            <w:r>
              <w:rPr>
                <w:rFonts w:hint="eastAsia"/>
                <w:color w:val="auto"/>
                <w:sz w:val="24"/>
                <w:szCs w:val="24"/>
                <w:highlight w:val="none"/>
              </w:rPr>
              <w:t>本人签名栏</w:t>
            </w:r>
          </w:p>
        </w:tc>
      </w:tr>
      <w:tr w14:paraId="157C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39" w:type="dxa"/>
            <w:vAlign w:val="center"/>
          </w:tcPr>
          <w:p w14:paraId="574E8B92">
            <w:pPr>
              <w:tabs>
                <w:tab w:val="left" w:pos="720"/>
              </w:tabs>
              <w:snapToGrid w:val="0"/>
              <w:spacing w:line="360" w:lineRule="auto"/>
              <w:jc w:val="center"/>
              <w:rPr>
                <w:color w:val="auto"/>
                <w:sz w:val="24"/>
                <w:szCs w:val="24"/>
                <w:highlight w:val="none"/>
              </w:rPr>
            </w:pPr>
          </w:p>
        </w:tc>
        <w:tc>
          <w:tcPr>
            <w:tcW w:w="1441" w:type="dxa"/>
            <w:vAlign w:val="center"/>
          </w:tcPr>
          <w:p w14:paraId="226A3578">
            <w:pPr>
              <w:tabs>
                <w:tab w:val="left" w:pos="720"/>
              </w:tabs>
              <w:snapToGrid w:val="0"/>
              <w:spacing w:line="360" w:lineRule="auto"/>
              <w:jc w:val="center"/>
              <w:rPr>
                <w:color w:val="auto"/>
                <w:sz w:val="24"/>
                <w:szCs w:val="24"/>
                <w:highlight w:val="none"/>
              </w:rPr>
            </w:pPr>
          </w:p>
        </w:tc>
        <w:tc>
          <w:tcPr>
            <w:tcW w:w="2461" w:type="dxa"/>
            <w:vAlign w:val="center"/>
          </w:tcPr>
          <w:p w14:paraId="2992B688">
            <w:pPr>
              <w:tabs>
                <w:tab w:val="left" w:pos="720"/>
              </w:tabs>
              <w:snapToGrid w:val="0"/>
              <w:spacing w:line="360" w:lineRule="auto"/>
              <w:jc w:val="center"/>
              <w:rPr>
                <w:color w:val="auto"/>
                <w:sz w:val="24"/>
                <w:szCs w:val="24"/>
                <w:highlight w:val="none"/>
              </w:rPr>
            </w:pPr>
          </w:p>
        </w:tc>
        <w:tc>
          <w:tcPr>
            <w:tcW w:w="2359" w:type="dxa"/>
            <w:vAlign w:val="center"/>
          </w:tcPr>
          <w:p w14:paraId="2F24B33E">
            <w:pPr>
              <w:tabs>
                <w:tab w:val="left" w:pos="720"/>
              </w:tabs>
              <w:snapToGrid w:val="0"/>
              <w:spacing w:line="360" w:lineRule="auto"/>
              <w:jc w:val="center"/>
              <w:rPr>
                <w:color w:val="auto"/>
                <w:sz w:val="24"/>
                <w:szCs w:val="24"/>
                <w:highlight w:val="none"/>
              </w:rPr>
            </w:pPr>
          </w:p>
        </w:tc>
        <w:tc>
          <w:tcPr>
            <w:tcW w:w="1419" w:type="dxa"/>
            <w:vAlign w:val="center"/>
          </w:tcPr>
          <w:p w14:paraId="37EDE232">
            <w:pPr>
              <w:tabs>
                <w:tab w:val="left" w:pos="720"/>
              </w:tabs>
              <w:snapToGrid w:val="0"/>
              <w:spacing w:line="360" w:lineRule="auto"/>
              <w:jc w:val="center"/>
              <w:rPr>
                <w:color w:val="auto"/>
                <w:sz w:val="24"/>
                <w:szCs w:val="24"/>
                <w:highlight w:val="none"/>
              </w:rPr>
            </w:pPr>
          </w:p>
        </w:tc>
      </w:tr>
      <w:tr w14:paraId="6943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14:paraId="69653CC5">
            <w:pPr>
              <w:tabs>
                <w:tab w:val="left" w:pos="720"/>
              </w:tabs>
              <w:snapToGrid w:val="0"/>
              <w:spacing w:line="360" w:lineRule="auto"/>
              <w:jc w:val="center"/>
              <w:rPr>
                <w:color w:val="auto"/>
                <w:sz w:val="24"/>
                <w:szCs w:val="24"/>
                <w:highlight w:val="none"/>
              </w:rPr>
            </w:pPr>
          </w:p>
        </w:tc>
        <w:tc>
          <w:tcPr>
            <w:tcW w:w="1441" w:type="dxa"/>
            <w:vAlign w:val="center"/>
          </w:tcPr>
          <w:p w14:paraId="1ECFE64B">
            <w:pPr>
              <w:tabs>
                <w:tab w:val="left" w:pos="720"/>
              </w:tabs>
              <w:snapToGrid w:val="0"/>
              <w:spacing w:line="360" w:lineRule="auto"/>
              <w:jc w:val="center"/>
              <w:rPr>
                <w:color w:val="auto"/>
                <w:sz w:val="24"/>
                <w:szCs w:val="24"/>
                <w:highlight w:val="none"/>
              </w:rPr>
            </w:pPr>
          </w:p>
        </w:tc>
        <w:tc>
          <w:tcPr>
            <w:tcW w:w="2461" w:type="dxa"/>
            <w:vAlign w:val="center"/>
          </w:tcPr>
          <w:p w14:paraId="5D0BD353">
            <w:pPr>
              <w:tabs>
                <w:tab w:val="left" w:pos="720"/>
              </w:tabs>
              <w:snapToGrid w:val="0"/>
              <w:spacing w:line="360" w:lineRule="auto"/>
              <w:jc w:val="center"/>
              <w:rPr>
                <w:color w:val="auto"/>
                <w:sz w:val="24"/>
                <w:szCs w:val="24"/>
                <w:highlight w:val="none"/>
              </w:rPr>
            </w:pPr>
          </w:p>
        </w:tc>
        <w:tc>
          <w:tcPr>
            <w:tcW w:w="2359" w:type="dxa"/>
            <w:vAlign w:val="center"/>
          </w:tcPr>
          <w:p w14:paraId="6FE7D529">
            <w:pPr>
              <w:tabs>
                <w:tab w:val="left" w:pos="720"/>
              </w:tabs>
              <w:snapToGrid w:val="0"/>
              <w:spacing w:line="360" w:lineRule="auto"/>
              <w:jc w:val="center"/>
              <w:rPr>
                <w:color w:val="auto"/>
                <w:sz w:val="24"/>
                <w:szCs w:val="24"/>
                <w:highlight w:val="none"/>
              </w:rPr>
            </w:pPr>
          </w:p>
        </w:tc>
        <w:tc>
          <w:tcPr>
            <w:tcW w:w="1419" w:type="dxa"/>
            <w:vAlign w:val="center"/>
          </w:tcPr>
          <w:p w14:paraId="0D27B6A0">
            <w:pPr>
              <w:tabs>
                <w:tab w:val="left" w:pos="720"/>
              </w:tabs>
              <w:snapToGrid w:val="0"/>
              <w:spacing w:line="360" w:lineRule="auto"/>
              <w:jc w:val="center"/>
              <w:rPr>
                <w:color w:val="auto"/>
                <w:sz w:val="24"/>
                <w:szCs w:val="24"/>
                <w:highlight w:val="none"/>
              </w:rPr>
            </w:pPr>
          </w:p>
        </w:tc>
      </w:tr>
      <w:tr w14:paraId="53F7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14:paraId="425EE4B1">
            <w:pPr>
              <w:tabs>
                <w:tab w:val="left" w:pos="720"/>
              </w:tabs>
              <w:snapToGrid w:val="0"/>
              <w:spacing w:line="360" w:lineRule="auto"/>
              <w:jc w:val="center"/>
              <w:rPr>
                <w:color w:val="auto"/>
                <w:sz w:val="24"/>
                <w:szCs w:val="24"/>
                <w:highlight w:val="none"/>
              </w:rPr>
            </w:pPr>
          </w:p>
        </w:tc>
        <w:tc>
          <w:tcPr>
            <w:tcW w:w="1441" w:type="dxa"/>
            <w:vAlign w:val="center"/>
          </w:tcPr>
          <w:p w14:paraId="73178EE5">
            <w:pPr>
              <w:tabs>
                <w:tab w:val="left" w:pos="720"/>
              </w:tabs>
              <w:snapToGrid w:val="0"/>
              <w:spacing w:line="360" w:lineRule="auto"/>
              <w:jc w:val="center"/>
              <w:rPr>
                <w:color w:val="auto"/>
                <w:sz w:val="24"/>
                <w:szCs w:val="24"/>
                <w:highlight w:val="none"/>
              </w:rPr>
            </w:pPr>
          </w:p>
        </w:tc>
        <w:tc>
          <w:tcPr>
            <w:tcW w:w="2461" w:type="dxa"/>
            <w:vAlign w:val="center"/>
          </w:tcPr>
          <w:p w14:paraId="3945C0ED">
            <w:pPr>
              <w:tabs>
                <w:tab w:val="left" w:pos="720"/>
              </w:tabs>
              <w:snapToGrid w:val="0"/>
              <w:spacing w:line="360" w:lineRule="auto"/>
              <w:jc w:val="center"/>
              <w:rPr>
                <w:color w:val="auto"/>
                <w:sz w:val="24"/>
                <w:szCs w:val="24"/>
                <w:highlight w:val="none"/>
              </w:rPr>
            </w:pPr>
          </w:p>
        </w:tc>
        <w:tc>
          <w:tcPr>
            <w:tcW w:w="2359" w:type="dxa"/>
            <w:vAlign w:val="center"/>
          </w:tcPr>
          <w:p w14:paraId="0CB566E1">
            <w:pPr>
              <w:tabs>
                <w:tab w:val="left" w:pos="720"/>
              </w:tabs>
              <w:snapToGrid w:val="0"/>
              <w:spacing w:line="360" w:lineRule="auto"/>
              <w:jc w:val="center"/>
              <w:rPr>
                <w:color w:val="auto"/>
                <w:sz w:val="24"/>
                <w:szCs w:val="24"/>
                <w:highlight w:val="none"/>
              </w:rPr>
            </w:pPr>
          </w:p>
        </w:tc>
        <w:tc>
          <w:tcPr>
            <w:tcW w:w="1419" w:type="dxa"/>
            <w:vAlign w:val="center"/>
          </w:tcPr>
          <w:p w14:paraId="6BFFB384">
            <w:pPr>
              <w:tabs>
                <w:tab w:val="left" w:pos="720"/>
              </w:tabs>
              <w:snapToGrid w:val="0"/>
              <w:spacing w:line="360" w:lineRule="auto"/>
              <w:jc w:val="center"/>
              <w:rPr>
                <w:color w:val="auto"/>
                <w:sz w:val="24"/>
                <w:szCs w:val="24"/>
                <w:highlight w:val="none"/>
              </w:rPr>
            </w:pPr>
          </w:p>
        </w:tc>
      </w:tr>
      <w:tr w14:paraId="3CFF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14:paraId="2E8C4587">
            <w:pPr>
              <w:tabs>
                <w:tab w:val="left" w:pos="720"/>
              </w:tabs>
              <w:snapToGrid w:val="0"/>
              <w:spacing w:line="360" w:lineRule="auto"/>
              <w:jc w:val="center"/>
              <w:rPr>
                <w:color w:val="auto"/>
                <w:sz w:val="24"/>
                <w:szCs w:val="24"/>
                <w:highlight w:val="none"/>
              </w:rPr>
            </w:pPr>
          </w:p>
        </w:tc>
        <w:tc>
          <w:tcPr>
            <w:tcW w:w="1441" w:type="dxa"/>
            <w:vAlign w:val="center"/>
          </w:tcPr>
          <w:p w14:paraId="367DDEED">
            <w:pPr>
              <w:tabs>
                <w:tab w:val="left" w:pos="720"/>
              </w:tabs>
              <w:snapToGrid w:val="0"/>
              <w:spacing w:line="360" w:lineRule="auto"/>
              <w:jc w:val="center"/>
              <w:rPr>
                <w:color w:val="auto"/>
                <w:sz w:val="24"/>
                <w:szCs w:val="24"/>
                <w:highlight w:val="none"/>
              </w:rPr>
            </w:pPr>
          </w:p>
        </w:tc>
        <w:tc>
          <w:tcPr>
            <w:tcW w:w="2461" w:type="dxa"/>
            <w:vAlign w:val="center"/>
          </w:tcPr>
          <w:p w14:paraId="6F8DDAC9">
            <w:pPr>
              <w:tabs>
                <w:tab w:val="left" w:pos="720"/>
              </w:tabs>
              <w:snapToGrid w:val="0"/>
              <w:spacing w:line="360" w:lineRule="auto"/>
              <w:jc w:val="center"/>
              <w:rPr>
                <w:color w:val="auto"/>
                <w:sz w:val="24"/>
                <w:szCs w:val="24"/>
                <w:highlight w:val="none"/>
              </w:rPr>
            </w:pPr>
          </w:p>
        </w:tc>
        <w:tc>
          <w:tcPr>
            <w:tcW w:w="2359" w:type="dxa"/>
            <w:vAlign w:val="center"/>
          </w:tcPr>
          <w:p w14:paraId="27526FBC">
            <w:pPr>
              <w:tabs>
                <w:tab w:val="left" w:pos="720"/>
              </w:tabs>
              <w:snapToGrid w:val="0"/>
              <w:spacing w:line="360" w:lineRule="auto"/>
              <w:jc w:val="center"/>
              <w:rPr>
                <w:color w:val="auto"/>
                <w:sz w:val="24"/>
                <w:szCs w:val="24"/>
                <w:highlight w:val="none"/>
              </w:rPr>
            </w:pPr>
          </w:p>
        </w:tc>
        <w:tc>
          <w:tcPr>
            <w:tcW w:w="1419" w:type="dxa"/>
            <w:vAlign w:val="center"/>
          </w:tcPr>
          <w:p w14:paraId="6B1B82B7">
            <w:pPr>
              <w:tabs>
                <w:tab w:val="left" w:pos="720"/>
              </w:tabs>
              <w:snapToGrid w:val="0"/>
              <w:spacing w:line="360" w:lineRule="auto"/>
              <w:jc w:val="center"/>
              <w:rPr>
                <w:color w:val="auto"/>
                <w:sz w:val="24"/>
                <w:szCs w:val="24"/>
                <w:highlight w:val="none"/>
              </w:rPr>
            </w:pPr>
          </w:p>
        </w:tc>
      </w:tr>
      <w:tr w14:paraId="57C3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14:paraId="6D6CCFF3">
            <w:pPr>
              <w:tabs>
                <w:tab w:val="left" w:pos="720"/>
              </w:tabs>
              <w:snapToGrid w:val="0"/>
              <w:spacing w:line="360" w:lineRule="auto"/>
              <w:jc w:val="center"/>
              <w:rPr>
                <w:color w:val="auto"/>
                <w:sz w:val="24"/>
                <w:szCs w:val="24"/>
                <w:highlight w:val="none"/>
              </w:rPr>
            </w:pPr>
          </w:p>
        </w:tc>
        <w:tc>
          <w:tcPr>
            <w:tcW w:w="1441" w:type="dxa"/>
            <w:vAlign w:val="center"/>
          </w:tcPr>
          <w:p w14:paraId="2361BDF9">
            <w:pPr>
              <w:tabs>
                <w:tab w:val="left" w:pos="720"/>
              </w:tabs>
              <w:snapToGrid w:val="0"/>
              <w:spacing w:line="360" w:lineRule="auto"/>
              <w:jc w:val="center"/>
              <w:rPr>
                <w:color w:val="auto"/>
                <w:sz w:val="24"/>
                <w:szCs w:val="24"/>
                <w:highlight w:val="none"/>
              </w:rPr>
            </w:pPr>
          </w:p>
        </w:tc>
        <w:tc>
          <w:tcPr>
            <w:tcW w:w="2461" w:type="dxa"/>
            <w:vAlign w:val="center"/>
          </w:tcPr>
          <w:p w14:paraId="66C68A72">
            <w:pPr>
              <w:tabs>
                <w:tab w:val="left" w:pos="720"/>
              </w:tabs>
              <w:snapToGrid w:val="0"/>
              <w:spacing w:line="360" w:lineRule="auto"/>
              <w:jc w:val="center"/>
              <w:rPr>
                <w:color w:val="auto"/>
                <w:sz w:val="24"/>
                <w:szCs w:val="24"/>
                <w:highlight w:val="none"/>
              </w:rPr>
            </w:pPr>
          </w:p>
        </w:tc>
        <w:tc>
          <w:tcPr>
            <w:tcW w:w="2359" w:type="dxa"/>
            <w:vAlign w:val="center"/>
          </w:tcPr>
          <w:p w14:paraId="129FE9FE">
            <w:pPr>
              <w:tabs>
                <w:tab w:val="left" w:pos="720"/>
              </w:tabs>
              <w:snapToGrid w:val="0"/>
              <w:spacing w:line="360" w:lineRule="auto"/>
              <w:jc w:val="center"/>
              <w:rPr>
                <w:color w:val="auto"/>
                <w:sz w:val="24"/>
                <w:szCs w:val="24"/>
                <w:highlight w:val="none"/>
              </w:rPr>
            </w:pPr>
          </w:p>
        </w:tc>
        <w:tc>
          <w:tcPr>
            <w:tcW w:w="1419" w:type="dxa"/>
            <w:vAlign w:val="center"/>
          </w:tcPr>
          <w:p w14:paraId="7BF82745">
            <w:pPr>
              <w:tabs>
                <w:tab w:val="left" w:pos="720"/>
              </w:tabs>
              <w:snapToGrid w:val="0"/>
              <w:spacing w:line="360" w:lineRule="auto"/>
              <w:jc w:val="center"/>
              <w:rPr>
                <w:color w:val="auto"/>
                <w:sz w:val="24"/>
                <w:szCs w:val="24"/>
                <w:highlight w:val="none"/>
              </w:rPr>
            </w:pPr>
          </w:p>
        </w:tc>
      </w:tr>
      <w:tr w14:paraId="2EBB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39" w:type="dxa"/>
            <w:vAlign w:val="center"/>
          </w:tcPr>
          <w:p w14:paraId="53C41CF4">
            <w:pPr>
              <w:tabs>
                <w:tab w:val="left" w:pos="720"/>
              </w:tabs>
              <w:snapToGrid w:val="0"/>
              <w:spacing w:line="360" w:lineRule="auto"/>
              <w:jc w:val="center"/>
              <w:rPr>
                <w:color w:val="auto"/>
                <w:sz w:val="24"/>
                <w:szCs w:val="24"/>
                <w:highlight w:val="none"/>
              </w:rPr>
            </w:pPr>
          </w:p>
        </w:tc>
        <w:tc>
          <w:tcPr>
            <w:tcW w:w="1441" w:type="dxa"/>
            <w:vAlign w:val="center"/>
          </w:tcPr>
          <w:p w14:paraId="5ACA3C5E">
            <w:pPr>
              <w:tabs>
                <w:tab w:val="left" w:pos="720"/>
              </w:tabs>
              <w:snapToGrid w:val="0"/>
              <w:spacing w:line="360" w:lineRule="auto"/>
              <w:jc w:val="center"/>
              <w:rPr>
                <w:color w:val="auto"/>
                <w:sz w:val="24"/>
                <w:szCs w:val="24"/>
                <w:highlight w:val="none"/>
              </w:rPr>
            </w:pPr>
          </w:p>
        </w:tc>
        <w:tc>
          <w:tcPr>
            <w:tcW w:w="2461" w:type="dxa"/>
            <w:vAlign w:val="center"/>
          </w:tcPr>
          <w:p w14:paraId="4D8BE3AA">
            <w:pPr>
              <w:tabs>
                <w:tab w:val="left" w:pos="720"/>
              </w:tabs>
              <w:snapToGrid w:val="0"/>
              <w:spacing w:line="360" w:lineRule="auto"/>
              <w:jc w:val="center"/>
              <w:rPr>
                <w:color w:val="auto"/>
                <w:sz w:val="24"/>
                <w:szCs w:val="24"/>
                <w:highlight w:val="none"/>
              </w:rPr>
            </w:pPr>
          </w:p>
        </w:tc>
        <w:tc>
          <w:tcPr>
            <w:tcW w:w="2359" w:type="dxa"/>
            <w:vAlign w:val="center"/>
          </w:tcPr>
          <w:p w14:paraId="676CC66D">
            <w:pPr>
              <w:tabs>
                <w:tab w:val="left" w:pos="720"/>
              </w:tabs>
              <w:snapToGrid w:val="0"/>
              <w:spacing w:line="360" w:lineRule="auto"/>
              <w:jc w:val="center"/>
              <w:rPr>
                <w:color w:val="auto"/>
                <w:sz w:val="24"/>
                <w:szCs w:val="24"/>
                <w:highlight w:val="none"/>
              </w:rPr>
            </w:pPr>
          </w:p>
        </w:tc>
        <w:tc>
          <w:tcPr>
            <w:tcW w:w="1419" w:type="dxa"/>
            <w:vAlign w:val="center"/>
          </w:tcPr>
          <w:p w14:paraId="6D2CCCEE">
            <w:pPr>
              <w:tabs>
                <w:tab w:val="left" w:pos="720"/>
              </w:tabs>
              <w:snapToGrid w:val="0"/>
              <w:spacing w:line="360" w:lineRule="auto"/>
              <w:jc w:val="center"/>
              <w:rPr>
                <w:color w:val="auto"/>
                <w:sz w:val="24"/>
                <w:szCs w:val="24"/>
                <w:highlight w:val="none"/>
              </w:rPr>
            </w:pPr>
          </w:p>
        </w:tc>
      </w:tr>
      <w:tr w14:paraId="2073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39" w:type="dxa"/>
            <w:vAlign w:val="center"/>
          </w:tcPr>
          <w:p w14:paraId="73EED953">
            <w:pPr>
              <w:tabs>
                <w:tab w:val="left" w:pos="720"/>
              </w:tabs>
              <w:snapToGrid w:val="0"/>
              <w:spacing w:line="360" w:lineRule="auto"/>
              <w:jc w:val="center"/>
              <w:rPr>
                <w:color w:val="auto"/>
                <w:sz w:val="24"/>
                <w:szCs w:val="24"/>
                <w:highlight w:val="none"/>
              </w:rPr>
            </w:pPr>
          </w:p>
        </w:tc>
        <w:tc>
          <w:tcPr>
            <w:tcW w:w="1441" w:type="dxa"/>
            <w:vAlign w:val="center"/>
          </w:tcPr>
          <w:p w14:paraId="28A3E3A0">
            <w:pPr>
              <w:tabs>
                <w:tab w:val="left" w:pos="720"/>
              </w:tabs>
              <w:snapToGrid w:val="0"/>
              <w:spacing w:line="360" w:lineRule="auto"/>
              <w:jc w:val="center"/>
              <w:rPr>
                <w:color w:val="auto"/>
                <w:sz w:val="24"/>
                <w:szCs w:val="24"/>
                <w:highlight w:val="none"/>
              </w:rPr>
            </w:pPr>
          </w:p>
        </w:tc>
        <w:tc>
          <w:tcPr>
            <w:tcW w:w="2461" w:type="dxa"/>
            <w:vAlign w:val="center"/>
          </w:tcPr>
          <w:p w14:paraId="1927AD36">
            <w:pPr>
              <w:tabs>
                <w:tab w:val="left" w:pos="720"/>
              </w:tabs>
              <w:snapToGrid w:val="0"/>
              <w:spacing w:line="360" w:lineRule="auto"/>
              <w:jc w:val="center"/>
              <w:rPr>
                <w:color w:val="auto"/>
                <w:sz w:val="24"/>
                <w:szCs w:val="24"/>
                <w:highlight w:val="none"/>
              </w:rPr>
            </w:pPr>
          </w:p>
        </w:tc>
        <w:tc>
          <w:tcPr>
            <w:tcW w:w="2359" w:type="dxa"/>
            <w:vAlign w:val="center"/>
          </w:tcPr>
          <w:p w14:paraId="1DE7B93F">
            <w:pPr>
              <w:tabs>
                <w:tab w:val="left" w:pos="720"/>
              </w:tabs>
              <w:snapToGrid w:val="0"/>
              <w:spacing w:line="360" w:lineRule="auto"/>
              <w:jc w:val="center"/>
              <w:rPr>
                <w:color w:val="auto"/>
                <w:sz w:val="24"/>
                <w:szCs w:val="24"/>
                <w:highlight w:val="none"/>
              </w:rPr>
            </w:pPr>
          </w:p>
        </w:tc>
        <w:tc>
          <w:tcPr>
            <w:tcW w:w="1419" w:type="dxa"/>
            <w:vAlign w:val="center"/>
          </w:tcPr>
          <w:p w14:paraId="4CBF8CA1">
            <w:pPr>
              <w:tabs>
                <w:tab w:val="left" w:pos="720"/>
              </w:tabs>
              <w:snapToGrid w:val="0"/>
              <w:spacing w:line="360" w:lineRule="auto"/>
              <w:jc w:val="center"/>
              <w:rPr>
                <w:color w:val="auto"/>
                <w:sz w:val="24"/>
                <w:szCs w:val="24"/>
                <w:highlight w:val="none"/>
              </w:rPr>
            </w:pPr>
          </w:p>
        </w:tc>
      </w:tr>
      <w:tr w14:paraId="0A20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39" w:type="dxa"/>
            <w:vAlign w:val="center"/>
          </w:tcPr>
          <w:p w14:paraId="743425A9">
            <w:pPr>
              <w:tabs>
                <w:tab w:val="left" w:pos="720"/>
              </w:tabs>
              <w:snapToGrid w:val="0"/>
              <w:spacing w:line="360" w:lineRule="auto"/>
              <w:jc w:val="center"/>
              <w:rPr>
                <w:color w:val="auto"/>
                <w:sz w:val="24"/>
                <w:szCs w:val="24"/>
                <w:highlight w:val="none"/>
              </w:rPr>
            </w:pPr>
          </w:p>
        </w:tc>
        <w:tc>
          <w:tcPr>
            <w:tcW w:w="1441" w:type="dxa"/>
            <w:vAlign w:val="center"/>
          </w:tcPr>
          <w:p w14:paraId="2F03D8BA">
            <w:pPr>
              <w:tabs>
                <w:tab w:val="left" w:pos="720"/>
              </w:tabs>
              <w:snapToGrid w:val="0"/>
              <w:spacing w:line="360" w:lineRule="auto"/>
              <w:jc w:val="center"/>
              <w:rPr>
                <w:color w:val="auto"/>
                <w:sz w:val="24"/>
                <w:szCs w:val="24"/>
                <w:highlight w:val="none"/>
              </w:rPr>
            </w:pPr>
          </w:p>
        </w:tc>
        <w:tc>
          <w:tcPr>
            <w:tcW w:w="2461" w:type="dxa"/>
            <w:vAlign w:val="center"/>
          </w:tcPr>
          <w:p w14:paraId="39A80947">
            <w:pPr>
              <w:tabs>
                <w:tab w:val="left" w:pos="720"/>
              </w:tabs>
              <w:snapToGrid w:val="0"/>
              <w:spacing w:line="360" w:lineRule="auto"/>
              <w:jc w:val="center"/>
              <w:rPr>
                <w:color w:val="auto"/>
                <w:sz w:val="24"/>
                <w:szCs w:val="24"/>
                <w:highlight w:val="none"/>
              </w:rPr>
            </w:pPr>
          </w:p>
        </w:tc>
        <w:tc>
          <w:tcPr>
            <w:tcW w:w="2359" w:type="dxa"/>
            <w:vAlign w:val="center"/>
          </w:tcPr>
          <w:p w14:paraId="7E50DE83">
            <w:pPr>
              <w:tabs>
                <w:tab w:val="left" w:pos="720"/>
              </w:tabs>
              <w:snapToGrid w:val="0"/>
              <w:spacing w:line="360" w:lineRule="auto"/>
              <w:jc w:val="center"/>
              <w:rPr>
                <w:color w:val="auto"/>
                <w:sz w:val="24"/>
                <w:szCs w:val="24"/>
                <w:highlight w:val="none"/>
              </w:rPr>
            </w:pPr>
          </w:p>
        </w:tc>
        <w:tc>
          <w:tcPr>
            <w:tcW w:w="1419" w:type="dxa"/>
            <w:vAlign w:val="center"/>
          </w:tcPr>
          <w:p w14:paraId="06F64784">
            <w:pPr>
              <w:tabs>
                <w:tab w:val="left" w:pos="720"/>
              </w:tabs>
              <w:snapToGrid w:val="0"/>
              <w:spacing w:line="360" w:lineRule="auto"/>
              <w:jc w:val="center"/>
              <w:rPr>
                <w:color w:val="auto"/>
                <w:sz w:val="24"/>
                <w:szCs w:val="24"/>
                <w:highlight w:val="none"/>
              </w:rPr>
            </w:pPr>
          </w:p>
        </w:tc>
      </w:tr>
    </w:tbl>
    <w:p w14:paraId="57FC348E">
      <w:pPr>
        <w:tabs>
          <w:tab w:val="left" w:pos="720"/>
        </w:tabs>
        <w:snapToGrid w:val="0"/>
        <w:spacing w:line="360" w:lineRule="auto"/>
        <w:rPr>
          <w:color w:val="auto"/>
          <w:sz w:val="24"/>
          <w:szCs w:val="24"/>
          <w:highlight w:val="none"/>
        </w:rPr>
      </w:pPr>
    </w:p>
    <w:p w14:paraId="7D1F0468">
      <w:pPr>
        <w:rPr>
          <w:color w:val="auto"/>
          <w:highlight w:val="none"/>
        </w:rPr>
      </w:pPr>
      <w:r>
        <w:rPr>
          <w:rFonts w:hint="eastAsia"/>
          <w:color w:val="auto"/>
          <w:spacing w:val="4"/>
          <w:kern w:val="0"/>
          <w:sz w:val="24"/>
          <w:szCs w:val="24"/>
          <w:highlight w:val="none"/>
        </w:rPr>
        <w:t>注：参与编制经济标书所有人员名单应包括如编制各种专业工程量清单投标报价、负责清样校对、负责打印及复印等所有人员在内的人员名单。</w:t>
      </w:r>
    </w:p>
    <w:p w14:paraId="34FA0A07">
      <w:pPr>
        <w:widowControl/>
        <w:jc w:val="left"/>
        <w:rPr>
          <w:rFonts w:cs="宋体"/>
          <w:b/>
          <w:color w:val="auto"/>
          <w:kern w:val="0"/>
          <w:sz w:val="24"/>
          <w:szCs w:val="24"/>
          <w:highlight w:val="none"/>
        </w:rPr>
      </w:pPr>
      <w:r>
        <w:rPr>
          <w:color w:val="auto"/>
          <w:highlight w:val="none"/>
        </w:rPr>
        <w:br w:type="page"/>
      </w:r>
    </w:p>
    <w:p w14:paraId="61747954">
      <w:pPr>
        <w:pStyle w:val="5"/>
        <w:rPr>
          <w:color w:val="auto"/>
          <w:highlight w:val="none"/>
        </w:rPr>
      </w:pPr>
      <w:bookmarkStart w:id="64" w:name="_Toc61541799"/>
      <w:bookmarkStart w:id="65" w:name="_Toc60070635"/>
      <w:bookmarkStart w:id="66" w:name="_Toc21262"/>
      <w:r>
        <w:rPr>
          <w:rFonts w:hint="eastAsia"/>
          <w:color w:val="auto"/>
          <w:highlight w:val="none"/>
        </w:rPr>
        <w:t>格式</w:t>
      </w:r>
      <w:r>
        <w:rPr>
          <w:rFonts w:hint="eastAsia"/>
          <w:snapToGrid w:val="0"/>
          <w:color w:val="auto"/>
          <w:highlight w:val="none"/>
        </w:rPr>
        <w:t>十</w:t>
      </w:r>
      <w:r>
        <w:rPr>
          <w:rFonts w:hint="eastAsia"/>
          <w:snapToGrid w:val="0"/>
          <w:color w:val="auto"/>
          <w:highlight w:val="none"/>
          <w:lang w:val="en-US" w:eastAsia="zh-CN"/>
        </w:rPr>
        <w:t>一</w:t>
      </w:r>
      <w:r>
        <w:rPr>
          <w:rFonts w:hint="eastAsia"/>
          <w:color w:val="auto"/>
          <w:kern w:val="2"/>
          <w:highlight w:val="none"/>
        </w:rPr>
        <w:t>：</w:t>
      </w:r>
      <w:bookmarkEnd w:id="64"/>
      <w:bookmarkEnd w:id="65"/>
      <w:bookmarkEnd w:id="66"/>
    </w:p>
    <w:p w14:paraId="00A1A9B7">
      <w:pPr>
        <w:pStyle w:val="25"/>
        <w:spacing w:after="0" w:line="360" w:lineRule="auto"/>
        <w:ind w:firstLine="0"/>
        <w:jc w:val="center"/>
        <w:rPr>
          <w:rFonts w:ascii="宋体" w:hAnsi="宋体" w:cs="宋体"/>
          <w:color w:val="auto"/>
          <w:sz w:val="36"/>
          <w:szCs w:val="36"/>
          <w:highlight w:val="none"/>
        </w:rPr>
      </w:pPr>
      <w:r>
        <w:rPr>
          <w:rFonts w:hint="eastAsia" w:ascii="宋体" w:hAnsi="宋体" w:cs="宋体"/>
          <w:b/>
          <w:color w:val="auto"/>
          <w:sz w:val="36"/>
          <w:szCs w:val="36"/>
          <w:highlight w:val="none"/>
        </w:rPr>
        <w:t>对投标文件编制的承诺</w:t>
      </w:r>
    </w:p>
    <w:p w14:paraId="30ECD578">
      <w:pPr>
        <w:pStyle w:val="2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本公司授权</w:t>
      </w:r>
      <w:r>
        <w:rPr>
          <w:rFonts w:hint="eastAsia" w:ascii="宋体" w:hAnsi="宋体" w:cs="宋体"/>
          <w:color w:val="auto"/>
          <w:sz w:val="24"/>
          <w:szCs w:val="24"/>
          <w:highlight w:val="none"/>
          <w:u w:val="single"/>
        </w:rPr>
        <w:t xml:space="preserve">         （身份证号：               ）</w:t>
      </w:r>
      <w:r>
        <w:rPr>
          <w:rFonts w:hint="eastAsia" w:ascii="宋体" w:hAnsi="宋体" w:cs="宋体"/>
          <w:color w:val="auto"/>
          <w:sz w:val="24"/>
          <w:szCs w:val="24"/>
          <w:highlight w:val="none"/>
        </w:rPr>
        <w:t>负责对投标文件的编制及内容进行解释、说明，并承诺以下事项：</w:t>
      </w:r>
    </w:p>
    <w:p w14:paraId="74E14CCB">
      <w:pPr>
        <w:pStyle w:val="2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1.被授权人清楚投标文件编制的具体情况，包括工程量清单、以及投标文件的加密打包的理解；</w:t>
      </w:r>
    </w:p>
    <w:p w14:paraId="16BE7DC9">
      <w:pPr>
        <w:pStyle w:val="2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2.在本项目开标至评标结束前，努力确保被授权人在项目评标所在地附近；</w:t>
      </w:r>
    </w:p>
    <w:p w14:paraId="7E1718C8">
      <w:pPr>
        <w:pStyle w:val="2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3.从评标委员会要求澄清起二小时内，被授权人应如实地书面澄清。</w:t>
      </w:r>
    </w:p>
    <w:p w14:paraId="3A417F49">
      <w:pPr>
        <w:pStyle w:val="25"/>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 xml:space="preserve">如由于未遵守上述承诺内容之一导致无法进行澄清的，我公司认可和接受评标委员会作出的评审结论。                                 </w:t>
      </w:r>
    </w:p>
    <w:p w14:paraId="3CE4F64C">
      <w:pPr>
        <w:pStyle w:val="25"/>
        <w:spacing w:after="0" w:line="360" w:lineRule="auto"/>
        <w:ind w:firstLine="360" w:firstLineChars="150"/>
        <w:rPr>
          <w:rFonts w:ascii="宋体" w:hAnsi="宋体" w:cs="宋体"/>
          <w:color w:val="auto"/>
          <w:sz w:val="24"/>
          <w:szCs w:val="24"/>
          <w:highlight w:val="none"/>
        </w:rPr>
      </w:pPr>
    </w:p>
    <w:p w14:paraId="7312EA48">
      <w:pPr>
        <w:pStyle w:val="2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附件：《投标文件编制情况》</w:t>
      </w:r>
    </w:p>
    <w:p w14:paraId="6F52E011">
      <w:pPr>
        <w:spacing w:line="360" w:lineRule="auto"/>
        <w:ind w:right="90" w:firstLine="3240" w:firstLineChars="1350"/>
        <w:rPr>
          <w:rFonts w:hint="eastAsia" w:cs="宋体"/>
          <w:color w:val="auto"/>
          <w:sz w:val="24"/>
          <w:szCs w:val="24"/>
          <w:highlight w:val="none"/>
        </w:rPr>
      </w:pPr>
      <w:r>
        <w:rPr>
          <w:rFonts w:hint="eastAsia" w:cs="宋体"/>
          <w:color w:val="auto"/>
          <w:sz w:val="24"/>
          <w:szCs w:val="24"/>
          <w:highlight w:val="none"/>
        </w:rPr>
        <w:t xml:space="preserve">投标人名称：            </w:t>
      </w:r>
    </w:p>
    <w:p w14:paraId="2703633D">
      <w:pPr>
        <w:spacing w:line="360" w:lineRule="auto"/>
        <w:ind w:right="90" w:firstLine="3240" w:firstLineChars="1350"/>
        <w:rPr>
          <w:rFonts w:cs="宋体"/>
          <w:color w:val="auto"/>
          <w:sz w:val="24"/>
          <w:szCs w:val="24"/>
          <w:highlight w:val="none"/>
        </w:rPr>
      </w:pPr>
      <w:r>
        <w:rPr>
          <w:rFonts w:hint="eastAsia" w:cs="宋体"/>
          <w:color w:val="auto"/>
          <w:sz w:val="24"/>
          <w:szCs w:val="24"/>
          <w:highlight w:val="none"/>
        </w:rPr>
        <w:t xml:space="preserve">                日期：      年   月   日</w:t>
      </w:r>
    </w:p>
    <w:p w14:paraId="6F75F65D">
      <w:pPr>
        <w:pStyle w:val="25"/>
        <w:spacing w:after="0" w:line="360" w:lineRule="auto"/>
        <w:ind w:firstLine="0"/>
        <w:jc w:val="center"/>
        <w:rPr>
          <w:rFonts w:ascii="宋体" w:hAnsi="宋体" w:cs="宋体"/>
          <w:color w:val="auto"/>
          <w:sz w:val="36"/>
          <w:szCs w:val="36"/>
          <w:highlight w:val="none"/>
        </w:rPr>
      </w:pPr>
      <w:r>
        <w:rPr>
          <w:rFonts w:hint="eastAsia" w:ascii="宋体" w:hAnsi="宋体" w:cs="宋体"/>
          <w:b/>
          <w:color w:val="auto"/>
          <w:sz w:val="36"/>
          <w:szCs w:val="36"/>
          <w:highlight w:val="none"/>
        </w:rPr>
        <w:t>投标文件编制情况</w:t>
      </w:r>
    </w:p>
    <w:p w14:paraId="32D8A5A4">
      <w:pPr>
        <w:pStyle w:val="25"/>
        <w:spacing w:after="0"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1.投标文件报价编制方式: □自行编制的，编制的负责人：</w:t>
      </w:r>
      <w:r>
        <w:rPr>
          <w:rFonts w:hint="eastAsia" w:ascii="宋体" w:hAnsi="宋体" w:cs="宋体"/>
          <w:color w:val="auto"/>
          <w:sz w:val="24"/>
          <w:szCs w:val="24"/>
          <w:highlight w:val="none"/>
          <w:u w:val="single"/>
        </w:rPr>
        <w:t xml:space="preserve"> （盖造价工程师执业专用章或全国建设工程造价员章，执业单位应与投标人一致） </w:t>
      </w:r>
      <w:r>
        <w:rPr>
          <w:rFonts w:hint="eastAsia" w:ascii="宋体" w:hAnsi="宋体" w:cs="宋体"/>
          <w:color w:val="auto"/>
          <w:sz w:val="24"/>
          <w:szCs w:val="24"/>
          <w:highlight w:val="none"/>
        </w:rPr>
        <w:t>。□委托编制的，受委托单位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，编制的负责人：</w:t>
      </w:r>
      <w:r>
        <w:rPr>
          <w:rFonts w:hint="eastAsia" w:ascii="宋体" w:hAnsi="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cs="宋体"/>
          <w:color w:val="auto"/>
          <w:sz w:val="24"/>
          <w:szCs w:val="24"/>
          <w:highlight w:val="none"/>
        </w:rPr>
        <w:t>。</w:t>
      </w:r>
    </w:p>
    <w:p w14:paraId="614A21C1">
      <w:pPr>
        <w:pStyle w:val="25"/>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2.投标文件加密打包的电脑情况</w:t>
      </w:r>
    </w:p>
    <w:tbl>
      <w:tblPr>
        <w:tblStyle w:val="27"/>
        <w:tblW w:w="8522" w:type="dxa"/>
        <w:tblInd w:w="0" w:type="dxa"/>
        <w:tblLayout w:type="fixed"/>
        <w:tblCellMar>
          <w:top w:w="0" w:type="dxa"/>
          <w:left w:w="108" w:type="dxa"/>
          <w:bottom w:w="0" w:type="dxa"/>
          <w:right w:w="108" w:type="dxa"/>
        </w:tblCellMar>
      </w:tblPr>
      <w:tblGrid>
        <w:gridCol w:w="8522"/>
      </w:tblGrid>
      <w:tr w14:paraId="39FDCA08">
        <w:tblPrEx>
          <w:tblCellMar>
            <w:top w:w="0" w:type="dxa"/>
            <w:left w:w="108" w:type="dxa"/>
            <w:bottom w:w="0" w:type="dxa"/>
            <w:right w:w="108" w:type="dxa"/>
          </w:tblCellMar>
        </w:tblPrEx>
        <w:trPr>
          <w:trHeight w:val="2819" w:hRule="atLeast"/>
        </w:trPr>
        <w:tc>
          <w:tcPr>
            <w:tcW w:w="8522" w:type="dxa"/>
          </w:tcPr>
          <w:p w14:paraId="0F9EDEDE">
            <w:pPr>
              <w:pStyle w:val="25"/>
              <w:spacing w:after="0" w:line="360" w:lineRule="auto"/>
              <w:ind w:firstLine="0"/>
              <w:rPr>
                <w:rFonts w:ascii="宋体" w:hAnsi="宋体" w:cs="宋体"/>
                <w:color w:val="auto"/>
                <w:kern w:val="2"/>
                <w:sz w:val="24"/>
                <w:szCs w:val="24"/>
                <w:highlight w:val="none"/>
              </w:rPr>
            </w:pPr>
            <w:r>
              <w:rPr>
                <w:rFonts w:hint="eastAsia" w:ascii="宋体" w:hAnsi="宋体" w:cs="宋体"/>
                <w:color w:val="auto"/>
                <w:kern w:val="2"/>
                <w:sz w:val="24"/>
                <w:szCs w:val="24"/>
                <w:highlight w:val="none"/>
              </w:rPr>
              <w:t>投标文件加密打包的电脑  自有    □      外包    □   其他    □</w:t>
            </w:r>
          </w:p>
          <w:p w14:paraId="322B99C3">
            <w:pPr>
              <w:pStyle w:val="25"/>
              <w:spacing w:after="0" w:line="360" w:lineRule="auto"/>
              <w:ind w:firstLine="0"/>
              <w:rPr>
                <w:rFonts w:ascii="宋体" w:hAnsi="宋体" w:cs="宋体"/>
                <w:color w:val="auto"/>
                <w:kern w:val="2"/>
                <w:sz w:val="24"/>
                <w:szCs w:val="24"/>
                <w:highlight w:val="none"/>
              </w:rPr>
            </w:pPr>
            <w:r>
              <w:rPr>
                <w:rFonts w:hint="eastAsia" w:ascii="宋体" w:hAnsi="宋体" w:cs="宋体"/>
                <w:color w:val="auto"/>
                <w:kern w:val="2"/>
                <w:sz w:val="24"/>
                <w:szCs w:val="24"/>
                <w:highlight w:val="none"/>
              </w:rPr>
              <w:t>电脑类型</w:t>
            </w:r>
          </w:p>
          <w:p w14:paraId="717B5561">
            <w:pPr>
              <w:pStyle w:val="25"/>
              <w:spacing w:after="0" w:line="360" w:lineRule="auto"/>
              <w:ind w:firstLine="0"/>
              <w:rPr>
                <w:rFonts w:ascii="宋体" w:hAnsi="宋体" w:cs="宋体"/>
                <w:color w:val="auto"/>
                <w:kern w:val="2"/>
                <w:sz w:val="24"/>
                <w:szCs w:val="24"/>
                <w:highlight w:val="none"/>
              </w:rPr>
            </w:pPr>
            <w:r>
              <w:rPr>
                <w:rFonts w:hint="eastAsia" w:ascii="宋体" w:hAnsi="宋体" w:cs="宋体"/>
                <w:color w:val="auto"/>
                <w:kern w:val="2"/>
                <w:sz w:val="24"/>
                <w:szCs w:val="24"/>
                <w:highlight w:val="none"/>
              </w:rPr>
              <w:t>电脑所属单位</w:t>
            </w:r>
          </w:p>
          <w:p w14:paraId="7E95CA4E">
            <w:pPr>
              <w:pStyle w:val="25"/>
              <w:spacing w:after="0" w:line="360" w:lineRule="auto"/>
              <w:ind w:firstLine="0"/>
              <w:rPr>
                <w:rFonts w:ascii="宋体" w:hAnsi="宋体" w:cs="宋体"/>
                <w:color w:val="auto"/>
                <w:kern w:val="2"/>
                <w:sz w:val="24"/>
                <w:szCs w:val="24"/>
                <w:highlight w:val="none"/>
              </w:rPr>
            </w:pPr>
            <w:r>
              <w:rPr>
                <w:rFonts w:hint="eastAsia" w:ascii="宋体" w:hAnsi="宋体" w:cs="宋体"/>
                <w:color w:val="auto"/>
                <w:kern w:val="2"/>
                <w:sz w:val="24"/>
                <w:szCs w:val="24"/>
                <w:highlight w:val="none"/>
              </w:rPr>
              <w:t>电脑所在地址        （如××市××区(县) ××街（路）××号××大厦××房）</w:t>
            </w:r>
          </w:p>
        </w:tc>
      </w:tr>
    </w:tbl>
    <w:p w14:paraId="7571D279">
      <w:pPr>
        <w:snapToGrid/>
        <w:spacing w:line="240" w:lineRule="auto"/>
        <w:outlineLvl w:val="9"/>
        <w:rPr>
          <w:rFonts w:cs="宋体"/>
          <w:color w:val="auto"/>
          <w:szCs w:val="21"/>
          <w:highlight w:val="none"/>
        </w:rPr>
      </w:pPr>
      <w:r>
        <w:rPr>
          <w:rFonts w:cs="宋体"/>
          <w:color w:val="auto"/>
          <w:szCs w:val="21"/>
          <w:highlight w:val="none"/>
        </w:rPr>
        <w:br w:type="page"/>
      </w:r>
    </w:p>
    <w:p w14:paraId="7104C1BE">
      <w:pPr>
        <w:pStyle w:val="4"/>
        <w:rPr>
          <w:bCs/>
          <w:color w:val="auto"/>
          <w:highlight w:val="none"/>
        </w:rPr>
      </w:pP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定标</w:t>
      </w:r>
      <w:r>
        <w:rPr>
          <w:rFonts w:hint="eastAsia"/>
          <w:color w:val="auto"/>
          <w:highlight w:val="none"/>
        </w:rPr>
        <w:t>文件格式</w:t>
      </w:r>
    </w:p>
    <w:p w14:paraId="30A40039">
      <w:pPr>
        <w:topLinePunct/>
        <w:adjustRightInd w:val="0"/>
        <w:snapToGrid w:val="0"/>
        <w:spacing w:line="360" w:lineRule="auto"/>
        <w:ind w:firstLine="496" w:firstLineChars="200"/>
        <w:jc w:val="left"/>
        <w:rPr>
          <w:rFonts w:ascii="宋体" w:hAnsi="宋体" w:cs="宋体"/>
          <w:color w:val="auto"/>
          <w:spacing w:val="4"/>
          <w:kern w:val="0"/>
          <w:sz w:val="24"/>
          <w:szCs w:val="24"/>
          <w:highlight w:val="none"/>
        </w:rPr>
      </w:pPr>
    </w:p>
    <w:p w14:paraId="126E0C6B">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63584410">
      <w:pPr>
        <w:topLinePunct/>
        <w:adjustRightInd w:val="0"/>
        <w:snapToGrid w:val="0"/>
        <w:spacing w:line="360" w:lineRule="auto"/>
        <w:jc w:val="center"/>
        <w:rPr>
          <w:rFonts w:ascii="宋体" w:hAnsi="宋体" w:cs="宋体"/>
          <w:snapToGrid w:val="0"/>
          <w:color w:val="auto"/>
          <w:spacing w:val="4"/>
          <w:kern w:val="0"/>
          <w:sz w:val="36"/>
          <w:szCs w:val="36"/>
          <w:highlight w:val="none"/>
          <w:u w:val="single"/>
        </w:rPr>
      </w:pPr>
      <w:r>
        <w:rPr>
          <w:rFonts w:hint="eastAsia" w:ascii="宋体" w:hAnsi="宋体" w:cs="宋体"/>
          <w:snapToGrid w:val="0"/>
          <w:color w:val="auto"/>
          <w:spacing w:val="4"/>
          <w:kern w:val="0"/>
          <w:sz w:val="36"/>
          <w:szCs w:val="36"/>
          <w:highlight w:val="none"/>
          <w:u w:val="single"/>
        </w:rPr>
        <w:t xml:space="preserve">[工程名称] </w:t>
      </w:r>
    </w:p>
    <w:p w14:paraId="56389FDA">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2F3DFA1A">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03EE47B8">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0532E61D">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7A24A691">
      <w:pPr>
        <w:topLinePunct/>
        <w:adjustRightInd w:val="0"/>
        <w:snapToGrid w:val="0"/>
        <w:spacing w:line="360" w:lineRule="auto"/>
        <w:jc w:val="center"/>
        <w:rPr>
          <w:rFonts w:hint="eastAsia" w:ascii="宋体" w:hAnsi="宋体" w:cs="宋体"/>
          <w:snapToGrid w:val="0"/>
          <w:color w:val="auto"/>
          <w:spacing w:val="4"/>
          <w:kern w:val="0"/>
          <w:sz w:val="84"/>
          <w:szCs w:val="84"/>
          <w:highlight w:val="none"/>
        </w:rPr>
      </w:pPr>
      <w:r>
        <w:rPr>
          <w:rFonts w:hint="eastAsia" w:cs="宋体"/>
          <w:snapToGrid w:val="0"/>
          <w:color w:val="auto"/>
          <w:spacing w:val="4"/>
          <w:kern w:val="0"/>
          <w:sz w:val="84"/>
          <w:szCs w:val="84"/>
          <w:highlight w:val="none"/>
          <w:lang w:val="en-US" w:eastAsia="zh-CN"/>
        </w:rPr>
        <w:t>投标</w:t>
      </w:r>
      <w:r>
        <w:rPr>
          <w:rFonts w:hint="eastAsia" w:ascii="宋体" w:hAnsi="宋体" w:cs="宋体"/>
          <w:snapToGrid w:val="0"/>
          <w:color w:val="auto"/>
          <w:spacing w:val="4"/>
          <w:kern w:val="0"/>
          <w:sz w:val="84"/>
          <w:szCs w:val="84"/>
          <w:highlight w:val="none"/>
        </w:rPr>
        <w:t>文件</w:t>
      </w:r>
    </w:p>
    <w:p w14:paraId="7ACA1777">
      <w:pPr>
        <w:topLinePunct/>
        <w:adjustRightInd w:val="0"/>
        <w:snapToGrid w:val="0"/>
        <w:spacing w:line="360" w:lineRule="auto"/>
        <w:jc w:val="center"/>
        <w:rPr>
          <w:rFonts w:hint="default" w:ascii="宋体" w:hAnsi="宋体" w:eastAsia="宋体" w:cs="宋体"/>
          <w:snapToGrid w:val="0"/>
          <w:color w:val="auto"/>
          <w:spacing w:val="4"/>
          <w:kern w:val="0"/>
          <w:sz w:val="36"/>
          <w:szCs w:val="36"/>
          <w:highlight w:val="none"/>
          <w:lang w:val="en-US" w:eastAsia="zh-CN"/>
        </w:rPr>
      </w:pPr>
      <w:r>
        <w:rPr>
          <w:rFonts w:hint="eastAsia" w:cs="宋体"/>
          <w:snapToGrid w:val="0"/>
          <w:color w:val="auto"/>
          <w:spacing w:val="4"/>
          <w:kern w:val="0"/>
          <w:sz w:val="36"/>
          <w:szCs w:val="36"/>
          <w:highlight w:val="none"/>
          <w:lang w:eastAsia="zh-CN"/>
        </w:rPr>
        <w:t>（</w:t>
      </w:r>
      <w:r>
        <w:rPr>
          <w:rFonts w:hint="eastAsia" w:cs="宋体"/>
          <w:snapToGrid w:val="0"/>
          <w:color w:val="auto"/>
          <w:spacing w:val="4"/>
          <w:kern w:val="0"/>
          <w:sz w:val="36"/>
          <w:szCs w:val="36"/>
          <w:highlight w:val="none"/>
          <w:lang w:val="en-US" w:eastAsia="zh-CN"/>
        </w:rPr>
        <w:t>定标文件）</w:t>
      </w:r>
    </w:p>
    <w:p w14:paraId="0831070E">
      <w:pPr>
        <w:topLinePunct/>
        <w:adjustRightInd w:val="0"/>
        <w:snapToGrid w:val="0"/>
        <w:spacing w:line="360" w:lineRule="auto"/>
        <w:jc w:val="center"/>
        <w:rPr>
          <w:rFonts w:ascii="宋体" w:hAnsi="宋体" w:cs="宋体"/>
          <w:snapToGrid w:val="0"/>
          <w:color w:val="auto"/>
          <w:spacing w:val="4"/>
          <w:kern w:val="0"/>
          <w:sz w:val="36"/>
          <w:szCs w:val="36"/>
          <w:highlight w:val="none"/>
        </w:rPr>
      </w:pPr>
    </w:p>
    <w:p w14:paraId="60D9F538">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002745F7">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7D5354D6">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32476015">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39948130">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7E46C834">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4160C117">
      <w:pPr>
        <w:topLinePunct/>
        <w:adjustRightInd w:val="0"/>
        <w:snapToGrid w:val="0"/>
        <w:spacing w:line="360" w:lineRule="auto"/>
        <w:rPr>
          <w:rFonts w:ascii="宋体" w:hAnsi="宋体" w:cs="宋体"/>
          <w:color w:val="auto"/>
          <w:spacing w:val="4"/>
          <w:kern w:val="0"/>
          <w:sz w:val="24"/>
          <w:szCs w:val="24"/>
          <w:highlight w:val="none"/>
        </w:rPr>
      </w:pPr>
    </w:p>
    <w:p w14:paraId="2B711444">
      <w:pPr>
        <w:topLinePunct/>
        <w:adjustRightInd w:val="0"/>
        <w:snapToGrid w:val="0"/>
        <w:spacing w:line="360" w:lineRule="auto"/>
        <w:ind w:firstLine="496" w:firstLineChars="200"/>
        <w:rPr>
          <w:rFonts w:ascii="宋体" w:hAnsi="宋体" w:cs="宋体"/>
          <w:color w:val="auto"/>
          <w:spacing w:val="4"/>
          <w:kern w:val="0"/>
          <w:sz w:val="24"/>
          <w:szCs w:val="24"/>
          <w:highlight w:val="none"/>
        </w:rPr>
      </w:pPr>
    </w:p>
    <w:p w14:paraId="37D6975F">
      <w:pPr>
        <w:topLinePunct/>
        <w:adjustRightInd w:val="0"/>
        <w:snapToGrid w:val="0"/>
        <w:spacing w:line="360" w:lineRule="auto"/>
        <w:ind w:firstLine="616" w:firstLineChars="200"/>
        <w:jc w:val="left"/>
        <w:rPr>
          <w:rFonts w:hint="default" w:ascii="宋体" w:hAnsi="宋体" w:eastAsia="宋体" w:cs="宋体"/>
          <w:snapToGrid w:val="0"/>
          <w:color w:val="auto"/>
          <w:spacing w:val="4"/>
          <w:kern w:val="0"/>
          <w:sz w:val="30"/>
          <w:szCs w:val="30"/>
          <w:highlight w:val="none"/>
          <w:lang w:val="en-US" w:eastAsia="zh-CN"/>
        </w:rPr>
      </w:pPr>
      <w:r>
        <w:rPr>
          <w:rFonts w:hint="eastAsia" w:ascii="宋体" w:hAnsi="宋体" w:cs="宋体"/>
          <w:snapToGrid w:val="0"/>
          <w:color w:val="auto"/>
          <w:spacing w:val="4"/>
          <w:kern w:val="0"/>
          <w:sz w:val="30"/>
          <w:szCs w:val="30"/>
          <w:highlight w:val="none"/>
        </w:rPr>
        <w:t>投标人：</w:t>
      </w:r>
      <w:r>
        <w:rPr>
          <w:rFonts w:hint="eastAsia" w:ascii="宋体" w:hAnsi="宋体" w:cs="宋体"/>
          <w:snapToGrid w:val="0"/>
          <w:color w:val="auto"/>
          <w:spacing w:val="4"/>
          <w:kern w:val="0"/>
          <w:sz w:val="30"/>
          <w:szCs w:val="30"/>
          <w:highlight w:val="none"/>
          <w:u w:val="single"/>
        </w:rPr>
        <w:t xml:space="preserve"> </w:t>
      </w:r>
      <w:r>
        <w:rPr>
          <w:rFonts w:hint="eastAsia" w:cs="宋体"/>
          <w:snapToGrid w:val="0"/>
          <w:color w:val="auto"/>
          <w:spacing w:val="4"/>
          <w:kern w:val="0"/>
          <w:sz w:val="30"/>
          <w:szCs w:val="30"/>
          <w:highlight w:val="none"/>
          <w:u w:val="single"/>
          <w:lang w:val="en-US" w:eastAsia="zh-CN"/>
        </w:rPr>
        <w:t xml:space="preserve">                                     </w:t>
      </w:r>
    </w:p>
    <w:p w14:paraId="0503DCAB">
      <w:pPr>
        <w:topLinePunct/>
        <w:adjustRightInd w:val="0"/>
        <w:snapToGrid w:val="0"/>
        <w:spacing w:line="360" w:lineRule="auto"/>
        <w:ind w:firstLine="616" w:firstLineChars="200"/>
        <w:jc w:val="left"/>
        <w:rPr>
          <w:rFonts w:ascii="宋体" w:hAnsi="宋体" w:cs="宋体"/>
          <w:snapToGrid w:val="0"/>
          <w:color w:val="auto"/>
          <w:spacing w:val="4"/>
          <w:kern w:val="0"/>
          <w:sz w:val="30"/>
          <w:szCs w:val="30"/>
          <w:highlight w:val="none"/>
        </w:rPr>
      </w:pPr>
      <w:r>
        <w:rPr>
          <w:rFonts w:hint="eastAsia" w:ascii="宋体" w:hAnsi="宋体" w:cs="宋体"/>
          <w:snapToGrid w:val="0"/>
          <w:color w:val="auto"/>
          <w:spacing w:val="4"/>
          <w:kern w:val="0"/>
          <w:sz w:val="30"/>
          <w:szCs w:val="30"/>
          <w:highlight w:val="none"/>
        </w:rPr>
        <w:t>日  期：</w:t>
      </w:r>
      <w:r>
        <w:rPr>
          <w:rFonts w:hint="eastAsia" w:ascii="宋体" w:hAnsi="宋体" w:cs="宋体"/>
          <w:snapToGrid w:val="0"/>
          <w:color w:val="auto"/>
          <w:spacing w:val="4"/>
          <w:kern w:val="0"/>
          <w:sz w:val="30"/>
          <w:szCs w:val="30"/>
          <w:highlight w:val="none"/>
          <w:u w:val="single"/>
        </w:rPr>
        <w:t xml:space="preserve">                                        </w:t>
      </w:r>
    </w:p>
    <w:p w14:paraId="62304802">
      <w:pPr>
        <w:snapToGrid/>
        <w:spacing w:line="240" w:lineRule="auto"/>
        <w:outlineLvl w:val="9"/>
        <w:rPr>
          <w:rFonts w:cs="宋体"/>
          <w:color w:val="auto"/>
          <w:szCs w:val="21"/>
          <w:highlight w:val="none"/>
        </w:rPr>
      </w:pPr>
      <w:r>
        <w:rPr>
          <w:rFonts w:cs="宋体"/>
          <w:color w:val="auto"/>
          <w:szCs w:val="21"/>
          <w:highlight w:val="none"/>
        </w:rPr>
        <w:br w:type="page"/>
      </w:r>
    </w:p>
    <w:p w14:paraId="08F71B74">
      <w:pPr>
        <w:jc w:val="right"/>
        <w:rPr>
          <w:color w:val="auto"/>
          <w:highlight w:val="none"/>
        </w:rPr>
      </w:pPr>
    </w:p>
    <w:p w14:paraId="26AAC81D">
      <w:pPr>
        <w:rPr>
          <w:color w:val="auto"/>
          <w:highlight w:val="none"/>
        </w:rPr>
      </w:pPr>
    </w:p>
    <w:p w14:paraId="5B16D1D0">
      <w:pPr>
        <w:topLinePunct/>
        <w:adjustRightInd w:val="0"/>
        <w:snapToGrid w:val="0"/>
        <w:spacing w:after="156" w:afterLines="50"/>
        <w:jc w:val="both"/>
        <w:rPr>
          <w:rFonts w:hint="eastAsia"/>
          <w:color w:val="auto"/>
          <w:sz w:val="24"/>
          <w:szCs w:val="24"/>
          <w:highlight w:val="none"/>
          <w:lang w:val="en-US" w:eastAsia="zh-CN"/>
        </w:rPr>
      </w:pPr>
      <w:bookmarkStart w:id="67" w:name="_Toc6108"/>
      <w:r>
        <w:rPr>
          <w:rFonts w:hint="eastAsia"/>
          <w:color w:val="auto"/>
          <w:sz w:val="24"/>
          <w:szCs w:val="24"/>
          <w:highlight w:val="none"/>
        </w:rPr>
        <w:t>格式</w:t>
      </w:r>
      <w:r>
        <w:rPr>
          <w:rFonts w:hint="eastAsia"/>
          <w:color w:val="auto"/>
          <w:sz w:val="24"/>
          <w:szCs w:val="24"/>
          <w:highlight w:val="none"/>
          <w:lang w:val="en-US" w:eastAsia="zh-CN"/>
        </w:rPr>
        <w:t>十二</w:t>
      </w:r>
    </w:p>
    <w:p w14:paraId="09FAC991">
      <w:pPr>
        <w:pStyle w:val="2"/>
        <w:rPr>
          <w:rFonts w:hint="default"/>
          <w:color w:val="auto"/>
          <w:highlight w:val="none"/>
          <w:lang w:val="en-US" w:eastAsia="zh-CN"/>
        </w:rPr>
      </w:pPr>
    </w:p>
    <w:p w14:paraId="3A5766E1">
      <w:pPr>
        <w:tabs>
          <w:tab w:val="left" w:pos="720"/>
        </w:tabs>
        <w:snapToGrid w:val="0"/>
        <w:spacing w:line="360" w:lineRule="auto"/>
        <w:ind w:firstLine="240" w:firstLineChars="100"/>
        <w:jc w:val="center"/>
        <w:outlineLvl w:val="0"/>
        <w:rPr>
          <w:rStyle w:val="45"/>
          <w:rFonts w:hint="default"/>
          <w:color w:val="auto"/>
          <w:highlight w:val="none"/>
        </w:rPr>
        <w:sectPr>
          <w:headerReference r:id="rId16" w:type="first"/>
          <w:footerReference r:id="rId18" w:type="first"/>
          <w:headerReference r:id="rId15" w:type="default"/>
          <w:footerReference r:id="rId17" w:type="default"/>
          <w:pgSz w:w="11905" w:h="16838"/>
          <w:pgMar w:top="1440" w:right="1633" w:bottom="1440" w:left="1633" w:header="850" w:footer="907" w:gutter="0"/>
          <w:pgNumType w:fmt="decimal"/>
          <w:cols w:space="0" w:num="1"/>
          <w:titlePg/>
          <w:docGrid w:type="lines" w:linePitch="325" w:charSpace="0"/>
        </w:sectPr>
      </w:pPr>
      <w:r>
        <w:rPr>
          <w:rFonts w:hint="eastAsia"/>
          <w:color w:val="auto"/>
          <w:sz w:val="24"/>
          <w:szCs w:val="24"/>
          <w:highlight w:val="none"/>
        </w:rPr>
        <w:t>定标文件资料（参考定标因素需求格式自拟）</w:t>
      </w:r>
    </w:p>
    <w:p w14:paraId="61C240B8">
      <w:pPr>
        <w:tabs>
          <w:tab w:val="left" w:pos="720"/>
        </w:tabs>
        <w:snapToGrid w:val="0"/>
        <w:spacing w:line="360" w:lineRule="auto"/>
        <w:ind w:firstLine="482" w:firstLineChars="100"/>
        <w:jc w:val="left"/>
        <w:outlineLvl w:val="0"/>
        <w:rPr>
          <w:rStyle w:val="45"/>
          <w:rFonts w:hint="default"/>
          <w:color w:val="auto"/>
          <w:highlight w:val="none"/>
        </w:rPr>
      </w:pPr>
      <w:r>
        <w:rPr>
          <w:rStyle w:val="45"/>
          <w:rFonts w:hint="default"/>
          <w:color w:val="auto"/>
          <w:highlight w:val="none"/>
        </w:rPr>
        <w:t>第五章  技术条件（工程建设标准）</w:t>
      </w:r>
      <w:bookmarkEnd w:id="67"/>
    </w:p>
    <w:p w14:paraId="654D080D">
      <w:pPr>
        <w:topLinePunct/>
        <w:adjustRightIn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下列文件应被认为是组成本章内容的一部分，并互为补充和解释，如各文件存在冲突之处，以如下排列次序在前者优先适用：</w:t>
      </w:r>
    </w:p>
    <w:p w14:paraId="4F00802A">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1、遵照招标人相关管理规定要求；</w:t>
      </w:r>
    </w:p>
    <w:p w14:paraId="41D2CDD3">
      <w:pPr>
        <w:topLinePunct/>
        <w:adjustRightInd w:val="0"/>
        <w:snapToGrid w:val="0"/>
        <w:spacing w:line="360" w:lineRule="auto"/>
        <w:ind w:firstLine="496" w:firstLineChars="200"/>
        <w:rPr>
          <w:rFonts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2、采用图纸中规定的其它技术和验收标准；</w:t>
      </w:r>
    </w:p>
    <w:p w14:paraId="1866B97D">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3、采用中华人民共和国现行技术和验收规范。</w:t>
      </w:r>
    </w:p>
    <w:p w14:paraId="0FD54429">
      <w:pPr>
        <w:topLinePunct/>
        <w:adjustRightInd w:val="0"/>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以现行的中华人民共和国及有关</w:t>
      </w:r>
      <w:r>
        <w:rPr>
          <w:rFonts w:hint="eastAsia" w:ascii="宋体" w:hAnsi="宋体" w:cs="宋体"/>
          <w:b/>
          <w:color w:val="auto"/>
          <w:spacing w:val="4"/>
          <w:kern w:val="0"/>
          <w:sz w:val="24"/>
          <w:szCs w:val="24"/>
          <w:highlight w:val="none"/>
        </w:rPr>
        <w:t>部委</w:t>
      </w:r>
      <w:r>
        <w:rPr>
          <w:rFonts w:hint="eastAsia" w:ascii="宋体" w:hAnsi="宋体" w:cs="宋体"/>
          <w:b/>
          <w:color w:val="auto"/>
          <w:sz w:val="24"/>
          <w:szCs w:val="24"/>
          <w:highlight w:val="none"/>
        </w:rPr>
        <w:t>颁布的标准、规范和规程。若施工时期建设主管部门颁布新的规范、标准，则按照新的规范、标准执行。</w:t>
      </w:r>
    </w:p>
    <w:p w14:paraId="3350CB6A">
      <w:pPr>
        <w:topLinePunct w:val="0"/>
        <w:adjustRightInd/>
        <w:spacing w:line="240" w:lineRule="auto"/>
        <w:ind w:firstLine="0" w:firstLineChars="0"/>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6A0EB570">
      <w:pPr>
        <w:pStyle w:val="3"/>
        <w:jc w:val="center"/>
        <w:rPr>
          <w:rFonts w:hint="default"/>
          <w:color w:val="auto"/>
          <w:highlight w:val="none"/>
        </w:rPr>
      </w:pPr>
      <w:bookmarkStart w:id="68" w:name="_Toc30094"/>
      <w:r>
        <w:rPr>
          <w:color w:val="auto"/>
          <w:highlight w:val="none"/>
        </w:rPr>
        <w:t>第六章  图纸及勘察资料</w:t>
      </w:r>
      <w:bookmarkEnd w:id="68"/>
    </w:p>
    <w:p w14:paraId="70D693F3">
      <w:pPr>
        <w:topLinePunct/>
        <w:adjustRightInd w:val="0"/>
        <w:snapToGrid w:val="0"/>
        <w:spacing w:line="360" w:lineRule="auto"/>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招标图纸（另册）。</w:t>
      </w:r>
    </w:p>
    <w:p w14:paraId="3ED6D614">
      <w:pPr>
        <w:topLinePunct/>
        <w:adjustRightInd w:val="0"/>
        <w:snapToGrid w:val="0"/>
        <w:spacing w:line="360" w:lineRule="auto"/>
        <w:ind w:firstLine="496" w:firstLineChars="200"/>
        <w:rPr>
          <w:rFonts w:cs="宋体"/>
          <w:snapToGrid w:val="0"/>
          <w:color w:val="auto"/>
          <w:spacing w:val="4"/>
          <w:kern w:val="0"/>
          <w:sz w:val="24"/>
          <w:szCs w:val="24"/>
          <w:highlight w:val="none"/>
        </w:rPr>
      </w:pPr>
    </w:p>
    <w:p w14:paraId="2474482C">
      <w:pPr>
        <w:topLinePunct/>
        <w:adjustRightInd w:val="0"/>
        <w:snapToGrid w:val="0"/>
        <w:spacing w:before="156" w:after="156" w:line="360" w:lineRule="auto"/>
        <w:ind w:firstLine="496" w:firstLineChars="200"/>
        <w:rPr>
          <w:rFonts w:cs="宋体"/>
          <w:snapToGrid w:val="0"/>
          <w:color w:val="auto"/>
          <w:spacing w:val="4"/>
          <w:kern w:val="0"/>
          <w:sz w:val="24"/>
          <w:szCs w:val="24"/>
          <w:highlight w:val="none"/>
        </w:rPr>
      </w:pPr>
      <w:r>
        <w:rPr>
          <w:rFonts w:hint="eastAsia" w:cs="宋体"/>
          <w:snapToGrid w:val="0"/>
          <w:color w:val="auto"/>
          <w:spacing w:val="4"/>
          <w:kern w:val="0"/>
          <w:sz w:val="24"/>
          <w:szCs w:val="24"/>
          <w:highlight w:val="none"/>
        </w:rPr>
        <w:t>注：本项目所有招标图纸、资料知识产权属招标人所有，不得用于除本次招标项目外其它用途，否则应承担由此所引起的全部法律责任。</w:t>
      </w:r>
    </w:p>
    <w:p w14:paraId="5512BA87">
      <w:pPr>
        <w:jc w:val="center"/>
        <w:rPr>
          <w:rFonts w:cs="宋体"/>
          <w:b/>
          <w:bCs/>
          <w:color w:val="auto"/>
          <w:sz w:val="28"/>
          <w:szCs w:val="28"/>
          <w:highlight w:val="none"/>
        </w:rPr>
      </w:pPr>
    </w:p>
    <w:p w14:paraId="57B3425A">
      <w:pPr>
        <w:pStyle w:val="3"/>
        <w:jc w:val="center"/>
        <w:rPr>
          <w:rFonts w:hint="default"/>
          <w:color w:val="auto"/>
          <w:highlight w:val="none"/>
        </w:rPr>
      </w:pPr>
      <w:r>
        <w:rPr>
          <w:color w:val="auto"/>
          <w:sz w:val="24"/>
          <w:szCs w:val="24"/>
          <w:highlight w:val="none"/>
        </w:rPr>
        <w:br w:type="page"/>
      </w:r>
      <w:bookmarkStart w:id="69" w:name="_Toc15769"/>
      <w:r>
        <w:rPr>
          <w:color w:val="auto"/>
          <w:highlight w:val="none"/>
        </w:rPr>
        <w:t>第七章  工程量清单</w:t>
      </w:r>
      <w:bookmarkEnd w:id="69"/>
    </w:p>
    <w:p w14:paraId="087B260F">
      <w:pPr>
        <w:rPr>
          <w:b/>
          <w:color w:val="auto"/>
          <w:sz w:val="24"/>
          <w:szCs w:val="24"/>
          <w:highlight w:val="none"/>
        </w:rPr>
      </w:pPr>
      <w:r>
        <w:rPr>
          <w:rFonts w:hint="eastAsia"/>
          <w:color w:val="auto"/>
          <w:sz w:val="24"/>
          <w:szCs w:val="24"/>
          <w:highlight w:val="none"/>
        </w:rPr>
        <w:t>注：另册。</w:t>
      </w:r>
    </w:p>
    <w:p w14:paraId="129C2668">
      <w:pPr>
        <w:pStyle w:val="25"/>
        <w:spacing w:after="0" w:line="360" w:lineRule="auto"/>
        <w:ind w:left="-2" w:leftChars="-1" w:firstLine="960" w:firstLineChars="400"/>
        <w:rPr>
          <w:rFonts w:ascii="宋体"/>
          <w:color w:val="auto"/>
          <w:sz w:val="24"/>
          <w:highlight w:val="none"/>
        </w:rPr>
      </w:pPr>
    </w:p>
    <w:p w14:paraId="6EAD5E1D">
      <w:pPr>
        <w:pStyle w:val="3"/>
        <w:rPr>
          <w:rFonts w:hint="default"/>
          <w:color w:val="auto"/>
          <w:highlight w:val="none"/>
        </w:rPr>
      </w:pPr>
    </w:p>
    <w:p w14:paraId="1861DAE9">
      <w:pPr>
        <w:pStyle w:val="3"/>
        <w:jc w:val="center"/>
        <w:rPr>
          <w:rFonts w:hint="default"/>
          <w:color w:val="auto"/>
          <w:highlight w:val="none"/>
        </w:rPr>
      </w:pPr>
      <w:r>
        <w:rPr>
          <w:color w:val="auto"/>
          <w:sz w:val="24"/>
          <w:szCs w:val="24"/>
          <w:highlight w:val="none"/>
        </w:rPr>
        <w:br w:type="page"/>
      </w:r>
      <w:bookmarkStart w:id="70" w:name="_Toc20934"/>
      <w:r>
        <w:rPr>
          <w:color w:val="auto"/>
          <w:highlight w:val="none"/>
        </w:rPr>
        <w:t>第八章  最高投标限价</w:t>
      </w:r>
      <w:bookmarkEnd w:id="70"/>
    </w:p>
    <w:p w14:paraId="1D37A432">
      <w:pPr>
        <w:spacing w:line="600" w:lineRule="exact"/>
        <w:jc w:val="center"/>
        <w:rPr>
          <w:color w:val="auto"/>
          <w:sz w:val="24"/>
          <w:szCs w:val="24"/>
          <w:highlight w:val="none"/>
        </w:rPr>
      </w:pPr>
      <w:r>
        <w:rPr>
          <w:rFonts w:hint="eastAsia"/>
          <w:color w:val="auto"/>
          <w:sz w:val="24"/>
          <w:szCs w:val="24"/>
          <w:highlight w:val="none"/>
        </w:rPr>
        <w:t>详见《最高投标限价公布函》</w:t>
      </w:r>
    </w:p>
    <w:p w14:paraId="42A71D73">
      <w:pPr>
        <w:rPr>
          <w:color w:val="auto"/>
          <w:highlight w:val="none"/>
        </w:rPr>
      </w:pPr>
    </w:p>
    <w:p w14:paraId="24632841">
      <w:pPr>
        <w:rPr>
          <w:color w:val="auto"/>
          <w:highlight w:val="none"/>
        </w:rPr>
      </w:pPr>
    </w:p>
    <w:sectPr>
      <w:pgSz w:w="11905" w:h="16838"/>
      <w:pgMar w:top="1440" w:right="1633" w:bottom="1440" w:left="1633" w:header="850" w:footer="907" w:gutter="0"/>
      <w:pgNumType w:fmt="decimal"/>
      <w:cols w:space="0" w:num="1"/>
      <w:titlePg/>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5B1D6">
    <w:pPr>
      <w:pStyle w:val="17"/>
      <w:ind w:firstLine="392"/>
      <w:jc w:val="right"/>
      <w:rPr>
        <w:rStyle w:val="31"/>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65872">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465872">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E0C12">
    <w:pPr>
      <w:pStyle w:val="17"/>
      <w:ind w:firstLine="392"/>
      <w:rPr>
        <w:rStyle w:val="31"/>
      </w:rPr>
    </w:pPr>
    <w:r>
      <w:fldChar w:fldCharType="begin"/>
    </w:r>
    <w:r>
      <w:rPr>
        <w:rStyle w:val="31"/>
      </w:rPr>
      <w:instrText xml:space="preserve">PAGE  </w:instrText>
    </w:r>
    <w:r>
      <w:fldChar w:fldCharType="separate"/>
    </w:r>
    <w:r>
      <w:rPr>
        <w:rStyle w:val="31"/>
        <w:rFonts w:hint="eastAsia"/>
      </w:rPr>
      <w:t>一</w:t>
    </w:r>
    <w:r>
      <w:rPr>
        <w:rStyle w:val="31"/>
      </w:rPr>
      <w:t>–2</w:t>
    </w:r>
    <w:r>
      <w:fldChar w:fldCharType="end"/>
    </w:r>
  </w:p>
  <w:p w14:paraId="26795A78">
    <w:pPr>
      <w:pStyle w:val="17"/>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7073E">
    <w:pPr>
      <w:pStyle w:val="17"/>
      <w:ind w:firstLine="39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3F2A4">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63F2A4">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CEE3">
    <w:pPr>
      <w:pStyle w:val="17"/>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E5BF41">
                          <w:pPr>
                            <w:pStyle w:val="17"/>
                            <w:jc w:val="center"/>
                            <w:rPr>
                              <w:rStyle w:val="31"/>
                            </w:rPr>
                          </w:pPr>
                          <w:r>
                            <w:fldChar w:fldCharType="begin"/>
                          </w:r>
                          <w:r>
                            <w:rPr>
                              <w:rStyle w:val="31"/>
                            </w:rPr>
                            <w:instrText xml:space="preserve">PAGE  </w:instrText>
                          </w:r>
                          <w:r>
                            <w:fldChar w:fldCharType="separate"/>
                          </w:r>
                          <w:r>
                            <w:rPr>
                              <w:rStyle w:val="31"/>
                            </w:rPr>
                            <w:t>61</w:t>
                          </w:r>
                          <w:r>
                            <w:fldChar w:fldCharType="end"/>
                          </w:r>
                        </w:p>
                        <w:p w14:paraId="5900A3EC">
                          <w:pPr>
                            <w:pStyle w:val="17"/>
                            <w:ind w:left="-4410" w:leftChars="-2100" w:right="-4439" w:rightChars="-2114"/>
                            <w:rPr>
                              <w:rStyle w:val="31"/>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5cC/M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FtQ5c4d8ctTvz888f515/z7+8E&#10;fShQH6DGvLuAmWn44Adcm9kP6My8BxVt/iIjgnGU93SRVw6JiPxotVytKgwJjM0XxGdPz0OE9FF6&#10;S7LR0IjzK7Ly42dIY+qckqs5f6uNKTM07i8HYmYPy72PPWYrDbthIrTz7Qn59Dj6hjrcdErMJ4fK&#10;5i2ZjTgbu8nINSC8PyQsXPrJqCPUVAznVBhNO5UX4fm9ZD39R5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OXAvzCAQAAjwMAAA4AAAAAAAAAAQAgAAAAHgEAAGRycy9lMm9Eb2MueG1sUEsF&#10;BgAAAAAGAAYAWQEAAFIFAAAAAA==&#10;">
              <v:fill on="f" focussize="0,0"/>
              <v:stroke on="f"/>
              <v:imagedata o:title=""/>
              <o:lock v:ext="edit" aspectratio="f"/>
              <v:textbox inset="0mm,0mm,0mm,0mm" style="mso-fit-shape-to-text:t;">
                <w:txbxContent>
                  <w:p w14:paraId="0FE5BF41">
                    <w:pPr>
                      <w:pStyle w:val="17"/>
                      <w:jc w:val="center"/>
                      <w:rPr>
                        <w:rStyle w:val="31"/>
                      </w:rPr>
                    </w:pPr>
                    <w:r>
                      <w:fldChar w:fldCharType="begin"/>
                    </w:r>
                    <w:r>
                      <w:rPr>
                        <w:rStyle w:val="31"/>
                      </w:rPr>
                      <w:instrText xml:space="preserve">PAGE  </w:instrText>
                    </w:r>
                    <w:r>
                      <w:fldChar w:fldCharType="separate"/>
                    </w:r>
                    <w:r>
                      <w:rPr>
                        <w:rStyle w:val="31"/>
                      </w:rPr>
                      <w:t>61</w:t>
                    </w:r>
                    <w:r>
                      <w:fldChar w:fldCharType="end"/>
                    </w:r>
                  </w:p>
                  <w:p w14:paraId="5900A3EC">
                    <w:pPr>
                      <w:pStyle w:val="17"/>
                      <w:ind w:left="-4410" w:leftChars="-2100" w:right="-4439" w:rightChars="-2114"/>
                      <w:rPr>
                        <w:rStyle w:val="31"/>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66292">
    <w:pPr>
      <w:pStyle w:val="17"/>
      <w:framePr w:wrap="around" w:vAnchor="text" w:hAnchor="margin" w:xAlign="outside" w:y="1"/>
      <w:rPr>
        <w:rStyle w:val="31"/>
      </w:rPr>
    </w:pPr>
    <w:r>
      <w:fldChar w:fldCharType="begin"/>
    </w:r>
    <w:r>
      <w:rPr>
        <w:rStyle w:val="31"/>
      </w:rPr>
      <w:instrText xml:space="preserve">PAGE  </w:instrText>
    </w:r>
    <w:r>
      <w:fldChar w:fldCharType="separate"/>
    </w:r>
    <w:r>
      <w:rPr>
        <w:rStyle w:val="31"/>
        <w:rFonts w:hint="eastAsia"/>
      </w:rPr>
      <w:t>一</w:t>
    </w:r>
    <w:r>
      <w:rPr>
        <w:rStyle w:val="31"/>
      </w:rPr>
      <w:t>–2</w:t>
    </w:r>
    <w:r>
      <w:fldChar w:fldCharType="end"/>
    </w:r>
  </w:p>
  <w:p w14:paraId="37809757">
    <w:pPr>
      <w:pStyle w:val="17"/>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4FDA4">
    <w:pPr>
      <w:pStyle w:val="1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776773">
                          <w:pPr>
                            <w:pStyle w:val="17"/>
                            <w:jc w:val="center"/>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SNzGcMBAACP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5dvKXHc4sTPP3+cfz2eH74T&#10;9KFAfYAa8+4CZqbhvR9wbWY/oDPzHlS0+YuMCMZR3tNFXjkkIvKj1XK1qjAkMDZfEJ89PQ8R0gfp&#10;LclGQyPOr8jKj58gjalzSq7m/K02pszQuL8ciJk9LPc+9pitNOyGidDOtyfk0+PoG+pw0ykxHx0q&#10;m7dkNuJs7CYj14Dw7pCwcOkno45QUzGcU2E07VRehD/vJevpP9r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pI3MZwwEAAI8DAAAOAAAAAAAAAAEAIAAAAB4BAABkcnMvZTJvRG9jLnhtbFBL&#10;BQYAAAAABgAGAFkBAABTBQAAAAA=&#10;">
              <v:fill on="f" focussize="0,0"/>
              <v:stroke on="f"/>
              <v:imagedata o:title=""/>
              <o:lock v:ext="edit" aspectratio="f"/>
              <v:textbox inset="0mm,0mm,0mm,0mm" style="mso-fit-shape-to-text:t;">
                <w:txbxContent>
                  <w:p w14:paraId="7A776773">
                    <w:pPr>
                      <w:pStyle w:val="17"/>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48E49">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7F7B4">
                          <w:pPr>
                            <w:pStyle w:val="17"/>
                            <w:rPr>
                              <w:rStyle w:val="31"/>
                            </w:rPr>
                          </w:pPr>
                          <w:r>
                            <w:fldChar w:fldCharType="begin"/>
                          </w:r>
                          <w:r>
                            <w:rPr>
                              <w:rStyle w:val="31"/>
                            </w:rPr>
                            <w:instrText xml:space="preserve">PAGE  </w:instrText>
                          </w:r>
                          <w:r>
                            <w:fldChar w:fldCharType="separate"/>
                          </w:r>
                          <w:r>
                            <w:rPr>
                              <w:rStyle w:val="31"/>
                            </w:rPr>
                            <w:t>86</w:t>
                          </w:r>
                          <w:r>
                            <w:fldChar w:fldCharType="end"/>
                          </w:r>
                        </w:p>
                        <w:p w14:paraId="6018DDB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877F7B4">
                    <w:pPr>
                      <w:pStyle w:val="17"/>
                      <w:rPr>
                        <w:rStyle w:val="31"/>
                      </w:rPr>
                    </w:pPr>
                    <w:r>
                      <w:fldChar w:fldCharType="begin"/>
                    </w:r>
                    <w:r>
                      <w:rPr>
                        <w:rStyle w:val="31"/>
                      </w:rPr>
                      <w:instrText xml:space="preserve">PAGE  </w:instrText>
                    </w:r>
                    <w:r>
                      <w:fldChar w:fldCharType="separate"/>
                    </w:r>
                    <w:r>
                      <w:rPr>
                        <w:rStyle w:val="31"/>
                      </w:rPr>
                      <w:t>86</w:t>
                    </w:r>
                    <w:r>
                      <w:fldChar w:fldCharType="end"/>
                    </w:r>
                  </w:p>
                  <w:p w14:paraId="6018DDB8"/>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86D42">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72E1F4">
                          <w:pPr>
                            <w:pStyle w:val="17"/>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7CjRcIBAACP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ZyPXgPDmmLBw6SejTlBzMZxTYTTvVF6Ex/eS9fAfbf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wo0XCAQAAjwMAAA4AAAAAAAAAAQAgAAAAHgEAAGRycy9lMm9Eb2MueG1sUEsF&#10;BgAAAAAGAAYAWQEAAFIFAAAAAA==&#10;">
              <v:fill on="f" focussize="0,0"/>
              <v:stroke on="f"/>
              <v:imagedata o:title=""/>
              <o:lock v:ext="edit" aspectratio="f"/>
              <v:textbox inset="0mm,0mm,0mm,0mm" style="mso-fit-shape-to-text:t;">
                <w:txbxContent>
                  <w:p w14:paraId="3172E1F4">
                    <w:pPr>
                      <w:pStyle w:val="17"/>
                    </w:pPr>
                    <w:r>
                      <w:rPr>
                        <w:rFonts w:hint="eastAsia"/>
                      </w:rPr>
                      <w:fldChar w:fldCharType="begin"/>
                    </w:r>
                    <w:r>
                      <w:rPr>
                        <w:rFonts w:hint="eastAsia"/>
                      </w:rPr>
                      <w:instrText xml:space="preserve"> PAGE  \* MERGEFORMAT </w:instrText>
                    </w:r>
                    <w:r>
                      <w:rPr>
                        <w:rFonts w:hint="eastAsia"/>
                      </w:rPr>
                      <w:fldChar w:fldCharType="separate"/>
                    </w:r>
                    <w:r>
                      <w:t>62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8883">
    <w:pPr>
      <w:pStyle w:val="18"/>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25CB1">
    <w:pPr>
      <w:pStyle w:val="18"/>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706F0">
    <w:pPr>
      <w:pStyle w:val="1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DF452">
    <w:pPr>
      <w:pStyle w:val="18"/>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8F352">
    <w:pPr>
      <w:pStyle w:val="18"/>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F2C51">
    <w:pPr>
      <w:pStyle w:val="18"/>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0FF63">
    <w:pPr>
      <w:pStyle w:val="18"/>
      <w:pBdr>
        <w:bottom w:val="none" w:color="auto" w:sz="0" w:space="0"/>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57F57">
    <w:pPr>
      <w:pStyle w:val="18"/>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86A93"/>
    <w:multiLevelType w:val="singleLevel"/>
    <w:tmpl w:val="94886A93"/>
    <w:lvl w:ilvl="0" w:tentative="0">
      <w:start w:val="1"/>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00000009"/>
    <w:multiLevelType w:val="multilevel"/>
    <w:tmpl w:val="000000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mMzgwMTQ3ZGUxYzJhNDcwZDJiZjVlMDA1ZDk2ZDIifQ=="/>
  </w:docVars>
  <w:rsids>
    <w:rsidRoot w:val="18691B45"/>
    <w:rsid w:val="00012143"/>
    <w:rsid w:val="0012367E"/>
    <w:rsid w:val="001A07DA"/>
    <w:rsid w:val="001D7D62"/>
    <w:rsid w:val="003B49AE"/>
    <w:rsid w:val="006D1F01"/>
    <w:rsid w:val="007742EC"/>
    <w:rsid w:val="00825D35"/>
    <w:rsid w:val="00833D65"/>
    <w:rsid w:val="00900B41"/>
    <w:rsid w:val="009D0EA3"/>
    <w:rsid w:val="00A179F6"/>
    <w:rsid w:val="00A55C49"/>
    <w:rsid w:val="00B43058"/>
    <w:rsid w:val="00B93B8C"/>
    <w:rsid w:val="00C00249"/>
    <w:rsid w:val="00C558E9"/>
    <w:rsid w:val="00C64F76"/>
    <w:rsid w:val="00D022D0"/>
    <w:rsid w:val="00D3263A"/>
    <w:rsid w:val="00D36F05"/>
    <w:rsid w:val="00D52326"/>
    <w:rsid w:val="00D9637F"/>
    <w:rsid w:val="00E23DEF"/>
    <w:rsid w:val="00E32D5A"/>
    <w:rsid w:val="00EB7AAD"/>
    <w:rsid w:val="00FA2F8E"/>
    <w:rsid w:val="01011432"/>
    <w:rsid w:val="01044209"/>
    <w:rsid w:val="011E1CE9"/>
    <w:rsid w:val="01233A9E"/>
    <w:rsid w:val="014545C7"/>
    <w:rsid w:val="016E22E2"/>
    <w:rsid w:val="01A65774"/>
    <w:rsid w:val="01AE3CD0"/>
    <w:rsid w:val="01AF2D2F"/>
    <w:rsid w:val="01B77A9C"/>
    <w:rsid w:val="01D60B10"/>
    <w:rsid w:val="01D6466C"/>
    <w:rsid w:val="01FA208E"/>
    <w:rsid w:val="01FD609D"/>
    <w:rsid w:val="0201310D"/>
    <w:rsid w:val="021E7FE8"/>
    <w:rsid w:val="023B5073"/>
    <w:rsid w:val="028431EE"/>
    <w:rsid w:val="02977EDC"/>
    <w:rsid w:val="02BC1AB4"/>
    <w:rsid w:val="02DE3CC3"/>
    <w:rsid w:val="02F02146"/>
    <w:rsid w:val="02F76F90"/>
    <w:rsid w:val="03031C16"/>
    <w:rsid w:val="032F04D8"/>
    <w:rsid w:val="03394EB3"/>
    <w:rsid w:val="033E7560"/>
    <w:rsid w:val="037E4FBC"/>
    <w:rsid w:val="038A1BB2"/>
    <w:rsid w:val="038E2CE0"/>
    <w:rsid w:val="039E740C"/>
    <w:rsid w:val="03AE7BFE"/>
    <w:rsid w:val="03B56C10"/>
    <w:rsid w:val="03B80CBC"/>
    <w:rsid w:val="03C431E6"/>
    <w:rsid w:val="03E07A24"/>
    <w:rsid w:val="03F86B1C"/>
    <w:rsid w:val="043259FC"/>
    <w:rsid w:val="04970EC6"/>
    <w:rsid w:val="04A40B73"/>
    <w:rsid w:val="04BA2023"/>
    <w:rsid w:val="04EC5C54"/>
    <w:rsid w:val="04F03C97"/>
    <w:rsid w:val="05144275"/>
    <w:rsid w:val="052150A3"/>
    <w:rsid w:val="054E7C7B"/>
    <w:rsid w:val="05544226"/>
    <w:rsid w:val="05A131E3"/>
    <w:rsid w:val="05CC0E93"/>
    <w:rsid w:val="0625480B"/>
    <w:rsid w:val="06334763"/>
    <w:rsid w:val="06514C09"/>
    <w:rsid w:val="06762343"/>
    <w:rsid w:val="069872E2"/>
    <w:rsid w:val="06C51A4E"/>
    <w:rsid w:val="06DF5E77"/>
    <w:rsid w:val="06ED4932"/>
    <w:rsid w:val="07041C7C"/>
    <w:rsid w:val="07215A6F"/>
    <w:rsid w:val="073661CB"/>
    <w:rsid w:val="07506F71"/>
    <w:rsid w:val="07577FFE"/>
    <w:rsid w:val="0768220B"/>
    <w:rsid w:val="076E6A24"/>
    <w:rsid w:val="078761D7"/>
    <w:rsid w:val="07895A92"/>
    <w:rsid w:val="078D3A1F"/>
    <w:rsid w:val="07A019A5"/>
    <w:rsid w:val="083B225D"/>
    <w:rsid w:val="083D5264"/>
    <w:rsid w:val="0857253A"/>
    <w:rsid w:val="088272FC"/>
    <w:rsid w:val="08931509"/>
    <w:rsid w:val="08AD1D28"/>
    <w:rsid w:val="08B70308"/>
    <w:rsid w:val="08BB45BC"/>
    <w:rsid w:val="08DB3834"/>
    <w:rsid w:val="08E1637C"/>
    <w:rsid w:val="08E368D7"/>
    <w:rsid w:val="09135B08"/>
    <w:rsid w:val="0922463B"/>
    <w:rsid w:val="09364906"/>
    <w:rsid w:val="096719C9"/>
    <w:rsid w:val="09727371"/>
    <w:rsid w:val="09850A0C"/>
    <w:rsid w:val="098736D2"/>
    <w:rsid w:val="09AF1858"/>
    <w:rsid w:val="09C94AB7"/>
    <w:rsid w:val="09DC47EA"/>
    <w:rsid w:val="09EE1E07"/>
    <w:rsid w:val="0A0A57FB"/>
    <w:rsid w:val="0A1100AE"/>
    <w:rsid w:val="0A140843"/>
    <w:rsid w:val="0A2763AD"/>
    <w:rsid w:val="0A2C0F15"/>
    <w:rsid w:val="0A4D7496"/>
    <w:rsid w:val="0A6054E6"/>
    <w:rsid w:val="0A7F4639"/>
    <w:rsid w:val="0A801619"/>
    <w:rsid w:val="0A925106"/>
    <w:rsid w:val="0AB9401C"/>
    <w:rsid w:val="0ACF434F"/>
    <w:rsid w:val="0AE20526"/>
    <w:rsid w:val="0AFD0EBC"/>
    <w:rsid w:val="0B3F7726"/>
    <w:rsid w:val="0B446D2F"/>
    <w:rsid w:val="0B634B20"/>
    <w:rsid w:val="0B653142"/>
    <w:rsid w:val="0B683CDE"/>
    <w:rsid w:val="0BBE4B1D"/>
    <w:rsid w:val="0BC82E73"/>
    <w:rsid w:val="0BE1258C"/>
    <w:rsid w:val="0BE402D8"/>
    <w:rsid w:val="0BF036A0"/>
    <w:rsid w:val="0C154D0A"/>
    <w:rsid w:val="0C5F656B"/>
    <w:rsid w:val="0C786EFF"/>
    <w:rsid w:val="0C961555"/>
    <w:rsid w:val="0CD1706B"/>
    <w:rsid w:val="0CDA0A12"/>
    <w:rsid w:val="0CE0339C"/>
    <w:rsid w:val="0D1575D2"/>
    <w:rsid w:val="0D21274C"/>
    <w:rsid w:val="0D556D8D"/>
    <w:rsid w:val="0D6E26AA"/>
    <w:rsid w:val="0D987429"/>
    <w:rsid w:val="0DE27833"/>
    <w:rsid w:val="0DE45DFB"/>
    <w:rsid w:val="0DE6032D"/>
    <w:rsid w:val="0DFF4F4B"/>
    <w:rsid w:val="0E323B12"/>
    <w:rsid w:val="0E4312DC"/>
    <w:rsid w:val="0E6179B4"/>
    <w:rsid w:val="0E663461"/>
    <w:rsid w:val="0EA77ABC"/>
    <w:rsid w:val="0EAF5A70"/>
    <w:rsid w:val="0EBC70A4"/>
    <w:rsid w:val="0EC3457F"/>
    <w:rsid w:val="0EE53BA9"/>
    <w:rsid w:val="0EFA4D2B"/>
    <w:rsid w:val="0F751969"/>
    <w:rsid w:val="0F7A6146"/>
    <w:rsid w:val="0F9F69E6"/>
    <w:rsid w:val="0FE60171"/>
    <w:rsid w:val="0FEB4237"/>
    <w:rsid w:val="104B091B"/>
    <w:rsid w:val="10627B77"/>
    <w:rsid w:val="10790FE5"/>
    <w:rsid w:val="10AD6EE0"/>
    <w:rsid w:val="10B77D5F"/>
    <w:rsid w:val="10C36F58"/>
    <w:rsid w:val="10C4382B"/>
    <w:rsid w:val="10CD23C8"/>
    <w:rsid w:val="10E568E6"/>
    <w:rsid w:val="10E82B6B"/>
    <w:rsid w:val="10E86A9D"/>
    <w:rsid w:val="10F95BF0"/>
    <w:rsid w:val="10FC5772"/>
    <w:rsid w:val="110A60E1"/>
    <w:rsid w:val="1146358C"/>
    <w:rsid w:val="114F61E9"/>
    <w:rsid w:val="116C1408"/>
    <w:rsid w:val="118045F5"/>
    <w:rsid w:val="119360D6"/>
    <w:rsid w:val="11AC0F46"/>
    <w:rsid w:val="11BF511D"/>
    <w:rsid w:val="11EA75D6"/>
    <w:rsid w:val="1236522F"/>
    <w:rsid w:val="124D097B"/>
    <w:rsid w:val="125A4C9C"/>
    <w:rsid w:val="126530E1"/>
    <w:rsid w:val="126D4B79"/>
    <w:rsid w:val="12920C39"/>
    <w:rsid w:val="12A57441"/>
    <w:rsid w:val="12CF2EB1"/>
    <w:rsid w:val="12E47DB7"/>
    <w:rsid w:val="12EA441C"/>
    <w:rsid w:val="138274AF"/>
    <w:rsid w:val="13980163"/>
    <w:rsid w:val="13B567D8"/>
    <w:rsid w:val="13B92958"/>
    <w:rsid w:val="13D56DB2"/>
    <w:rsid w:val="13E96481"/>
    <w:rsid w:val="13F33480"/>
    <w:rsid w:val="13F50A0E"/>
    <w:rsid w:val="145002AE"/>
    <w:rsid w:val="14520854"/>
    <w:rsid w:val="14946D53"/>
    <w:rsid w:val="149A1732"/>
    <w:rsid w:val="14E31122"/>
    <w:rsid w:val="14FD1032"/>
    <w:rsid w:val="15211C4B"/>
    <w:rsid w:val="15DE1964"/>
    <w:rsid w:val="15EB6D1A"/>
    <w:rsid w:val="15FD6452"/>
    <w:rsid w:val="1610114A"/>
    <w:rsid w:val="162547EA"/>
    <w:rsid w:val="1626576B"/>
    <w:rsid w:val="16726F3A"/>
    <w:rsid w:val="16797F90"/>
    <w:rsid w:val="16C86822"/>
    <w:rsid w:val="16DF377D"/>
    <w:rsid w:val="16F41830"/>
    <w:rsid w:val="17626C76"/>
    <w:rsid w:val="17771FF6"/>
    <w:rsid w:val="177D07FE"/>
    <w:rsid w:val="178A2E0D"/>
    <w:rsid w:val="178B0334"/>
    <w:rsid w:val="179E7583"/>
    <w:rsid w:val="179F076E"/>
    <w:rsid w:val="17E70F2A"/>
    <w:rsid w:val="182E6B59"/>
    <w:rsid w:val="18431A11"/>
    <w:rsid w:val="186146C9"/>
    <w:rsid w:val="18691B45"/>
    <w:rsid w:val="187D753B"/>
    <w:rsid w:val="187F5606"/>
    <w:rsid w:val="18820C52"/>
    <w:rsid w:val="188624F1"/>
    <w:rsid w:val="18A271B7"/>
    <w:rsid w:val="18BF5A03"/>
    <w:rsid w:val="193208CA"/>
    <w:rsid w:val="198729C4"/>
    <w:rsid w:val="19873C2B"/>
    <w:rsid w:val="199D4EE4"/>
    <w:rsid w:val="19AD7F51"/>
    <w:rsid w:val="19AF7825"/>
    <w:rsid w:val="19B33448"/>
    <w:rsid w:val="19E505A5"/>
    <w:rsid w:val="1A0933AF"/>
    <w:rsid w:val="1A111CB4"/>
    <w:rsid w:val="1A591B56"/>
    <w:rsid w:val="1A764E35"/>
    <w:rsid w:val="1A8C3594"/>
    <w:rsid w:val="1A9A04D5"/>
    <w:rsid w:val="1AAC0209"/>
    <w:rsid w:val="1AB947E4"/>
    <w:rsid w:val="1ABB64DF"/>
    <w:rsid w:val="1ABF00EC"/>
    <w:rsid w:val="1AF123A4"/>
    <w:rsid w:val="1B010022"/>
    <w:rsid w:val="1B0C4116"/>
    <w:rsid w:val="1B1F06A1"/>
    <w:rsid w:val="1B8D4CDD"/>
    <w:rsid w:val="1B9868CE"/>
    <w:rsid w:val="1BA97566"/>
    <w:rsid w:val="1BB3140A"/>
    <w:rsid w:val="1BCB7AA5"/>
    <w:rsid w:val="1BDD4B1E"/>
    <w:rsid w:val="1BF81957"/>
    <w:rsid w:val="1C23690A"/>
    <w:rsid w:val="1C252021"/>
    <w:rsid w:val="1C44694B"/>
    <w:rsid w:val="1C586E96"/>
    <w:rsid w:val="1C746B04"/>
    <w:rsid w:val="1CB64332"/>
    <w:rsid w:val="1CC50728"/>
    <w:rsid w:val="1CD75A11"/>
    <w:rsid w:val="1D0D2626"/>
    <w:rsid w:val="1D126A49"/>
    <w:rsid w:val="1D3D13F5"/>
    <w:rsid w:val="1D453489"/>
    <w:rsid w:val="1D6A0633"/>
    <w:rsid w:val="1D70306D"/>
    <w:rsid w:val="1DA57293"/>
    <w:rsid w:val="1DB46302"/>
    <w:rsid w:val="1DB65EEF"/>
    <w:rsid w:val="1DC35F95"/>
    <w:rsid w:val="1DD00905"/>
    <w:rsid w:val="1DD957B9"/>
    <w:rsid w:val="1DF975A6"/>
    <w:rsid w:val="1DFD27BC"/>
    <w:rsid w:val="1DFF2796"/>
    <w:rsid w:val="1E053DEB"/>
    <w:rsid w:val="1E4A5F16"/>
    <w:rsid w:val="1E686971"/>
    <w:rsid w:val="1E9D0594"/>
    <w:rsid w:val="1F5A5A7E"/>
    <w:rsid w:val="1F6F425A"/>
    <w:rsid w:val="1F78690B"/>
    <w:rsid w:val="1F881244"/>
    <w:rsid w:val="1F990211"/>
    <w:rsid w:val="1FAF4A23"/>
    <w:rsid w:val="20151F6D"/>
    <w:rsid w:val="2030319F"/>
    <w:rsid w:val="205139D9"/>
    <w:rsid w:val="20691349"/>
    <w:rsid w:val="2071613A"/>
    <w:rsid w:val="207634FB"/>
    <w:rsid w:val="20765354"/>
    <w:rsid w:val="208C08C0"/>
    <w:rsid w:val="209414F1"/>
    <w:rsid w:val="21020B82"/>
    <w:rsid w:val="211508B6"/>
    <w:rsid w:val="21374CD0"/>
    <w:rsid w:val="215A451A"/>
    <w:rsid w:val="216B2BCB"/>
    <w:rsid w:val="219043E0"/>
    <w:rsid w:val="219E2991"/>
    <w:rsid w:val="21F515F0"/>
    <w:rsid w:val="22010B4F"/>
    <w:rsid w:val="223C0D99"/>
    <w:rsid w:val="2246751B"/>
    <w:rsid w:val="224E136A"/>
    <w:rsid w:val="225E5711"/>
    <w:rsid w:val="226A4C31"/>
    <w:rsid w:val="22A91AE4"/>
    <w:rsid w:val="22AC349C"/>
    <w:rsid w:val="22B12860"/>
    <w:rsid w:val="22BB4743"/>
    <w:rsid w:val="22BE3D16"/>
    <w:rsid w:val="22DD3655"/>
    <w:rsid w:val="22FF194A"/>
    <w:rsid w:val="232C1EE7"/>
    <w:rsid w:val="23491784"/>
    <w:rsid w:val="235002CB"/>
    <w:rsid w:val="236C0430"/>
    <w:rsid w:val="237C0FF6"/>
    <w:rsid w:val="2393640A"/>
    <w:rsid w:val="23C149B1"/>
    <w:rsid w:val="23C245F9"/>
    <w:rsid w:val="23E26A49"/>
    <w:rsid w:val="23F76D19"/>
    <w:rsid w:val="24042314"/>
    <w:rsid w:val="242330D3"/>
    <w:rsid w:val="242A0B1C"/>
    <w:rsid w:val="24521931"/>
    <w:rsid w:val="245711E5"/>
    <w:rsid w:val="24635DDC"/>
    <w:rsid w:val="24772334"/>
    <w:rsid w:val="24BE361B"/>
    <w:rsid w:val="24C0322E"/>
    <w:rsid w:val="24EC5DD1"/>
    <w:rsid w:val="24EF675B"/>
    <w:rsid w:val="25494E0C"/>
    <w:rsid w:val="255D282B"/>
    <w:rsid w:val="25802C27"/>
    <w:rsid w:val="25A15712"/>
    <w:rsid w:val="25AA68F3"/>
    <w:rsid w:val="25F43166"/>
    <w:rsid w:val="260B2287"/>
    <w:rsid w:val="26155209"/>
    <w:rsid w:val="265E23EA"/>
    <w:rsid w:val="266906B5"/>
    <w:rsid w:val="267E6EFD"/>
    <w:rsid w:val="26C1431F"/>
    <w:rsid w:val="26CD7ABD"/>
    <w:rsid w:val="26D27CC3"/>
    <w:rsid w:val="27041BFB"/>
    <w:rsid w:val="273A72C8"/>
    <w:rsid w:val="274E68CF"/>
    <w:rsid w:val="27537CF7"/>
    <w:rsid w:val="27554102"/>
    <w:rsid w:val="27693709"/>
    <w:rsid w:val="27856069"/>
    <w:rsid w:val="27992516"/>
    <w:rsid w:val="27C27631"/>
    <w:rsid w:val="27CE5C62"/>
    <w:rsid w:val="27D74B17"/>
    <w:rsid w:val="27E47234"/>
    <w:rsid w:val="28127295"/>
    <w:rsid w:val="282A79FE"/>
    <w:rsid w:val="28344D9D"/>
    <w:rsid w:val="283F26BC"/>
    <w:rsid w:val="285C14C0"/>
    <w:rsid w:val="28667C49"/>
    <w:rsid w:val="2873691C"/>
    <w:rsid w:val="28871836"/>
    <w:rsid w:val="28883B68"/>
    <w:rsid w:val="288A6366"/>
    <w:rsid w:val="288B5901"/>
    <w:rsid w:val="28924EE2"/>
    <w:rsid w:val="28C17575"/>
    <w:rsid w:val="28C20802"/>
    <w:rsid w:val="28C23E77"/>
    <w:rsid w:val="28CD24DA"/>
    <w:rsid w:val="28D842A6"/>
    <w:rsid w:val="28E30464"/>
    <w:rsid w:val="294102A7"/>
    <w:rsid w:val="295A2A7A"/>
    <w:rsid w:val="29705C05"/>
    <w:rsid w:val="297156B4"/>
    <w:rsid w:val="298962E5"/>
    <w:rsid w:val="29900C39"/>
    <w:rsid w:val="29A2742D"/>
    <w:rsid w:val="29C12935"/>
    <w:rsid w:val="29C6285B"/>
    <w:rsid w:val="29E43C61"/>
    <w:rsid w:val="29EF3C6E"/>
    <w:rsid w:val="2A191785"/>
    <w:rsid w:val="2A292D24"/>
    <w:rsid w:val="2A297180"/>
    <w:rsid w:val="2A587A65"/>
    <w:rsid w:val="2A9309C8"/>
    <w:rsid w:val="2ABA427C"/>
    <w:rsid w:val="2ABF1A03"/>
    <w:rsid w:val="2AC670C5"/>
    <w:rsid w:val="2B550223"/>
    <w:rsid w:val="2B9920E3"/>
    <w:rsid w:val="2BDB26FC"/>
    <w:rsid w:val="2BE459DF"/>
    <w:rsid w:val="2BE5357A"/>
    <w:rsid w:val="2BF80E44"/>
    <w:rsid w:val="2C136E31"/>
    <w:rsid w:val="2C3D5C6A"/>
    <w:rsid w:val="2C7371F6"/>
    <w:rsid w:val="2C834A28"/>
    <w:rsid w:val="2C956D4E"/>
    <w:rsid w:val="2C9A4365"/>
    <w:rsid w:val="2CC37098"/>
    <w:rsid w:val="2CC57B01"/>
    <w:rsid w:val="2D49011B"/>
    <w:rsid w:val="2D6A3D37"/>
    <w:rsid w:val="2D6C39C1"/>
    <w:rsid w:val="2D910300"/>
    <w:rsid w:val="2DD9084D"/>
    <w:rsid w:val="2DE51610"/>
    <w:rsid w:val="2DF61A6F"/>
    <w:rsid w:val="2DFE0923"/>
    <w:rsid w:val="2E020A28"/>
    <w:rsid w:val="2E2800D5"/>
    <w:rsid w:val="2E312AA7"/>
    <w:rsid w:val="2E317F48"/>
    <w:rsid w:val="2E4B1DBB"/>
    <w:rsid w:val="2E4E59E5"/>
    <w:rsid w:val="2E7A591C"/>
    <w:rsid w:val="2E8E1CA7"/>
    <w:rsid w:val="2EB13084"/>
    <w:rsid w:val="2EC607B8"/>
    <w:rsid w:val="2EF87518"/>
    <w:rsid w:val="2F25260C"/>
    <w:rsid w:val="2F3C7955"/>
    <w:rsid w:val="2F475651"/>
    <w:rsid w:val="2F4D1B62"/>
    <w:rsid w:val="2F5702EB"/>
    <w:rsid w:val="2F6F6199"/>
    <w:rsid w:val="2F805A94"/>
    <w:rsid w:val="2F954758"/>
    <w:rsid w:val="2FAC20D0"/>
    <w:rsid w:val="2FBA0100"/>
    <w:rsid w:val="2FD3275F"/>
    <w:rsid w:val="2FD41991"/>
    <w:rsid w:val="2FD656B4"/>
    <w:rsid w:val="2FE204FD"/>
    <w:rsid w:val="2FF51C98"/>
    <w:rsid w:val="300761B5"/>
    <w:rsid w:val="306E7B85"/>
    <w:rsid w:val="30761A27"/>
    <w:rsid w:val="308B6B06"/>
    <w:rsid w:val="308E3855"/>
    <w:rsid w:val="30A9726C"/>
    <w:rsid w:val="30B80CAC"/>
    <w:rsid w:val="30C145B6"/>
    <w:rsid w:val="30F20D81"/>
    <w:rsid w:val="30FA7AC8"/>
    <w:rsid w:val="3112096E"/>
    <w:rsid w:val="313E79B5"/>
    <w:rsid w:val="315E56FD"/>
    <w:rsid w:val="316310AA"/>
    <w:rsid w:val="31892CC4"/>
    <w:rsid w:val="318F7A31"/>
    <w:rsid w:val="31A812D2"/>
    <w:rsid w:val="31AE5CB7"/>
    <w:rsid w:val="31B36502"/>
    <w:rsid w:val="31B61C41"/>
    <w:rsid w:val="31DE61E8"/>
    <w:rsid w:val="32286B2B"/>
    <w:rsid w:val="325B4596"/>
    <w:rsid w:val="32A45F3D"/>
    <w:rsid w:val="32AE7C62"/>
    <w:rsid w:val="32B77AF6"/>
    <w:rsid w:val="32CB7988"/>
    <w:rsid w:val="32CF7AE2"/>
    <w:rsid w:val="32DC383B"/>
    <w:rsid w:val="32EB3B6C"/>
    <w:rsid w:val="33105381"/>
    <w:rsid w:val="332B3F69"/>
    <w:rsid w:val="333F7A14"/>
    <w:rsid w:val="337A6C9E"/>
    <w:rsid w:val="339935C8"/>
    <w:rsid w:val="33BD6CC3"/>
    <w:rsid w:val="33D25BF5"/>
    <w:rsid w:val="33E12499"/>
    <w:rsid w:val="341449FD"/>
    <w:rsid w:val="34196DEC"/>
    <w:rsid w:val="34313801"/>
    <w:rsid w:val="348778C5"/>
    <w:rsid w:val="34B61CCD"/>
    <w:rsid w:val="34DB376C"/>
    <w:rsid w:val="34EE524E"/>
    <w:rsid w:val="354A7C83"/>
    <w:rsid w:val="35773495"/>
    <w:rsid w:val="357D4824"/>
    <w:rsid w:val="358F4C83"/>
    <w:rsid w:val="359D0A22"/>
    <w:rsid w:val="35A40002"/>
    <w:rsid w:val="35A72B84"/>
    <w:rsid w:val="35B037B8"/>
    <w:rsid w:val="35B258E6"/>
    <w:rsid w:val="35D22DC1"/>
    <w:rsid w:val="35F962CC"/>
    <w:rsid w:val="35FB7A35"/>
    <w:rsid w:val="360215F7"/>
    <w:rsid w:val="3606739B"/>
    <w:rsid w:val="3617399F"/>
    <w:rsid w:val="36266C69"/>
    <w:rsid w:val="36321AB2"/>
    <w:rsid w:val="363650FE"/>
    <w:rsid w:val="36453593"/>
    <w:rsid w:val="367278A0"/>
    <w:rsid w:val="36783529"/>
    <w:rsid w:val="36784051"/>
    <w:rsid w:val="368220F2"/>
    <w:rsid w:val="36941E25"/>
    <w:rsid w:val="36B424C7"/>
    <w:rsid w:val="36BB634B"/>
    <w:rsid w:val="36E032BC"/>
    <w:rsid w:val="36E27742"/>
    <w:rsid w:val="36E440AD"/>
    <w:rsid w:val="36F56D67"/>
    <w:rsid w:val="37522919"/>
    <w:rsid w:val="377E062E"/>
    <w:rsid w:val="37991DE9"/>
    <w:rsid w:val="379B35BF"/>
    <w:rsid w:val="37B87D95"/>
    <w:rsid w:val="38084878"/>
    <w:rsid w:val="38156F95"/>
    <w:rsid w:val="382F7AF7"/>
    <w:rsid w:val="386341A5"/>
    <w:rsid w:val="388154A6"/>
    <w:rsid w:val="388163D9"/>
    <w:rsid w:val="38910D12"/>
    <w:rsid w:val="38B1239E"/>
    <w:rsid w:val="38B14C59"/>
    <w:rsid w:val="38B36EDA"/>
    <w:rsid w:val="38D02EDF"/>
    <w:rsid w:val="38D96E08"/>
    <w:rsid w:val="390239BE"/>
    <w:rsid w:val="390C204F"/>
    <w:rsid w:val="392477C9"/>
    <w:rsid w:val="3929719C"/>
    <w:rsid w:val="393500E5"/>
    <w:rsid w:val="394538AA"/>
    <w:rsid w:val="395F1248"/>
    <w:rsid w:val="39736B31"/>
    <w:rsid w:val="398C14D9"/>
    <w:rsid w:val="39C91F8E"/>
    <w:rsid w:val="39DC01CA"/>
    <w:rsid w:val="39EB6200"/>
    <w:rsid w:val="39FD52B5"/>
    <w:rsid w:val="3A0054D6"/>
    <w:rsid w:val="3A053765"/>
    <w:rsid w:val="3A06303A"/>
    <w:rsid w:val="3A43428E"/>
    <w:rsid w:val="3A500A23"/>
    <w:rsid w:val="3A5532A3"/>
    <w:rsid w:val="3A555D6F"/>
    <w:rsid w:val="3A6B3EB0"/>
    <w:rsid w:val="3A804B9A"/>
    <w:rsid w:val="3AAC3BE1"/>
    <w:rsid w:val="3AB4098F"/>
    <w:rsid w:val="3AC86541"/>
    <w:rsid w:val="3ACE5480"/>
    <w:rsid w:val="3ADF3F4E"/>
    <w:rsid w:val="3B056CDE"/>
    <w:rsid w:val="3B095BAB"/>
    <w:rsid w:val="3B147FDE"/>
    <w:rsid w:val="3B8714F7"/>
    <w:rsid w:val="3BA44CE2"/>
    <w:rsid w:val="3BAA5A51"/>
    <w:rsid w:val="3BDE289D"/>
    <w:rsid w:val="3BF5150F"/>
    <w:rsid w:val="3C0126E8"/>
    <w:rsid w:val="3C3400D5"/>
    <w:rsid w:val="3C543D8E"/>
    <w:rsid w:val="3C810789"/>
    <w:rsid w:val="3C905550"/>
    <w:rsid w:val="3CA414C6"/>
    <w:rsid w:val="3D334986"/>
    <w:rsid w:val="3D6B3717"/>
    <w:rsid w:val="3D6F6D49"/>
    <w:rsid w:val="3D987AD7"/>
    <w:rsid w:val="3DB24F03"/>
    <w:rsid w:val="3DCB6A74"/>
    <w:rsid w:val="3E682515"/>
    <w:rsid w:val="3E703177"/>
    <w:rsid w:val="3E7F160D"/>
    <w:rsid w:val="3E926BAB"/>
    <w:rsid w:val="3EBA1C33"/>
    <w:rsid w:val="3ED666C3"/>
    <w:rsid w:val="3EFC4A0B"/>
    <w:rsid w:val="3F214472"/>
    <w:rsid w:val="3F285800"/>
    <w:rsid w:val="3F653A05"/>
    <w:rsid w:val="3F6A5B1E"/>
    <w:rsid w:val="3F6D76B7"/>
    <w:rsid w:val="3F7D3D9E"/>
    <w:rsid w:val="3F7E3672"/>
    <w:rsid w:val="3FB02914"/>
    <w:rsid w:val="3FBF43B6"/>
    <w:rsid w:val="3FD046A9"/>
    <w:rsid w:val="3FD85478"/>
    <w:rsid w:val="400B75FC"/>
    <w:rsid w:val="40182376"/>
    <w:rsid w:val="40420E03"/>
    <w:rsid w:val="40B3559D"/>
    <w:rsid w:val="40B96AB0"/>
    <w:rsid w:val="40C357E1"/>
    <w:rsid w:val="40CB28E7"/>
    <w:rsid w:val="40E02836"/>
    <w:rsid w:val="415648A7"/>
    <w:rsid w:val="416D0FB0"/>
    <w:rsid w:val="4176520B"/>
    <w:rsid w:val="41AA4043"/>
    <w:rsid w:val="422D6AE6"/>
    <w:rsid w:val="424C6530"/>
    <w:rsid w:val="42707BEA"/>
    <w:rsid w:val="42713719"/>
    <w:rsid w:val="427C1DBE"/>
    <w:rsid w:val="42C817D4"/>
    <w:rsid w:val="42D737C5"/>
    <w:rsid w:val="42E46002"/>
    <w:rsid w:val="42E83C24"/>
    <w:rsid w:val="42F14AFA"/>
    <w:rsid w:val="42FC61B0"/>
    <w:rsid w:val="430B16C1"/>
    <w:rsid w:val="431A24ED"/>
    <w:rsid w:val="43452E25"/>
    <w:rsid w:val="436117D4"/>
    <w:rsid w:val="438352B1"/>
    <w:rsid w:val="43853221"/>
    <w:rsid w:val="43A01E09"/>
    <w:rsid w:val="43C024AB"/>
    <w:rsid w:val="43D9356D"/>
    <w:rsid w:val="43FB1735"/>
    <w:rsid w:val="44125A4F"/>
    <w:rsid w:val="441C6812"/>
    <w:rsid w:val="44230847"/>
    <w:rsid w:val="44253167"/>
    <w:rsid w:val="447D039C"/>
    <w:rsid w:val="4497636C"/>
    <w:rsid w:val="44C91833"/>
    <w:rsid w:val="44E07B24"/>
    <w:rsid w:val="44F468B0"/>
    <w:rsid w:val="451C1152"/>
    <w:rsid w:val="45235AC3"/>
    <w:rsid w:val="452A0524"/>
    <w:rsid w:val="454A55E8"/>
    <w:rsid w:val="45617644"/>
    <w:rsid w:val="45635565"/>
    <w:rsid w:val="4574179F"/>
    <w:rsid w:val="458F0387"/>
    <w:rsid w:val="459A4240"/>
    <w:rsid w:val="459E681C"/>
    <w:rsid w:val="45A65588"/>
    <w:rsid w:val="45B92357"/>
    <w:rsid w:val="45ED3300"/>
    <w:rsid w:val="45F25DBF"/>
    <w:rsid w:val="4629116B"/>
    <w:rsid w:val="46513FED"/>
    <w:rsid w:val="466B6926"/>
    <w:rsid w:val="46794B93"/>
    <w:rsid w:val="467F0332"/>
    <w:rsid w:val="468C6E45"/>
    <w:rsid w:val="4692697E"/>
    <w:rsid w:val="46D01742"/>
    <w:rsid w:val="4719497A"/>
    <w:rsid w:val="471C61F6"/>
    <w:rsid w:val="473A2575"/>
    <w:rsid w:val="47721D0E"/>
    <w:rsid w:val="477D15A8"/>
    <w:rsid w:val="477F442B"/>
    <w:rsid w:val="478163F5"/>
    <w:rsid w:val="47904FA0"/>
    <w:rsid w:val="479B1265"/>
    <w:rsid w:val="47AD10DD"/>
    <w:rsid w:val="47CF53B3"/>
    <w:rsid w:val="47D817FE"/>
    <w:rsid w:val="47F6293F"/>
    <w:rsid w:val="47FF698D"/>
    <w:rsid w:val="482329A8"/>
    <w:rsid w:val="48384D06"/>
    <w:rsid w:val="486A0C38"/>
    <w:rsid w:val="487B457C"/>
    <w:rsid w:val="488937B4"/>
    <w:rsid w:val="489D13C1"/>
    <w:rsid w:val="48E3695A"/>
    <w:rsid w:val="48E520AB"/>
    <w:rsid w:val="49267A8E"/>
    <w:rsid w:val="495711BC"/>
    <w:rsid w:val="49627B61"/>
    <w:rsid w:val="496E193F"/>
    <w:rsid w:val="49F337AF"/>
    <w:rsid w:val="4A2A5A2A"/>
    <w:rsid w:val="4A4A0D21"/>
    <w:rsid w:val="4A982AFD"/>
    <w:rsid w:val="4AA3632E"/>
    <w:rsid w:val="4AB87029"/>
    <w:rsid w:val="4ADB30B3"/>
    <w:rsid w:val="4AE729B3"/>
    <w:rsid w:val="4AF4454F"/>
    <w:rsid w:val="4B061F11"/>
    <w:rsid w:val="4B0E1D4E"/>
    <w:rsid w:val="4B425E9C"/>
    <w:rsid w:val="4B4E40D2"/>
    <w:rsid w:val="4B577B99"/>
    <w:rsid w:val="4B5C51AF"/>
    <w:rsid w:val="4B683B54"/>
    <w:rsid w:val="4B6C5846"/>
    <w:rsid w:val="4B6E3534"/>
    <w:rsid w:val="4B78366B"/>
    <w:rsid w:val="4B7F482B"/>
    <w:rsid w:val="4B867F1B"/>
    <w:rsid w:val="4B88753C"/>
    <w:rsid w:val="4B8D1999"/>
    <w:rsid w:val="4BB24DCF"/>
    <w:rsid w:val="4BCD7E5B"/>
    <w:rsid w:val="4BCE3924"/>
    <w:rsid w:val="4BF84921"/>
    <w:rsid w:val="4C147C6A"/>
    <w:rsid w:val="4C293D83"/>
    <w:rsid w:val="4C2A2BB8"/>
    <w:rsid w:val="4C59524B"/>
    <w:rsid w:val="4C704112"/>
    <w:rsid w:val="4C9C5C47"/>
    <w:rsid w:val="4CA57096"/>
    <w:rsid w:val="4CC535CC"/>
    <w:rsid w:val="4CD2370C"/>
    <w:rsid w:val="4CD723E0"/>
    <w:rsid w:val="4CED7F85"/>
    <w:rsid w:val="4CEF5BAF"/>
    <w:rsid w:val="4D0E4287"/>
    <w:rsid w:val="4D1D271C"/>
    <w:rsid w:val="4D834C75"/>
    <w:rsid w:val="4D9724CF"/>
    <w:rsid w:val="4DB43CAA"/>
    <w:rsid w:val="4DE23E3D"/>
    <w:rsid w:val="4E035DB6"/>
    <w:rsid w:val="4E192EE4"/>
    <w:rsid w:val="4E27562B"/>
    <w:rsid w:val="4E391564"/>
    <w:rsid w:val="4E4A7845"/>
    <w:rsid w:val="4E5D3FEE"/>
    <w:rsid w:val="4E6F6FA8"/>
    <w:rsid w:val="4E7740AE"/>
    <w:rsid w:val="4EA36C51"/>
    <w:rsid w:val="4EB87E76"/>
    <w:rsid w:val="4ED4505D"/>
    <w:rsid w:val="4F4421E2"/>
    <w:rsid w:val="4F7800DE"/>
    <w:rsid w:val="4FCE4CD4"/>
    <w:rsid w:val="4FE17A31"/>
    <w:rsid w:val="4FEC63D6"/>
    <w:rsid w:val="4FFB777D"/>
    <w:rsid w:val="50106568"/>
    <w:rsid w:val="5019541D"/>
    <w:rsid w:val="50342257"/>
    <w:rsid w:val="50650662"/>
    <w:rsid w:val="506F7733"/>
    <w:rsid w:val="50AD26B0"/>
    <w:rsid w:val="50B4412D"/>
    <w:rsid w:val="50CC2F1F"/>
    <w:rsid w:val="50E377D9"/>
    <w:rsid w:val="50E7551B"/>
    <w:rsid w:val="51035A74"/>
    <w:rsid w:val="51112598"/>
    <w:rsid w:val="5116195C"/>
    <w:rsid w:val="511C0292"/>
    <w:rsid w:val="513D41D6"/>
    <w:rsid w:val="51510BE7"/>
    <w:rsid w:val="51752B27"/>
    <w:rsid w:val="5186766D"/>
    <w:rsid w:val="5187392A"/>
    <w:rsid w:val="51C57DE7"/>
    <w:rsid w:val="51F16505"/>
    <w:rsid w:val="51FF0643"/>
    <w:rsid w:val="521536EF"/>
    <w:rsid w:val="52194C6B"/>
    <w:rsid w:val="52285CE0"/>
    <w:rsid w:val="52522E68"/>
    <w:rsid w:val="5259001E"/>
    <w:rsid w:val="52632790"/>
    <w:rsid w:val="526F3A1A"/>
    <w:rsid w:val="527C1C93"/>
    <w:rsid w:val="528C45CC"/>
    <w:rsid w:val="52BD2B3B"/>
    <w:rsid w:val="52E37F64"/>
    <w:rsid w:val="531647E1"/>
    <w:rsid w:val="532C6CD6"/>
    <w:rsid w:val="5333679D"/>
    <w:rsid w:val="536F3BF2"/>
    <w:rsid w:val="539532B2"/>
    <w:rsid w:val="539C5BBB"/>
    <w:rsid w:val="53B41F7A"/>
    <w:rsid w:val="53B72F78"/>
    <w:rsid w:val="53D43C9C"/>
    <w:rsid w:val="54041F40"/>
    <w:rsid w:val="5440577E"/>
    <w:rsid w:val="54862681"/>
    <w:rsid w:val="54882B71"/>
    <w:rsid w:val="548A2368"/>
    <w:rsid w:val="54E51D72"/>
    <w:rsid w:val="54E57FC4"/>
    <w:rsid w:val="54FE7E64"/>
    <w:rsid w:val="551663CF"/>
    <w:rsid w:val="551C2A10"/>
    <w:rsid w:val="557355CF"/>
    <w:rsid w:val="55E464CD"/>
    <w:rsid w:val="55FD4A17"/>
    <w:rsid w:val="55FF08D9"/>
    <w:rsid w:val="562C39D0"/>
    <w:rsid w:val="5636079E"/>
    <w:rsid w:val="564F3020"/>
    <w:rsid w:val="565B0A46"/>
    <w:rsid w:val="56982E14"/>
    <w:rsid w:val="56B85264"/>
    <w:rsid w:val="56BB64C5"/>
    <w:rsid w:val="56C314FF"/>
    <w:rsid w:val="56F55AD9"/>
    <w:rsid w:val="5703554A"/>
    <w:rsid w:val="572F5D27"/>
    <w:rsid w:val="5737087F"/>
    <w:rsid w:val="574021BE"/>
    <w:rsid w:val="5740613F"/>
    <w:rsid w:val="574714EE"/>
    <w:rsid w:val="574A2360"/>
    <w:rsid w:val="575907F5"/>
    <w:rsid w:val="575A55A1"/>
    <w:rsid w:val="578D2B30"/>
    <w:rsid w:val="578E4D8E"/>
    <w:rsid w:val="57D86AE3"/>
    <w:rsid w:val="58003366"/>
    <w:rsid w:val="58082F5C"/>
    <w:rsid w:val="581A3584"/>
    <w:rsid w:val="58333756"/>
    <w:rsid w:val="5846475C"/>
    <w:rsid w:val="58676429"/>
    <w:rsid w:val="58745F47"/>
    <w:rsid w:val="588072FF"/>
    <w:rsid w:val="58A1043D"/>
    <w:rsid w:val="58A91308"/>
    <w:rsid w:val="58D36385"/>
    <w:rsid w:val="591E70ED"/>
    <w:rsid w:val="59253085"/>
    <w:rsid w:val="592F6A9B"/>
    <w:rsid w:val="59372DB8"/>
    <w:rsid w:val="594B23BF"/>
    <w:rsid w:val="59901C06"/>
    <w:rsid w:val="599B3347"/>
    <w:rsid w:val="59B461B6"/>
    <w:rsid w:val="59DD74BB"/>
    <w:rsid w:val="5A111301"/>
    <w:rsid w:val="5A206081"/>
    <w:rsid w:val="5AAA1D9C"/>
    <w:rsid w:val="5AD308BE"/>
    <w:rsid w:val="5B5159DA"/>
    <w:rsid w:val="5B525C87"/>
    <w:rsid w:val="5B5C4D58"/>
    <w:rsid w:val="5B68187B"/>
    <w:rsid w:val="5B745BFD"/>
    <w:rsid w:val="5BA109BC"/>
    <w:rsid w:val="5BA9574D"/>
    <w:rsid w:val="5BB2491C"/>
    <w:rsid w:val="5BB274F1"/>
    <w:rsid w:val="5BE220CB"/>
    <w:rsid w:val="5BE96CAC"/>
    <w:rsid w:val="5C016154"/>
    <w:rsid w:val="5C9F314E"/>
    <w:rsid w:val="5CB52971"/>
    <w:rsid w:val="5CB63FF4"/>
    <w:rsid w:val="5CBA381D"/>
    <w:rsid w:val="5CF311B6"/>
    <w:rsid w:val="5CFF3025"/>
    <w:rsid w:val="5D094A6B"/>
    <w:rsid w:val="5D12148A"/>
    <w:rsid w:val="5D5D1BB5"/>
    <w:rsid w:val="5D7B0CF3"/>
    <w:rsid w:val="5D885990"/>
    <w:rsid w:val="5DF3753E"/>
    <w:rsid w:val="5E0314BA"/>
    <w:rsid w:val="5E3E0745"/>
    <w:rsid w:val="5E421FE3"/>
    <w:rsid w:val="5E457C2B"/>
    <w:rsid w:val="5E6F6B50"/>
    <w:rsid w:val="5EA345D2"/>
    <w:rsid w:val="5EEC1F4F"/>
    <w:rsid w:val="5F0A29BB"/>
    <w:rsid w:val="5F0B6879"/>
    <w:rsid w:val="5F1B1E6B"/>
    <w:rsid w:val="5F350FC3"/>
    <w:rsid w:val="5F544450"/>
    <w:rsid w:val="5F6128A5"/>
    <w:rsid w:val="5F645F89"/>
    <w:rsid w:val="5F6D3829"/>
    <w:rsid w:val="5F816B3B"/>
    <w:rsid w:val="5F8E1258"/>
    <w:rsid w:val="5F9021D8"/>
    <w:rsid w:val="5FD37DBD"/>
    <w:rsid w:val="5FDB63AC"/>
    <w:rsid w:val="5FE23F47"/>
    <w:rsid w:val="60003F04"/>
    <w:rsid w:val="600F514A"/>
    <w:rsid w:val="605E0C2A"/>
    <w:rsid w:val="60974649"/>
    <w:rsid w:val="609A4358"/>
    <w:rsid w:val="60A43730"/>
    <w:rsid w:val="60B116A2"/>
    <w:rsid w:val="60BD381C"/>
    <w:rsid w:val="60C05441"/>
    <w:rsid w:val="60DE3625"/>
    <w:rsid w:val="60DF3AFD"/>
    <w:rsid w:val="610F6AD4"/>
    <w:rsid w:val="61243C22"/>
    <w:rsid w:val="61355E2F"/>
    <w:rsid w:val="613F7CC2"/>
    <w:rsid w:val="614B207E"/>
    <w:rsid w:val="61565DA5"/>
    <w:rsid w:val="61617172"/>
    <w:rsid w:val="6170330B"/>
    <w:rsid w:val="61820481"/>
    <w:rsid w:val="619031FE"/>
    <w:rsid w:val="61991DAA"/>
    <w:rsid w:val="61A30FEA"/>
    <w:rsid w:val="61A92379"/>
    <w:rsid w:val="61B208DA"/>
    <w:rsid w:val="61C83E7A"/>
    <w:rsid w:val="61D02526"/>
    <w:rsid w:val="61E41603"/>
    <w:rsid w:val="61FA2BD4"/>
    <w:rsid w:val="62095144"/>
    <w:rsid w:val="621A5025"/>
    <w:rsid w:val="626D15F8"/>
    <w:rsid w:val="626E61DA"/>
    <w:rsid w:val="629C7683"/>
    <w:rsid w:val="62D174CE"/>
    <w:rsid w:val="62F31AFE"/>
    <w:rsid w:val="62F33259"/>
    <w:rsid w:val="631B43BD"/>
    <w:rsid w:val="63B97F3C"/>
    <w:rsid w:val="63D61AC1"/>
    <w:rsid w:val="63E87188"/>
    <w:rsid w:val="64096896"/>
    <w:rsid w:val="64243F39"/>
    <w:rsid w:val="642A77A1"/>
    <w:rsid w:val="64473FCD"/>
    <w:rsid w:val="64566970"/>
    <w:rsid w:val="64711EC8"/>
    <w:rsid w:val="648C6718"/>
    <w:rsid w:val="64B61035"/>
    <w:rsid w:val="64BD0615"/>
    <w:rsid w:val="64D836A1"/>
    <w:rsid w:val="65037FF2"/>
    <w:rsid w:val="651F3631"/>
    <w:rsid w:val="653D1756"/>
    <w:rsid w:val="654C6575"/>
    <w:rsid w:val="655820EC"/>
    <w:rsid w:val="65590BCD"/>
    <w:rsid w:val="65834337"/>
    <w:rsid w:val="65AB2814"/>
    <w:rsid w:val="65C9123C"/>
    <w:rsid w:val="65E96987"/>
    <w:rsid w:val="66263F98"/>
    <w:rsid w:val="6649596B"/>
    <w:rsid w:val="6659436D"/>
    <w:rsid w:val="66692CE9"/>
    <w:rsid w:val="667F5B28"/>
    <w:rsid w:val="66862C89"/>
    <w:rsid w:val="66882EA5"/>
    <w:rsid w:val="66AE2D81"/>
    <w:rsid w:val="676D7216"/>
    <w:rsid w:val="67705E13"/>
    <w:rsid w:val="67785CB1"/>
    <w:rsid w:val="6779459B"/>
    <w:rsid w:val="679B09B6"/>
    <w:rsid w:val="67BA0E3C"/>
    <w:rsid w:val="67D53EC8"/>
    <w:rsid w:val="6800225C"/>
    <w:rsid w:val="68534F51"/>
    <w:rsid w:val="68595500"/>
    <w:rsid w:val="685F66EA"/>
    <w:rsid w:val="6873723D"/>
    <w:rsid w:val="68FC5484"/>
    <w:rsid w:val="690313ED"/>
    <w:rsid w:val="69196036"/>
    <w:rsid w:val="692F13B6"/>
    <w:rsid w:val="69341C75"/>
    <w:rsid w:val="695533DC"/>
    <w:rsid w:val="696F289E"/>
    <w:rsid w:val="69CA3B35"/>
    <w:rsid w:val="69D87C9F"/>
    <w:rsid w:val="69FA19C4"/>
    <w:rsid w:val="6A171EE2"/>
    <w:rsid w:val="6A2764B6"/>
    <w:rsid w:val="6A731776"/>
    <w:rsid w:val="6A95638E"/>
    <w:rsid w:val="6AC8783F"/>
    <w:rsid w:val="6AD95A7D"/>
    <w:rsid w:val="6ADA35A3"/>
    <w:rsid w:val="6B1765A5"/>
    <w:rsid w:val="6B1F53C6"/>
    <w:rsid w:val="6B282560"/>
    <w:rsid w:val="6B347157"/>
    <w:rsid w:val="6B4A344A"/>
    <w:rsid w:val="6B530987"/>
    <w:rsid w:val="6B6E150B"/>
    <w:rsid w:val="6B856D63"/>
    <w:rsid w:val="6B9320D0"/>
    <w:rsid w:val="6BC24763"/>
    <w:rsid w:val="6BE04BE9"/>
    <w:rsid w:val="6BEC358E"/>
    <w:rsid w:val="6BF7601D"/>
    <w:rsid w:val="6C1F3963"/>
    <w:rsid w:val="6C2B2308"/>
    <w:rsid w:val="6C6C46CF"/>
    <w:rsid w:val="6C772B6F"/>
    <w:rsid w:val="6C7D4B2E"/>
    <w:rsid w:val="6C8336A5"/>
    <w:rsid w:val="6CB63EEF"/>
    <w:rsid w:val="6CD97B29"/>
    <w:rsid w:val="6D1202AF"/>
    <w:rsid w:val="6D192225"/>
    <w:rsid w:val="6D432789"/>
    <w:rsid w:val="6D505D9E"/>
    <w:rsid w:val="6D57537F"/>
    <w:rsid w:val="6D643EDD"/>
    <w:rsid w:val="6D73789E"/>
    <w:rsid w:val="6D7D1FE7"/>
    <w:rsid w:val="6D8E2C21"/>
    <w:rsid w:val="6D934AB3"/>
    <w:rsid w:val="6DBE0F5A"/>
    <w:rsid w:val="6E3561DC"/>
    <w:rsid w:val="6E3853E6"/>
    <w:rsid w:val="6E4130AC"/>
    <w:rsid w:val="6E4B4721"/>
    <w:rsid w:val="6E575EEF"/>
    <w:rsid w:val="6E641B01"/>
    <w:rsid w:val="6E736BA0"/>
    <w:rsid w:val="6E894432"/>
    <w:rsid w:val="6EA2087C"/>
    <w:rsid w:val="6EA26388"/>
    <w:rsid w:val="6ECB7DD2"/>
    <w:rsid w:val="6EEA5B42"/>
    <w:rsid w:val="6F0C2ABA"/>
    <w:rsid w:val="6F1928EC"/>
    <w:rsid w:val="6F4B3DB3"/>
    <w:rsid w:val="6F573414"/>
    <w:rsid w:val="6F655ACF"/>
    <w:rsid w:val="6F667AFB"/>
    <w:rsid w:val="6F6A1399"/>
    <w:rsid w:val="6F6B6EC0"/>
    <w:rsid w:val="6F885CC3"/>
    <w:rsid w:val="6FC07DEB"/>
    <w:rsid w:val="6FC211D5"/>
    <w:rsid w:val="6FF13869"/>
    <w:rsid w:val="70257616"/>
    <w:rsid w:val="703C0C7E"/>
    <w:rsid w:val="70C1148D"/>
    <w:rsid w:val="70E43DF4"/>
    <w:rsid w:val="70FC02D9"/>
    <w:rsid w:val="712C1FF5"/>
    <w:rsid w:val="715048FD"/>
    <w:rsid w:val="71761949"/>
    <w:rsid w:val="719142B5"/>
    <w:rsid w:val="71B25DFA"/>
    <w:rsid w:val="71BD2A24"/>
    <w:rsid w:val="71C43FD8"/>
    <w:rsid w:val="71CF0CFD"/>
    <w:rsid w:val="71D85554"/>
    <w:rsid w:val="720720EE"/>
    <w:rsid w:val="72291AE6"/>
    <w:rsid w:val="7245377A"/>
    <w:rsid w:val="724A7260"/>
    <w:rsid w:val="724C37F3"/>
    <w:rsid w:val="725D5B8B"/>
    <w:rsid w:val="72895FDA"/>
    <w:rsid w:val="728F13B0"/>
    <w:rsid w:val="72D35A08"/>
    <w:rsid w:val="72FD42D3"/>
    <w:rsid w:val="731C29AB"/>
    <w:rsid w:val="733F6699"/>
    <w:rsid w:val="734B1703"/>
    <w:rsid w:val="734E4B2E"/>
    <w:rsid w:val="73624258"/>
    <w:rsid w:val="73640F0A"/>
    <w:rsid w:val="737248AC"/>
    <w:rsid w:val="738357A3"/>
    <w:rsid w:val="739A7976"/>
    <w:rsid w:val="73BA27AD"/>
    <w:rsid w:val="73D16C3A"/>
    <w:rsid w:val="74130252"/>
    <w:rsid w:val="74135534"/>
    <w:rsid w:val="74370783"/>
    <w:rsid w:val="744A7C59"/>
    <w:rsid w:val="74510D7A"/>
    <w:rsid w:val="74820F33"/>
    <w:rsid w:val="749107D0"/>
    <w:rsid w:val="74DA7A4F"/>
    <w:rsid w:val="74DB663A"/>
    <w:rsid w:val="74E41BEE"/>
    <w:rsid w:val="74EB6FEC"/>
    <w:rsid w:val="74FF2584"/>
    <w:rsid w:val="75E023B5"/>
    <w:rsid w:val="75E651F7"/>
    <w:rsid w:val="75E874BC"/>
    <w:rsid w:val="760F67F7"/>
    <w:rsid w:val="76325C2F"/>
    <w:rsid w:val="763C6F9C"/>
    <w:rsid w:val="76C92E49"/>
    <w:rsid w:val="76D2566C"/>
    <w:rsid w:val="76EF04F1"/>
    <w:rsid w:val="7735228D"/>
    <w:rsid w:val="776963DA"/>
    <w:rsid w:val="776B5CAF"/>
    <w:rsid w:val="779571D0"/>
    <w:rsid w:val="77BF424C"/>
    <w:rsid w:val="77C75E03"/>
    <w:rsid w:val="77E91D55"/>
    <w:rsid w:val="77F75794"/>
    <w:rsid w:val="78222BDF"/>
    <w:rsid w:val="78281DF2"/>
    <w:rsid w:val="7862793A"/>
    <w:rsid w:val="7883527A"/>
    <w:rsid w:val="78882890"/>
    <w:rsid w:val="78B13B95"/>
    <w:rsid w:val="78BE1519"/>
    <w:rsid w:val="78C6193F"/>
    <w:rsid w:val="78DD253E"/>
    <w:rsid w:val="78E47CA7"/>
    <w:rsid w:val="78F63C9E"/>
    <w:rsid w:val="793D48A8"/>
    <w:rsid w:val="794744F9"/>
    <w:rsid w:val="795135CA"/>
    <w:rsid w:val="797F334B"/>
    <w:rsid w:val="798017B9"/>
    <w:rsid w:val="79826AF6"/>
    <w:rsid w:val="798B088A"/>
    <w:rsid w:val="79A27982"/>
    <w:rsid w:val="7A467E34"/>
    <w:rsid w:val="7A505796"/>
    <w:rsid w:val="7A721A4A"/>
    <w:rsid w:val="7A9E639B"/>
    <w:rsid w:val="7ABB519F"/>
    <w:rsid w:val="7ACB67A0"/>
    <w:rsid w:val="7B1C50F8"/>
    <w:rsid w:val="7B212204"/>
    <w:rsid w:val="7B3F7B7E"/>
    <w:rsid w:val="7B713AB0"/>
    <w:rsid w:val="7B803A8A"/>
    <w:rsid w:val="7B841A35"/>
    <w:rsid w:val="7B9B1FB8"/>
    <w:rsid w:val="7BA121C2"/>
    <w:rsid w:val="7BB5729C"/>
    <w:rsid w:val="7BC6663D"/>
    <w:rsid w:val="7C10151B"/>
    <w:rsid w:val="7C66698D"/>
    <w:rsid w:val="7C7E6189"/>
    <w:rsid w:val="7C920181"/>
    <w:rsid w:val="7CAA0B47"/>
    <w:rsid w:val="7CAB2FF1"/>
    <w:rsid w:val="7CD479E4"/>
    <w:rsid w:val="7CF60710"/>
    <w:rsid w:val="7D3104DE"/>
    <w:rsid w:val="7D717D97"/>
    <w:rsid w:val="7D7358BD"/>
    <w:rsid w:val="7DC11F98"/>
    <w:rsid w:val="7DCB56F9"/>
    <w:rsid w:val="7E0E3838"/>
    <w:rsid w:val="7E1A215C"/>
    <w:rsid w:val="7E24305B"/>
    <w:rsid w:val="7E6D0329"/>
    <w:rsid w:val="7EAD12A3"/>
    <w:rsid w:val="7EFB0260"/>
    <w:rsid w:val="7F271055"/>
    <w:rsid w:val="7F4C7055"/>
    <w:rsid w:val="7F896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1"/>
      <w:szCs w:val="22"/>
      <w:lang w:val="en-US" w:eastAsia="zh-CN" w:bidi="ar-SA"/>
    </w:rPr>
  </w:style>
  <w:style w:type="paragraph" w:styleId="3">
    <w:name w:val="heading 1"/>
    <w:basedOn w:val="1"/>
    <w:next w:val="1"/>
    <w:link w:val="55"/>
    <w:qFormat/>
    <w:uiPriority w:val="0"/>
    <w:pPr>
      <w:spacing w:before="100" w:beforeAutospacing="1" w:after="100" w:afterAutospacing="1"/>
      <w:jc w:val="left"/>
      <w:outlineLvl w:val="0"/>
    </w:pPr>
    <w:rPr>
      <w:rFonts w:hint="eastAsia"/>
      <w:kern w:val="44"/>
      <w:sz w:val="48"/>
      <w:szCs w:val="48"/>
    </w:rPr>
  </w:style>
  <w:style w:type="paragraph" w:styleId="4">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5">
    <w:name w:val="heading 3"/>
    <w:basedOn w:val="1"/>
    <w:next w:val="1"/>
    <w:qFormat/>
    <w:uiPriority w:val="0"/>
    <w:pPr>
      <w:widowControl/>
      <w:spacing w:before="100" w:beforeAutospacing="1" w:after="100" w:afterAutospacing="1"/>
      <w:jc w:val="left"/>
      <w:outlineLvl w:val="2"/>
    </w:pPr>
    <w:rPr>
      <w:kern w:val="0"/>
      <w:sz w:val="27"/>
      <w:szCs w:val="27"/>
    </w:rPr>
  </w:style>
  <w:style w:type="paragraph" w:styleId="6">
    <w:name w:val="heading 4"/>
    <w:basedOn w:val="1"/>
    <w:next w:val="1"/>
    <w:qFormat/>
    <w:uiPriority w:val="0"/>
    <w:pPr>
      <w:keepNext/>
      <w:keepLines/>
      <w:spacing w:before="280" w:beforeLines="0" w:after="290" w:afterLines="0" w:line="372" w:lineRule="auto"/>
      <w:outlineLvl w:val="3"/>
    </w:pPr>
    <w:rPr>
      <w:rFonts w:ascii="Cambria" w:hAnsi="Cambria"/>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7">
    <w:name w:val="table of authorities"/>
    <w:basedOn w:val="1"/>
    <w:next w:val="1"/>
    <w:semiHidden/>
    <w:unhideWhenUsed/>
    <w:qFormat/>
    <w:uiPriority w:val="99"/>
    <w:pPr>
      <w:ind w:left="420" w:leftChars="200"/>
    </w:pPr>
  </w:style>
  <w:style w:type="paragraph" w:styleId="8">
    <w:name w:val="annotation text"/>
    <w:basedOn w:val="1"/>
    <w:link w:val="56"/>
    <w:unhideWhenUsed/>
    <w:qFormat/>
    <w:uiPriority w:val="99"/>
    <w:pPr>
      <w:jc w:val="left"/>
    </w:pPr>
    <w:rPr>
      <w:rFonts w:ascii="Calibri" w:hAnsi="Calibri"/>
    </w:rPr>
  </w:style>
  <w:style w:type="paragraph" w:styleId="9">
    <w:name w:val="Body Text"/>
    <w:basedOn w:val="1"/>
    <w:next w:val="10"/>
    <w:unhideWhenUsed/>
    <w:qFormat/>
    <w:uiPriority w:val="99"/>
    <w:pPr>
      <w:spacing w:after="120"/>
    </w:pPr>
    <w:rPr>
      <w:rFonts w:ascii="Calibri" w:hAnsi="Calibri"/>
      <w:kern w:val="0"/>
      <w:sz w:val="20"/>
      <w:szCs w:val="20"/>
    </w:rPr>
  </w:style>
  <w:style w:type="paragraph" w:styleId="10">
    <w:name w:val="Title"/>
    <w:basedOn w:val="1"/>
    <w:next w:val="1"/>
    <w:qFormat/>
    <w:uiPriority w:val="0"/>
    <w:pPr>
      <w:spacing w:before="120" w:after="60"/>
      <w:jc w:val="center"/>
    </w:pPr>
    <w:rPr>
      <w:rFonts w:ascii="Arial" w:hAnsi="Arial"/>
      <w:b/>
      <w:kern w:val="0"/>
      <w:sz w:val="44"/>
      <w:szCs w:val="20"/>
    </w:rPr>
  </w:style>
  <w:style w:type="paragraph" w:styleId="11">
    <w:name w:val="Body Text Indent"/>
    <w:basedOn w:val="1"/>
    <w:next w:val="12"/>
    <w:qFormat/>
    <w:uiPriority w:val="0"/>
    <w:pPr>
      <w:spacing w:after="120"/>
      <w:ind w:left="420" w:leftChars="200"/>
    </w:pPr>
  </w:style>
  <w:style w:type="paragraph" w:styleId="12">
    <w:name w:val="envelope return"/>
    <w:basedOn w:val="1"/>
    <w:qFormat/>
    <w:uiPriority w:val="0"/>
    <w:pPr>
      <w:snapToGrid w:val="0"/>
    </w:pPr>
    <w:rPr>
      <w:rFonts w:ascii="Arial" w:hAnsi="Arial"/>
      <w:szCs w:val="24"/>
    </w:rPr>
  </w:style>
  <w:style w:type="paragraph" w:styleId="13">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4">
    <w:name w:val="Plain Text"/>
    <w:basedOn w:val="1"/>
    <w:qFormat/>
    <w:uiPriority w:val="0"/>
    <w:rPr>
      <w:rFonts w:hAnsi="Courier New"/>
      <w:kern w:val="0"/>
      <w:sz w:val="20"/>
      <w:szCs w:val="20"/>
    </w:rPr>
  </w:style>
  <w:style w:type="paragraph" w:styleId="15">
    <w:name w:val="Date"/>
    <w:basedOn w:val="1"/>
    <w:next w:val="1"/>
    <w:qFormat/>
    <w:uiPriority w:val="0"/>
    <w:rPr>
      <w:rFonts w:ascii="Times New Roman" w:hAnsi="Times New Roman"/>
      <w:kern w:val="0"/>
      <w:sz w:val="20"/>
      <w:szCs w:val="20"/>
    </w:rPr>
  </w:style>
  <w:style w:type="paragraph" w:styleId="16">
    <w:name w:val="Balloon Text"/>
    <w:basedOn w:val="1"/>
    <w:link w:val="58"/>
    <w:qFormat/>
    <w:uiPriority w:val="0"/>
    <w:rPr>
      <w:sz w:val="18"/>
      <w:szCs w:val="18"/>
    </w:rPr>
  </w:style>
  <w:style w:type="paragraph" w:styleId="17">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qFormat/>
    <w:uiPriority w:val="39"/>
    <w:pPr>
      <w:tabs>
        <w:tab w:val="right" w:leader="dot" w:pos="9060"/>
      </w:tabs>
      <w:adjustRightInd w:val="0"/>
      <w:snapToGrid w:val="0"/>
      <w:spacing w:line="360" w:lineRule="auto"/>
      <w:jc w:val="left"/>
      <w:textAlignment w:val="baseline"/>
    </w:pPr>
    <w:rPr>
      <w:caps/>
      <w:kern w:val="0"/>
      <w:sz w:val="24"/>
      <w:szCs w:val="32"/>
    </w:rPr>
  </w:style>
  <w:style w:type="paragraph" w:styleId="2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1">
    <w:name w:val="Body Text 2"/>
    <w:basedOn w:val="1"/>
    <w:qFormat/>
    <w:uiPriority w:val="0"/>
    <w:rPr>
      <w:kern w:val="0"/>
      <w:sz w:val="20"/>
      <w:szCs w:val="24"/>
      <w:u w:val="single"/>
    </w:rPr>
  </w:style>
  <w:style w:type="paragraph" w:styleId="22">
    <w:name w:val="Normal (Web)"/>
    <w:basedOn w:val="1"/>
    <w:qFormat/>
    <w:uiPriority w:val="0"/>
    <w:rPr>
      <w:sz w:val="24"/>
    </w:rPr>
  </w:style>
  <w:style w:type="paragraph" w:styleId="23">
    <w:name w:val="index 1"/>
    <w:basedOn w:val="1"/>
    <w:next w:val="1"/>
    <w:qFormat/>
    <w:uiPriority w:val="0"/>
    <w:rPr>
      <w:rFonts w:ascii="Times New Roman" w:hAnsi="Times New Roman" w:eastAsia="仿宋_GB2312"/>
      <w:sz w:val="28"/>
      <w:szCs w:val="20"/>
    </w:rPr>
  </w:style>
  <w:style w:type="paragraph" w:styleId="24">
    <w:name w:val="annotation subject"/>
    <w:basedOn w:val="8"/>
    <w:next w:val="8"/>
    <w:link w:val="57"/>
    <w:qFormat/>
    <w:uiPriority w:val="0"/>
    <w:rPr>
      <w:rFonts w:ascii="宋体" w:hAnsi="宋体"/>
      <w:b/>
      <w:bCs/>
    </w:rPr>
  </w:style>
  <w:style w:type="paragraph" w:styleId="25">
    <w:name w:val="Body Text First Indent"/>
    <w:basedOn w:val="9"/>
    <w:qFormat/>
    <w:uiPriority w:val="0"/>
    <w:pPr>
      <w:ind w:firstLine="420"/>
    </w:pPr>
    <w:rPr>
      <w:rFonts w:ascii="Times New Roman" w:hAnsi="Times New Roman"/>
    </w:rPr>
  </w:style>
  <w:style w:type="paragraph" w:styleId="26">
    <w:name w:val="Body Text First Indent 2"/>
    <w:basedOn w:val="11"/>
    <w:qFormat/>
    <w:uiPriority w:val="0"/>
    <w:pPr>
      <w:ind w:firstLine="420" w:firstLineChars="20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qFormat/>
    <w:uiPriority w:val="0"/>
    <w:rPr>
      <w:rFonts w:cs="Times New Roman"/>
    </w:rPr>
  </w:style>
  <w:style w:type="character" w:styleId="32">
    <w:name w:val="Hyperlink"/>
    <w:unhideWhenUsed/>
    <w:qFormat/>
    <w:uiPriority w:val="99"/>
    <w:rPr>
      <w:color w:val="000000"/>
      <w:u w:val="none"/>
    </w:rPr>
  </w:style>
  <w:style w:type="character" w:styleId="33">
    <w:name w:val="annotation reference"/>
    <w:basedOn w:val="29"/>
    <w:qFormat/>
    <w:uiPriority w:val="0"/>
    <w:rPr>
      <w:sz w:val="21"/>
      <w:szCs w:val="21"/>
    </w:rPr>
  </w:style>
  <w:style w:type="paragraph" w:customStyle="1" w:styleId="34">
    <w:name w:val="首行缩进"/>
    <w:basedOn w:val="1"/>
    <w:qFormat/>
    <w:uiPriority w:val="0"/>
    <w:pPr>
      <w:ind w:firstLine="480" w:firstLineChars="200"/>
    </w:pPr>
    <w:rPr>
      <w:lang w:val="zh-CN"/>
    </w:rPr>
  </w:style>
  <w:style w:type="paragraph" w:customStyle="1" w:styleId="35">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6">
    <w:name w:val="font51"/>
    <w:qFormat/>
    <w:uiPriority w:val="0"/>
    <w:rPr>
      <w:rFonts w:hint="eastAsia" w:ascii="宋体" w:hAnsi="宋体" w:eastAsia="宋体" w:cs="宋体"/>
      <w:color w:val="000000"/>
      <w:sz w:val="20"/>
      <w:szCs w:val="20"/>
      <w:u w:val="none"/>
    </w:rPr>
  </w:style>
  <w:style w:type="paragraph" w:customStyle="1" w:styleId="37">
    <w:name w:val="文一"/>
    <w:basedOn w:val="1"/>
    <w:next w:val="1"/>
    <w:qFormat/>
    <w:uiPriority w:val="0"/>
    <w:pPr>
      <w:topLinePunct/>
      <w:adjustRightInd w:val="0"/>
      <w:snapToGrid w:val="0"/>
      <w:spacing w:line="360" w:lineRule="auto"/>
      <w:ind w:firstLine="200" w:firstLineChars="200"/>
    </w:pPr>
    <w:rPr>
      <w:rFonts w:hint="eastAsia"/>
      <w:snapToGrid w:val="0"/>
      <w:spacing w:val="4"/>
      <w:kern w:val="0"/>
      <w:sz w:val="24"/>
      <w:szCs w:val="24"/>
    </w:rPr>
  </w:style>
  <w:style w:type="paragraph" w:customStyle="1" w:styleId="38">
    <w:name w:val="章节二"/>
    <w:basedOn w:val="1"/>
    <w:next w:val="1"/>
    <w:qFormat/>
    <w:uiPriority w:val="0"/>
    <w:pPr>
      <w:topLinePunct/>
      <w:adjustRightInd w:val="0"/>
      <w:snapToGrid w:val="0"/>
      <w:spacing w:beforeLines="50"/>
      <w:jc w:val="center"/>
      <w:outlineLvl w:val="1"/>
    </w:pPr>
    <w:rPr>
      <w:rFonts w:eastAsia="黑体"/>
      <w:b/>
      <w:spacing w:val="4"/>
      <w:kern w:val="0"/>
      <w:sz w:val="30"/>
      <w:szCs w:val="30"/>
    </w:rPr>
  </w:style>
  <w:style w:type="paragraph" w:customStyle="1" w:styleId="39">
    <w:name w:val="封二"/>
    <w:basedOn w:val="37"/>
    <w:next w:val="37"/>
    <w:qFormat/>
    <w:uiPriority w:val="0"/>
    <w:pPr>
      <w:ind w:firstLine="0" w:firstLineChars="0"/>
      <w:jc w:val="center"/>
    </w:pPr>
    <w:rPr>
      <w:rFonts w:ascii="Times New Roman" w:hAnsi="Times New Roman" w:eastAsia="黑体"/>
      <w:b/>
      <w:sz w:val="36"/>
      <w:szCs w:val="36"/>
    </w:rPr>
  </w:style>
  <w:style w:type="paragraph" w:customStyle="1" w:styleId="40">
    <w:name w:val="封一"/>
    <w:basedOn w:val="37"/>
    <w:next w:val="37"/>
    <w:qFormat/>
    <w:uiPriority w:val="0"/>
    <w:pPr>
      <w:ind w:firstLine="0" w:firstLineChars="0"/>
      <w:jc w:val="center"/>
    </w:pPr>
    <w:rPr>
      <w:rFonts w:ascii="Times New Roman" w:hAnsi="Times New Roman" w:eastAsia="黑体"/>
      <w:b/>
      <w:sz w:val="84"/>
      <w:szCs w:val="84"/>
    </w:rPr>
  </w:style>
  <w:style w:type="paragraph" w:customStyle="1" w:styleId="41">
    <w:name w:val="封四"/>
    <w:basedOn w:val="37"/>
    <w:next w:val="37"/>
    <w:qFormat/>
    <w:uiPriority w:val="0"/>
    <w:pPr>
      <w:jc w:val="left"/>
    </w:pPr>
    <w:rPr>
      <w:rFonts w:ascii="Times New Roman" w:hAnsi="Times New Roman"/>
      <w:sz w:val="30"/>
      <w:szCs w:val="30"/>
    </w:rPr>
  </w:style>
  <w:style w:type="paragraph" w:customStyle="1" w:styleId="42">
    <w:name w:val="正题"/>
    <w:basedOn w:val="37"/>
    <w:next w:val="37"/>
    <w:qFormat/>
    <w:uiPriority w:val="0"/>
    <w:pPr>
      <w:ind w:firstLine="0" w:firstLineChars="0"/>
      <w:jc w:val="center"/>
    </w:pPr>
    <w:rPr>
      <w:rFonts w:eastAsia="黑体"/>
      <w:b/>
      <w:sz w:val="36"/>
      <w:szCs w:val="36"/>
    </w:rPr>
  </w:style>
  <w:style w:type="paragraph" w:customStyle="1" w:styleId="43">
    <w:name w:val="文二"/>
    <w:basedOn w:val="1"/>
    <w:qFormat/>
    <w:uiPriority w:val="0"/>
    <w:pPr>
      <w:jc w:val="left"/>
    </w:pPr>
    <w:rPr>
      <w:szCs w:val="21"/>
    </w:rPr>
  </w:style>
  <w:style w:type="paragraph" w:customStyle="1" w:styleId="44">
    <w:name w:val="Char Char Char Char"/>
    <w:basedOn w:val="1"/>
    <w:qFormat/>
    <w:uiPriority w:val="0"/>
    <w:rPr>
      <w:rFonts w:ascii="Times New Roman" w:hAnsi="Times New Roman"/>
      <w:sz w:val="30"/>
      <w:szCs w:val="24"/>
    </w:rPr>
  </w:style>
  <w:style w:type="character" w:customStyle="1" w:styleId="45">
    <w:name w:val="标题 1 字符"/>
    <w:qFormat/>
    <w:uiPriority w:val="0"/>
    <w:rPr>
      <w:rFonts w:hint="eastAsia"/>
      <w:b/>
      <w:kern w:val="44"/>
      <w:sz w:val="48"/>
      <w:szCs w:val="48"/>
    </w:rPr>
  </w:style>
  <w:style w:type="paragraph" w:styleId="46">
    <w:name w:val="List Paragraph"/>
    <w:basedOn w:val="1"/>
    <w:qFormat/>
    <w:uiPriority w:val="0"/>
    <w:pPr>
      <w:ind w:firstLine="420" w:firstLineChars="200"/>
    </w:pPr>
    <w:rPr>
      <w:rFonts w:ascii="Times New Roman" w:hAnsi="Times New Roman"/>
      <w:szCs w:val="20"/>
    </w:rPr>
  </w:style>
  <w:style w:type="paragraph" w:customStyle="1" w:styleId="47">
    <w:name w:val="文提"/>
    <w:basedOn w:val="37"/>
    <w:qFormat/>
    <w:uiPriority w:val="0"/>
    <w:pPr>
      <w:ind w:firstLine="0" w:firstLineChars="0"/>
    </w:pPr>
    <w:rPr>
      <w:rFonts w:ascii="Times New Roman" w:hAnsi="Times New Roman" w:eastAsia="黑体" w:cs="宋体"/>
      <w:b/>
    </w:rPr>
  </w:style>
  <w:style w:type="character" w:customStyle="1" w:styleId="48">
    <w:name w:val="font71"/>
    <w:qFormat/>
    <w:uiPriority w:val="0"/>
    <w:rPr>
      <w:rFonts w:hint="eastAsia" w:ascii="宋体" w:hAnsi="宋体" w:eastAsia="宋体" w:cs="宋体"/>
      <w:color w:val="000000"/>
      <w:sz w:val="20"/>
      <w:szCs w:val="20"/>
      <w:u w:val="none"/>
    </w:rPr>
  </w:style>
  <w:style w:type="paragraph" w:customStyle="1" w:styleId="49">
    <w:name w:val="正文5"/>
    <w:qFormat/>
    <w:uiPriority w:val="0"/>
    <w:pPr>
      <w:jc w:val="both"/>
    </w:pPr>
    <w:rPr>
      <w:rFonts w:ascii="Calibri" w:hAnsi="Calibri" w:eastAsia="宋体" w:cs="宋体"/>
      <w:kern w:val="2"/>
      <w:sz w:val="21"/>
      <w:szCs w:val="21"/>
      <w:lang w:val="en-US" w:eastAsia="zh-CN" w:bidi="ar-SA"/>
    </w:rPr>
  </w:style>
  <w:style w:type="paragraph" w:customStyle="1" w:styleId="50">
    <w:name w:val="正文文本缩进 New New"/>
    <w:basedOn w:val="1"/>
    <w:qFormat/>
    <w:uiPriority w:val="0"/>
    <w:pPr>
      <w:spacing w:after="120"/>
      <w:ind w:left="420" w:leftChars="200"/>
    </w:pPr>
    <w:rPr>
      <w:rFonts w:ascii="Times New Roman" w:eastAsia="楷体_GB2312"/>
      <w:szCs w:val="20"/>
    </w:rPr>
  </w:style>
  <w:style w:type="paragraph" w:customStyle="1" w:styleId="51">
    <w:name w:val="表头"/>
    <w:basedOn w:val="1"/>
    <w:qFormat/>
    <w:uiPriority w:val="0"/>
    <w:pPr>
      <w:spacing w:line="360" w:lineRule="auto"/>
      <w:jc w:val="center"/>
    </w:pPr>
    <w:rPr>
      <w:rFonts w:ascii="黑体" w:hAnsi="Times New Roman" w:eastAsia="黑体"/>
      <w:kern w:val="0"/>
      <w:sz w:val="24"/>
      <w:szCs w:val="20"/>
    </w:rPr>
  </w:style>
  <w:style w:type="paragraph" w:customStyle="1" w:styleId="52">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character" w:customStyle="1" w:styleId="53">
    <w:name w:val="font01"/>
    <w:qFormat/>
    <w:uiPriority w:val="0"/>
    <w:rPr>
      <w:rFonts w:hint="eastAsia" w:ascii="仿宋" w:hAnsi="仿宋" w:eastAsia="仿宋" w:cs="仿宋"/>
      <w:color w:val="000000"/>
      <w:sz w:val="28"/>
      <w:szCs w:val="28"/>
      <w:u w:val="none"/>
    </w:rPr>
  </w:style>
  <w:style w:type="character" w:customStyle="1" w:styleId="54">
    <w:name w:val="font11"/>
    <w:basedOn w:val="29"/>
    <w:qFormat/>
    <w:uiPriority w:val="0"/>
    <w:rPr>
      <w:rFonts w:hint="eastAsia" w:ascii="宋体" w:hAnsi="宋体" w:eastAsia="宋体"/>
      <w:color w:val="000000"/>
      <w:sz w:val="24"/>
      <w:szCs w:val="24"/>
      <w:u w:val="single"/>
    </w:rPr>
  </w:style>
  <w:style w:type="character" w:customStyle="1" w:styleId="55">
    <w:name w:val="标题 1 字符1"/>
    <w:link w:val="3"/>
    <w:qFormat/>
    <w:uiPriority w:val="0"/>
    <w:rPr>
      <w:rFonts w:ascii="宋体" w:hAnsi="宋体" w:eastAsia="宋体" w:cs="宋体"/>
      <w:b/>
      <w:kern w:val="44"/>
      <w:sz w:val="28"/>
      <w:szCs w:val="28"/>
    </w:rPr>
  </w:style>
  <w:style w:type="character" w:customStyle="1" w:styleId="56">
    <w:name w:val="批注文字 字符"/>
    <w:basedOn w:val="29"/>
    <w:link w:val="8"/>
    <w:qFormat/>
    <w:uiPriority w:val="99"/>
    <w:rPr>
      <w:kern w:val="2"/>
      <w:sz w:val="21"/>
      <w:szCs w:val="22"/>
    </w:rPr>
  </w:style>
  <w:style w:type="character" w:customStyle="1" w:styleId="57">
    <w:name w:val="批注主题 字符"/>
    <w:basedOn w:val="56"/>
    <w:link w:val="24"/>
    <w:qFormat/>
    <w:uiPriority w:val="0"/>
    <w:rPr>
      <w:rFonts w:ascii="宋体" w:hAnsi="宋体"/>
      <w:b/>
      <w:bCs/>
      <w:kern w:val="2"/>
      <w:sz w:val="21"/>
      <w:szCs w:val="22"/>
    </w:rPr>
  </w:style>
  <w:style w:type="character" w:customStyle="1" w:styleId="58">
    <w:name w:val="批注框文本 字符"/>
    <w:basedOn w:val="29"/>
    <w:link w:val="16"/>
    <w:qFormat/>
    <w:uiPriority w:val="0"/>
    <w:rPr>
      <w:rFonts w:ascii="宋体" w:hAnsi="宋体"/>
      <w:kern w:val="2"/>
      <w:sz w:val="18"/>
      <w:szCs w:val="18"/>
    </w:rPr>
  </w:style>
  <w:style w:type="character" w:customStyle="1" w:styleId="59">
    <w:name w:val="s2"/>
    <w:qFormat/>
    <w:uiPriority w:val="0"/>
  </w:style>
  <w:style w:type="paragraph" w:customStyle="1" w:styleId="60">
    <w:name w:val="正文1"/>
    <w:qFormat/>
    <w:uiPriority w:val="0"/>
    <w:pPr>
      <w:widowControl w:val="0"/>
      <w:jc w:val="both"/>
    </w:pPr>
    <w:rPr>
      <w:rFonts w:ascii="Times New Roman" w:hAnsi="Times New Roman" w:eastAsia="宋体" w:cs="Times New Roman"/>
      <w:lang w:val="en-US" w:eastAsia="zh-CN" w:bidi="ar-SA"/>
    </w:rPr>
  </w:style>
  <w:style w:type="paragraph" w:customStyle="1" w:styleId="61">
    <w:name w:val="BodyText1I2"/>
    <w:basedOn w:val="62"/>
    <w:qFormat/>
    <w:uiPriority w:val="0"/>
    <w:pPr>
      <w:ind w:firstLine="420" w:firstLineChars="200"/>
    </w:pPr>
  </w:style>
  <w:style w:type="paragraph" w:customStyle="1" w:styleId="62">
    <w:name w:val="BodyTextIndent"/>
    <w:basedOn w:val="1"/>
    <w:qFormat/>
    <w:uiPriority w:val="0"/>
    <w:pPr>
      <w:spacing w:after="120"/>
      <w:ind w:left="420" w:leftChars="200"/>
    </w:pPr>
  </w:style>
  <w:style w:type="paragraph" w:customStyle="1" w:styleId="63">
    <w:name w:val="Char Char2"/>
    <w:basedOn w:val="1"/>
    <w:qFormat/>
    <w:uiPriority w:val="0"/>
    <w:pPr>
      <w:widowControl/>
      <w:jc w:val="left"/>
    </w:pPr>
    <w:rPr>
      <w:rFonts w:hAnsi="Calibri"/>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847486bd-83bd-443a-8401-4a6c14891a02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19F34F09</paraID>
      <start>0</start>
      <end>2</end>
      <status>unmodified</status>
      <modifiedWord/>
      <trackRevisions>false</trackRevisions>
    </reviewItem>
    <reviewItem>
      <errorID>be663398-0f8f-491a-8d4f-60dcd2470760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6AFD0108</paraID>
      <start>0</start>
      <end>2</end>
      <status>unmodified</status>
      <modifiedWord/>
      <trackRevisions>false</trackRevisions>
    </reviewItem>
    <reviewItem>
      <errorID>c9f9ee99-ea87-4967-a9ce-a837de904346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75BF6FC2</paraID>
      <start>0</start>
      <end>2</end>
      <status>unmodified</status>
      <modifiedWord/>
      <trackRevisions>false</trackRevisions>
    </reviewItem>
    <reviewItem>
      <errorID>7375feda-644d-46bb-bc27-c4e3ddc94382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477BFAA9</paraID>
      <start>0</start>
      <end>2</end>
      <status>unmodified</status>
      <modifiedWord/>
      <trackRevisions>false</trackRevisions>
    </reviewItem>
    <reviewItem>
      <errorID>74cdb7fb-d85f-4442-aa8b-04ff04538cf8</errorID>
      <errorWord>-</errorWord>
      <group>L1_Format</group>
      <groupName>格式问题</groupName>
      <ability>L2_HalfPunc</ability>
      <abilityName>全半角检查</abilityName>
      <candidateList>
        <item>－</item>
      </candidateList>
      <explain>文本全半角错误。</explain>
      <paraID>73E2F090</paraID>
      <start>78</start>
      <end>79</end>
      <status>unmodified</status>
      <modifiedWord/>
      <trackRevisions>false</trackRevisions>
    </reviewItem>
    <reviewItem>
      <errorID>98eb95c2-ca8c-4cda-b52a-3561f5266d9d</errorID>
      <errorWord>-</errorWord>
      <group>L1_Format</group>
      <groupName>格式问题</groupName>
      <ability>L2_HalfPunc</ability>
      <abilityName>全半角检查</abilityName>
      <candidateList>
        <item>－</item>
      </candidateList>
      <explain>文本全半角错误。</explain>
      <paraID>5CEE69C7</paraID>
      <start>50</start>
      <end>51</end>
      <status>unmodified</status>
      <modifiedWord/>
      <trackRevisions>false</trackRevisions>
    </reviewItem>
    <reviewItem>
      <errorID>fe421ddb-d7cf-476d-8d26-53abd4a7e334</errorID>
      <errorWord>只用</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57C8DC12</paraID>
      <start>14</start>
      <end>16</end>
      <status>unmodified</status>
      <modifiedWord/>
      <trackRevisions>false</trackRevisions>
    </reviewItem>
    <reviewItem>
      <errorID>4c11d756-1f3f-4a5b-a6d6-4a3001524941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6E79C588</paraID>
      <start>0</start>
      <end>2</end>
      <status>unmodified</status>
      <modifiedWord/>
      <trackRevisions>false</trackRevisions>
    </reviewItem>
    <reviewItem>
      <errorID>9564f606-28da-4cc5-a587-408be8ebc156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196CC225</paraID>
      <start>0</start>
      <end>2</end>
      <status>unmodified</status>
      <modifiedWord/>
      <trackRevisions>false</trackRevisions>
    </reviewItem>
    <reviewItem>
      <errorID>d35e4a8b-d82f-45ed-bb16-38e44963c571</errorID>
      <errorWord>。</errorWord>
      <group>L1_Punc</group>
      <groupName>标点问题</groupName>
      <ability>L2_Punc</ability>
      <abilityName>标点符号检查</abilityName>
      <candidateList/>
      <explain/>
      <paraID>1D8D5EE1</paraID>
      <start>60</start>
      <end>61</end>
      <status>unmodified</status>
      <modifiedWord/>
      <trackRevisions>false</trackRevisions>
    </reviewItem>
    <reviewItem>
      <errorID>067af757-d50e-4d8f-885d-98f792094142</errorID>
      <errorWord>&gt;</errorWord>
      <group>L1_Format</group>
      <groupName>格式问题</groupName>
      <ability>L2_HalfPunc</ability>
      <abilityName>全半角检查</abilityName>
      <candidateList>
        <item>〉</item>
      </candidateList>
      <explain>文本全半角错误。</explain>
      <paraID>5D4FE7EE</paraID>
      <start>21</start>
      <end>22</end>
      <status>unmodified</status>
      <modifiedWord/>
      <trackRevisions>false</trackRevisions>
    </reviewItem>
    <reviewItem>
      <errorID>31752fea-b2cc-4e45-b325-6d0d860ffb82</errorID>
      <errorWord>(</errorWord>
      <group>L1_Format</group>
      <groupName>格式问题</groupName>
      <ability>L2_HalfPunc</ability>
      <abilityName>全半角检查</abilityName>
      <candidateList>
        <item>（</item>
      </candidateList>
      <explain>文本全半角错误。</explain>
      <paraID>2ED27E3F</paraID>
      <start>10</start>
      <end>11</end>
      <status>unmodified</status>
      <modifiedWord/>
      <trackRevisions>false</trackRevisions>
    </reviewItem>
    <reviewItem>
      <errorID>be276e4e-5e0e-440b-b232-9ce1098da375</errorID>
      <errorWord>：/。</errorWord>
      <group>L1_Punc</group>
      <groupName>标点问题</groupName>
      <ability>L2_Punc</ability>
      <abilityName>标点符号检查</abilityName>
      <candidateList>
        <item>：</item>
      </candidateList>
      <explain/>
      <paraID>27A7EBA6</paraID>
      <start>10</start>
      <end>13</end>
      <status>unmodified</status>
      <modifiedWord/>
      <trackRevisions>false</trackRevisions>
    </reviewItem>
    <reviewItem>
      <errorID>a5b6d6dc-a539-459e-803f-eb6761c44693</errorID>
      <errorWord>：/。</errorWord>
      <group>L1_Punc</group>
      <groupName>标点问题</groupName>
      <ability>L2_Punc</ability>
      <abilityName>标点符号检查</abilityName>
      <candidateList>
        <item>：</item>
      </candidateList>
      <explain/>
      <paraID>2D8029E5</paraID>
      <start>11</start>
      <end>14</end>
      <status>unmodified</status>
      <modifiedWord/>
      <trackRevisions>false</trackRevisions>
    </reviewItem>
    <reviewItem>
      <errorID>5cbb84fb-d419-4f91-a879-c82baa87d03b</errorID>
      <errorWord>：/。</errorWord>
      <group>L1_Punc</group>
      <groupName>标点问题</groupName>
      <ability>L2_Punc</ability>
      <abilityName>标点符号检查</abilityName>
      <candidateList>
        <item>：</item>
      </candidateList>
      <explain/>
      <paraID>31E73AA6</paraID>
      <start>14</start>
      <end>17</end>
      <status>unmodified</status>
      <modifiedWord/>
      <trackRevisions>false</trackRevisions>
    </reviewItem>
    <reviewItem>
      <errorID>0331d137-b8bb-4c5b-8a60-5c230e870f1d</errorID>
      <errorWord>：/。</errorWord>
      <group>L1_Punc</group>
      <groupName>标点问题</groupName>
      <ability>L2_Punc</ability>
      <abilityName>标点符号检查</abilityName>
      <candidateList>
        <item>：</item>
      </candidateList>
      <explain/>
      <paraID>79CFF494</paraID>
      <start>14</start>
      <end>17</end>
      <status>unmodified</status>
      <modifiedWord/>
      <trackRevisions>false</trackRevisions>
    </reviewItem>
    <reviewItem>
      <errorID>dc054482-30a3-4427-9f6b-931e46b92f8f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6214F31A</paraID>
      <start>0</start>
      <end>2</end>
      <status>unmodified</status>
      <modifiedWord/>
      <trackRevisions>false</trackRevisions>
    </reviewItem>
    <reviewItem>
      <errorID>8e076930-45c1-43c7-8251-436ae2ddd145</errorID>
      <errorWord>州</errorWord>
      <group>L1_Word</group>
      <groupName>字词问题</groupName>
      <ability>L2_Typo</ability>
      <abilityName>字词错误</abilityName>
      <candidateList>
        <item>州市</item>
      </candidateList>
      <explain/>
      <paraID>6214F31A</paraID>
      <start>32</start>
      <end>33</end>
      <status>unmodified</status>
      <modifiedWord/>
      <trackRevisions>false</trackRevisions>
    </reviewItem>
    <reviewItem>
      <errorID>8591fbcc-04ad-499f-832f-b991b235d78a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1BCE6FD9</paraID>
      <start>0</start>
      <end>2</end>
      <status>unmodified</status>
      <modifiedWord/>
      <trackRevisions>false</trackRevisions>
    </reviewItem>
    <reviewItem>
      <errorID>a818ddc9-888c-4983-bdaa-4ba03d1e20be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2AAF36A6</paraID>
      <start>0</start>
      <end>2</end>
      <status>unmodified</status>
      <modifiedWord/>
      <trackRevisions>false</trackRevisions>
    </reviewItem>
    <reviewItem>
      <errorID>e09e6f36-f323-473f-ac41-4238e80589bf</errorID>
      <errorWord>(</errorWord>
      <group>L1_Format</group>
      <groupName>格式问题</groupName>
      <ability>L2_HalfPunc</ability>
      <abilityName>全半角检查</abilityName>
      <candidateList>
        <item>（</item>
      </candidateList>
      <explain>文本全半角错误。</explain>
      <paraID>3C403412</paraID>
      <start>15</start>
      <end>16</end>
      <status>unmodified</status>
      <modifiedWord/>
      <trackRevisions>false</trackRevisions>
    </reviewItem>
    <reviewItem>
      <errorID>68525190-878c-4f82-ad89-63c0f88e1926</errorID>
      <errorWord>)</errorWord>
      <group>L1_Format</group>
      <groupName>格式问题</groupName>
      <ability>L2_HalfPunc</ability>
      <abilityName>全半角检查</abilityName>
      <candidateList>
        <item>）</item>
      </candidateList>
      <explain>文本全半角错误。</explain>
      <paraID>3C403412</paraID>
      <start>40</start>
      <end>41</end>
      <status>unmodified</status>
      <modifiedWord/>
      <trackRevisions>false</trackRevisions>
    </reviewItem>
    <reviewItem>
      <errorID>1cb516b7-95c2-4030-8347-7cd7c130906d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7AC39754</paraID>
      <start>0</start>
      <end>2</end>
      <status>unmodified</status>
      <modifiedWord/>
      <trackRevisions>false</trackRevisions>
    </reviewItem>
    <reviewItem>
      <errorID>5344dff3-cef7-490b-acb7-304d30884803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76F64536</paraID>
      <start>0</start>
      <end>2</end>
      <status>unmodified</status>
      <modifiedWord/>
      <trackRevisions>false</trackRevisions>
    </reviewItem>
    <reviewItem>
      <errorID>21e0421e-26ba-45ce-8eb5-d407b4a8c532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25F44122</paraID>
      <start>0</start>
      <end>2</end>
      <status>unmodified</status>
      <modifiedWord/>
      <trackRevisions>false</trackRevisions>
    </reviewItem>
    <reviewItem>
      <errorID>d3f97c4b-14db-451c-b720-e7273df1b809</errorID>
      <errorWord>位</errorWord>
      <group>L1_Word</group>
      <groupName>字词问题</groupName>
      <ability>L2_Typo</ability>
      <abilityName>字词错误</abilityName>
      <candidateList>
        <item>位在</item>
      </candidateList>
      <explain/>
      <paraID>2C6C5D9F</paraID>
      <start>83</start>
      <end>84</end>
      <status>unmodified</status>
      <modifiedWord/>
      <trackRevisions>false</trackRevisions>
    </reviewItem>
    <reviewItem>
      <errorID>d992cdf6-36a0-47b1-80fa-010f1823abdd</errorID>
      <errorWord>/）</errorWord>
      <group>L1_Punc</group>
      <groupName>标点问题</groupName>
      <ability>L2_Punc</ability>
      <abilityName>标点符号检查</abilityName>
      <candidateList>
        <item>）</item>
      </candidateList>
      <explain/>
      <paraID>1F2046EA</paraID>
      <start>133</start>
      <end>135</end>
      <status>unmodified</status>
      <modifiedWord/>
      <trackRevisions>false</trackRevisions>
    </reviewItem>
    <reviewItem>
      <errorID>50a2388f-5e72-405c-8fd7-d6faac45cba1</errorID>
      <errorWord>）中</errorWord>
      <group>L1_Word</group>
      <groupName>字词问题</groupName>
      <ability>L2_Typo</ability>
      <abilityName>字词错误</abilityName>
      <candidateList>
        <item>）</item>
      </candidateList>
      <explain/>
      <paraID>6CD9AD74</paraID>
      <start>22</start>
      <end>24</end>
      <status>unmodified</status>
      <modifiedWord/>
      <trackRevisions>false</trackRevisions>
    </reviewItem>
    <reviewItem>
      <errorID>0158838b-69c3-4d81-b9af-fb6139e6f072</errorID>
      <errorWord>(</errorWord>
      <group>L1_Format</group>
      <groupName>格式问题</groupName>
      <ability>L2_HalfPunc</ability>
      <abilityName>全半角检查</abilityName>
      <candidateList>
        <item>（</item>
      </candidateList>
      <explain>文本全半角错误。</explain>
      <paraID>339789F6</paraID>
      <start>121</start>
      <end>122</end>
      <status>unmodified</status>
      <modifiedWord/>
      <trackRevisions>false</trackRevisions>
    </reviewItem>
    <reviewItem>
      <errorID>9c77ad1e-554a-4910-9a3d-3f7b1b6026b1</errorID>
      <errorWord>)</errorWord>
      <group>L1_Format</group>
      <groupName>格式问题</groupName>
      <ability>L2_HalfPunc</ability>
      <abilityName>全半角检查</abilityName>
      <candidateList>
        <item>）</item>
      </candidateList>
      <explain>文本全半角错误。</explain>
      <paraID>339789F6</paraID>
      <start>131</start>
      <end>132</end>
      <status>unmodified</status>
      <modifiedWord/>
      <trackRevisions>false</trackRevisions>
    </reviewItem>
    <reviewItem>
      <errorID>a24654cb-14bd-49c2-8c48-7a18da6497cf</errorID>
      <errorWord>(</errorWord>
      <group>L1_Format</group>
      <groupName>格式问题</groupName>
      <ability>L2_HalfPunc</ability>
      <abilityName>全半角检查</abilityName>
      <candidateList>
        <item>（</item>
      </candidateList>
      <explain>文本全半角错误。</explain>
      <paraID>51F5C829</paraID>
      <start>107</start>
      <end>108</end>
      <status>unmodified</status>
      <modifiedWord/>
      <trackRevisions>false</trackRevisions>
    </reviewItem>
    <reviewItem>
      <errorID>a843161f-bde4-4163-a81e-6d828124f4e0</errorID>
      <errorWord>)</errorWord>
      <group>L1_Format</group>
      <groupName>格式问题</groupName>
      <ability>L2_HalfPunc</ability>
      <abilityName>全半角检查</abilityName>
      <candidateList>
        <item>）</item>
      </candidateList>
      <explain>文本全半角错误。</explain>
      <paraID>51F5C829</paraID>
      <start>117</start>
      <end>118</end>
      <status>unmodified</status>
      <modifiedWord/>
      <trackRevisions>false</trackRevisions>
    </reviewItem>
    <reviewItem>
      <errorID>c6b96b61-1d90-401b-a4a3-66950c9fdabb</errorID>
      <errorWord>:</errorWord>
      <group>L1_Format</group>
      <groupName>格式问题</groupName>
      <ability>L2_HalfPunc</ability>
      <abilityName>全半角检查</abilityName>
      <candidateList>
        <item>：</item>
      </candidateList>
      <explain>文本全半角错误。</explain>
      <paraID>755CFB83</paraID>
      <start>24</start>
      <end>25</end>
      <status>unmodified</status>
      <modifiedWord/>
      <trackRevisions>false</trackRevisions>
    </reviewItem>
    <reviewItem>
      <errorID>152b9ac1-4f16-4a87-bdec-09889803bf2e</errorID>
      <errorWord>(</errorWord>
      <group>L1_Format</group>
      <groupName>格式问题</groupName>
      <ability>L2_HalfPunc</ability>
      <abilityName>全半角检查</abilityName>
      <candidateList>
        <item>（</item>
      </candidateList>
      <explain>文本全半角错误。</explain>
      <paraID>16D4BD7A</paraID>
      <start>13</start>
      <end>14</end>
      <status>unmodified</status>
      <modifiedWord/>
      <trackRevisions>false</trackRevisions>
    </reviewItem>
    <reviewItem>
      <errorID>ce88ba97-bba2-4a23-ae74-d4e58bab77c2</errorID>
      <errorWord>)</errorWord>
      <group>L1_Format</group>
      <groupName>格式问题</groupName>
      <ability>L2_HalfPunc</ability>
      <abilityName>全半角检查</abilityName>
      <candidateList>
        <item>）</item>
      </candidateList>
      <explain>文本全半角错误。</explain>
      <paraID>16D4BD7A</paraID>
      <start>24</start>
      <end>25</end>
      <status>unmodified</status>
      <modifiedWord/>
      <trackRevisions>false</trackRevisions>
    </reviewItem>
    <reviewItem>
      <errorID>67e9c4f7-2493-4476-9c54-edc553f744af</errorID>
      <errorWord>是</errorWord>
      <group>L1_Word</group>
      <groupName>字词问题</groupName>
      <ability>L2_Typo</ability>
      <abilityName>字词错误</abilityName>
      <candidateList>
        <item>时</item>
      </candidateList>
      <explain>存在发音相同字词的误用。</explain>
      <paraID>28247066</paraID>
      <start>61</start>
      <end>62</end>
      <status>unmodified</status>
      <modifiedWord/>
      <trackRevisions>false</trackRevisions>
    </reviewItem>
    <reviewItem>
      <errorID>59572474-93a0-4eb9-8b55-2fb7cde95bf5</errorID>
      <errorWord>:</errorWord>
      <group>L1_Format</group>
      <groupName>格式问题</groupName>
      <ability>L2_HalfPunc</ability>
      <abilityName>全半角检查</abilityName>
      <candidateList>
        <item>：</item>
      </candidateList>
      <explain>文本全半角错误。</explain>
      <paraID>101B3EC3</paraID>
      <start>63</start>
      <end>64</end>
      <status>unmodified</status>
      <modifiedWord/>
      <trackRevisions>false</trackRevisions>
    </reviewItem>
    <reviewItem>
      <errorID>96ffbf85-a023-48a0-8f73-1ea15efc31cc</errorID>
      <errorWord>(</errorWord>
      <group>L1_Format</group>
      <groupName>格式问题</groupName>
      <ability>L2_HalfPunc</ability>
      <abilityName>全半角检查</abilityName>
      <candidateList>
        <item>（</item>
      </candidateList>
      <explain>文本全半角错误。</explain>
      <paraID>38E5AD2D</paraID>
      <start>25</start>
      <end>26</end>
      <status>unmodified</status>
      <modifiedWord/>
      <trackRevisions>false</trackRevisions>
    </reviewItem>
    <reviewItem>
      <errorID>62985c6e-5089-448b-91ea-93b5b6429060</errorID>
      <errorWord>)</errorWord>
      <group>L1_Format</group>
      <groupName>格式问题</groupName>
      <ability>L2_HalfPunc</ability>
      <abilityName>全半角检查</abilityName>
      <candidateList>
        <item>）</item>
      </candidateList>
      <explain>文本全半角错误。</explain>
      <paraID>38E5AD2D</paraID>
      <start>172</start>
      <end>173</end>
      <status>unmodified</status>
      <modifiedWord/>
      <trackRevisions>false</trackRevisions>
    </reviewItem>
    <reviewItem>
      <errorID>bc51822c-b3f2-496e-a35a-c90b478887a0</errorID>
      <errorWord>(</errorWord>
      <group>L1_Format</group>
      <groupName>格式问题</groupName>
      <ability>L2_HalfPunc</ability>
      <abilityName>全半角检查</abilityName>
      <candidateList>
        <item>（</item>
      </candidateList>
      <explain>文本全半角错误。</explain>
      <paraID>474F276F</paraID>
      <start>39</start>
      <end>40</end>
      <status>unmodified</status>
      <modifiedWord/>
      <trackRevisions>false</trackRevisions>
    </reviewItem>
    <reviewItem>
      <errorID>ee7dd89c-a1a6-4554-8a7d-61c587828063</errorID>
      <errorWord>)</errorWord>
      <group>L1_Format</group>
      <groupName>格式问题</groupName>
      <ability>L2_HalfPunc</ability>
      <abilityName>全半角检查</abilityName>
      <candidateList>
        <item>）</item>
      </candidateList>
      <explain>文本全半角错误。</explain>
      <paraID>474F276F</paraID>
      <start>41</start>
      <end>42</end>
      <status>unmodified</status>
      <modifiedWord/>
      <trackRevisions>false</trackRevisions>
    </reviewItem>
    <reviewItem>
      <errorID>cb48669d-b18f-4b73-b4d4-c1768cc8ce2e</errorID>
      <errorWord>(</errorWord>
      <group>L1_Format</group>
      <groupName>格式问题</groupName>
      <ability>L2_HalfPunc</ability>
      <abilityName>全半角检查</abilityName>
      <candidateList>
        <item>（</item>
      </candidateList>
      <explain>文本全半角错误。</explain>
      <paraID>44ECA82B</paraID>
      <start>29</start>
      <end>30</end>
      <status>unmodified</status>
      <modifiedWord/>
      <trackRevisions>false</trackRevisions>
    </reviewItem>
    <reviewItem>
      <errorID>e1d43c2c-61e9-4494-9835-217c551975b1</errorID>
      <errorWord>)</errorWord>
      <group>L1_Format</group>
      <groupName>格式问题</groupName>
      <ability>L2_HalfPunc</ability>
      <abilityName>全半角检查</abilityName>
      <candidateList>
        <item>）</item>
      </candidateList>
      <explain>文本全半角错误。</explain>
      <paraID>44ECA82B</paraID>
      <start>31</start>
      <end>32</end>
      <status>unmodified</status>
      <modifiedWord/>
      <trackRevisions>false</trackRevisions>
    </reviewItem>
    <reviewItem>
      <errorID>a2476021-5a76-4e48-8618-6500a88eaedf</errorID>
      <errorWord>,</errorWord>
      <group>L1_Format</group>
      <groupName>格式问题</groupName>
      <ability>L2_HalfPunc</ability>
      <abilityName>全半角检查</abilityName>
      <candidateList>
        <item>，</item>
      </candidateList>
      <explain>文本全半角错误。</explain>
      <paraID>196D971E</paraID>
      <start>30</start>
      <end>31</end>
      <status>unmodified</status>
      <modifiedWord/>
      <trackRevisions>false</trackRevisions>
    </reviewItem>
    <reviewItem>
      <errorID>1f0bd5da-e372-477d-a250-eb3168143ad1</errorID>
      <errorWord>州</errorWord>
      <group>L1_Word</group>
      <groupName>字词问题</groupName>
      <ability>L2_Typo</ability>
      <abilityName>字词错误</abilityName>
      <candidateList>
        <item>州市</item>
      </candidateList>
      <explain/>
      <paraID>  E280FB</paraID>
      <start>36</start>
      <end>37</end>
      <status>unmodified</status>
      <modifiedWord/>
      <trackRevisions>false</trackRevisions>
    </reviewItem>
    <reviewItem>
      <errorID>69140ae2-7fbb-4382-80a1-faee917d6602</errorID>
      <errorWord>其它</errorWord>
      <group>L1_Word</group>
      <groupName>字词问题</groupName>
      <ability>L2_Alias</ability>
      <abilityName>也作/曾用词</abilityName>
      <candidateList>
        <item>其他</item>
      </candidateList>
      <explain>词汇[其它]为不规范表述或旧称，其规范书面表述为[其他]。</explain>
      <paraID>1A4F4DC5</paraID>
      <start>16</start>
      <end>18</end>
      <status>unmodified</status>
      <modifiedWord/>
      <trackRevisions>false</trackRevisions>
    </reviewItem>
    <reviewItem>
      <errorID>c889daca-b5b8-4789-89cf-bf00d3b57e11</errorID>
      <errorWord>（</errorWord>
      <group>L1_Punc</group>
      <groupName>标点问题</groupName>
      <ability>L2_Punc</ability>
      <abilityName>标点符号检查</abilityName>
      <candidateList/>
      <explain/>
      <paraID>6B9E9D25</paraID>
      <start>14</start>
      <end>15</end>
      <status>unmodified</status>
      <modifiedWord/>
      <trackRevisions>false</trackRevisions>
    </reviewItem>
    <reviewItem>
      <errorID>056e79f5-95f7-40d4-8276-d11e188885c0</errorID>
      <errorWord>》</errorWord>
      <group>L1_Punc</group>
      <groupName>标点问题</groupName>
      <ability>L2_Punc</ability>
      <abilityName>标点符号检查</abilityName>
      <candidateList/>
      <explain/>
      <paraID>6B9E9D25</paraID>
      <start>45</start>
      <end>46</end>
      <status>unmodified</status>
      <modifiedWord/>
      <trackRevisions>false</trackRevisions>
    </reviewItem>
    <reviewItem>
      <errorID>a839d91d-e64f-484e-a81c-fb9e4fffaf39</errorID>
      <errorWord>,</errorWord>
      <group>L1_Format</group>
      <groupName>格式问题</groupName>
      <ability>L2_HalfPunc</ability>
      <abilityName>全半角检查</abilityName>
      <candidateList>
        <item>，</item>
      </candidateList>
      <explain>文本全半角错误。</explain>
      <paraID>49AC18E2</paraID>
      <start>111</start>
      <end>112</end>
      <status>unmodified</status>
      <modifiedWord/>
      <trackRevisions>false</trackRevisions>
    </reviewItem>
    <reviewItem>
      <errorID>08d882df-afa8-4db7-8a62-d9a1a90dddb3</errorID>
      <errorWord>(</errorWord>
      <group>L1_Format</group>
      <groupName>格式问题</groupName>
      <ability>L2_HalfPunc</ability>
      <abilityName>全半角检查</abilityName>
      <candidateList>
        <item>（</item>
      </candidateList>
      <explain>文本全半角错误。</explain>
      <paraID>74F9CFD2</paraID>
      <start>13</start>
      <end>14</end>
      <status>unmodified</status>
      <modifiedWord/>
      <trackRevisions>false</trackRevisions>
    </reviewItem>
    <reviewItem>
      <errorID>7689aaa3-23b3-4330-a37d-f9217dca76c9</errorID>
      <errorWord>)</errorWord>
      <group>L1_Format</group>
      <groupName>格式问题</groupName>
      <ability>L2_HalfPunc</ability>
      <abilityName>全半角检查</abilityName>
      <candidateList>
        <item>）</item>
      </candidateList>
      <explain>文本全半角错误。</explain>
      <paraID>74F9CFD2</paraID>
      <start>24</start>
      <end>25</end>
      <status>unmodified</status>
      <modifiedWord/>
      <trackRevisions>false</trackRevisions>
    </reviewItem>
    <reviewItem>
      <errorID>54ee4ea8-26c9-451b-839d-ff4da1c176af</errorID>
      <errorWord>(</errorWord>
      <group>L1_Punc</group>
      <groupName>标点问题</groupName>
      <ability>L2_Punc</ability>
      <abilityName>标点符号检查</abilityName>
      <candidateList>
        <item/>
      </candidateList>
      <explain>同一形式括号套用。</explain>
      <paraID>51F9AAAD</paraID>
      <start>19</start>
      <end>20</end>
      <status>unmodified</status>
      <modifiedWord/>
      <trackRevisions>false</trackRevisions>
    </reviewItem>
    <reviewItem>
      <errorID>210722aa-81f9-4698-b6f7-c2c1decfb069</errorID>
      <errorWord>（</errorWord>
      <group>L1_Punc</group>
      <groupName>标点问题</groupName>
      <ability>L2_Punc</ability>
      <abilityName>标点符号检查</abilityName>
      <candidateList/>
      <explain>同一形式括号套用。</explain>
      <paraID>51F9AAAD</paraID>
      <start>56</start>
      <end>57</end>
      <status>unmodified</status>
      <modifiedWord/>
      <trackRevisions>false</trackRevisions>
    </reviewItem>
    <reviewItem>
      <errorID>bf933cdb-a91e-41c2-bce3-e8b3e12250ad</errorID>
      <errorWord>）</errorWord>
      <group>L1_Punc</group>
      <groupName>标点问题</groupName>
      <ability>L2_Punc</ability>
      <abilityName>标点符号检查</abilityName>
      <candidateList/>
      <explain>同一形式括号套用。</explain>
      <paraID>51F9AAAD</paraID>
      <start>60</start>
      <end>61</end>
      <status>unmodified</status>
      <modifiedWord/>
      <trackRevisions>false</trackRevisions>
    </reviewItem>
    <reviewItem>
      <errorID>c095fc3d-eb26-4a97-b1c4-5a23959a7184</errorID>
      <errorWord>)</errorWord>
      <group>L1_Punc</group>
      <groupName>标点问题</groupName>
      <ability>L2_Punc</ability>
      <abilityName>标点符号检查</abilityName>
      <candidateList/>
      <explain>同一形式括号套用。</explain>
      <paraID>51F9AAAD</paraID>
      <start>171</start>
      <end>172</end>
      <status>unmodified</status>
      <modifiedWord/>
      <trackRevisions>false</trackRevisions>
    </reviewItem>
    <reviewItem>
      <errorID>c715cd14-6172-4910-af75-375cd4ebcfc4</errorID>
      <errorWord>（</errorWord>
      <group>L1_Punc</group>
      <groupName>标点问题</groupName>
      <ability>L2_Punc</ability>
      <abilityName>标点符号检查</abilityName>
      <candidateList/>
      <explain>同一形式括号套用。</explain>
      <paraID> C809B01</paraID>
      <start>39</start>
      <end>40</end>
      <status>unmodified</status>
      <modifiedWord/>
      <trackRevisions>false</trackRevisions>
    </reviewItem>
    <reviewItem>
      <errorID>34863fee-6273-44a5-9040-d47312804532</errorID>
      <errorWord>）</errorWord>
      <group>L1_Punc</group>
      <groupName>标点问题</groupName>
      <ability>L2_Punc</ability>
      <abilityName>标点符号检查</abilityName>
      <candidateList/>
      <explain>同一形式括号套用。</explain>
      <paraID> C809B01</paraID>
      <start>46</start>
      <end>47</end>
      <status>unmodified</status>
      <modifiedWord/>
      <trackRevisions>false</trackRevisions>
    </reviewItem>
    <reviewItem>
      <errorID>b2f8fc98-4bb2-4c19-b859-8a59dbf7c478</errorID>
      <errorWord>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33E12395</paraID>
      <start>36</start>
      <end>37</end>
      <status>unmodified</status>
      <modifiedWord/>
      <trackRevisions>false</trackRevisions>
    </reviewItem>
    <reviewItem>
      <errorID>95dc49cf-a3e0-4f7c-bb01-167aa550daf9</errorID>
      <errorWord>：。</errorWord>
      <group>L1_Punc</group>
      <groupName>标点问题</groupName>
      <ability>L2_Punc</ability>
      <abilityName>标点符号检查</abilityName>
      <candidateList>
        <item>：</item>
      </candidateList>
      <explain/>
      <paraID>45C56A85</paraID>
      <start>40</start>
      <end>42</end>
      <status>unmodified</status>
      <modifiedWord/>
      <trackRevisions>false</trackRevisions>
    </reviewItem>
    <reviewItem>
      <errorID>0f21f375-c992-4fec-a1e7-3adfd4c51bd7</errorID>
      <errorWord>应是</errorWord>
      <group>L1_Word</group>
      <groupName>字词问题</groupName>
      <ability>L2_Typo</ability>
      <abilityName>字词错误</abilityName>
      <candidateList>
        <item>应</item>
      </candidateList>
      <explain/>
      <paraID>  569364</paraID>
      <start>16</start>
      <end>18</end>
      <status>unmodified</status>
      <modifiedWord/>
      <trackRevisions>false</trackRevisions>
    </reviewItem>
    <reviewItem>
      <errorID>cd0d1be8-8e50-4c15-8b2f-c6c0d3a63d03</errorID>
      <errorWord>应是</errorWord>
      <group>L1_Word</group>
      <groupName>字词问题</groupName>
      <ability>L2_Typo</ability>
      <abilityName>字词错误</abilityName>
      <candidateList>
        <item>应</item>
      </candidateList>
      <explain/>
      <paraID>4CCCBF4E</paraID>
      <start>16</start>
      <end>18</end>
      <status>unmodified</status>
      <modifiedWord/>
      <trackRevisions>false</trackRevisions>
    </reviewItem>
    <reviewItem>
      <errorID>017f599b-e634-4e3a-a74a-91b438e06570</errorID>
      <errorWord>,</errorWord>
      <group>L1_Format</group>
      <groupName>格式问题</groupName>
      <ability>L2_HalfPunc</ability>
      <abilityName>全半角检查</abilityName>
      <candidateList>
        <item>，</item>
      </candidateList>
      <explain>文本全半角错误。</explain>
      <paraID>559B121F</paraID>
      <start>57</start>
      <end>58</end>
      <status>unmodified</status>
      <modifiedWord/>
      <trackRevisions>false</trackRevisions>
    </reviewItem>
    <reviewItem>
      <errorID>9c8cc962-6bd2-45d1-9e40-4c5b1e56f40a</errorID>
      <errorWord>（</errorWord>
      <group>L1_Punc</group>
      <groupName>标点问题</groupName>
      <ability>L2_Punc</ability>
      <abilityName>标点符号检查</abilityName>
      <candidateList>
        <item/>
      </candidateList>
      <explain>同一形式括号套用。</explain>
      <paraID>559B121F</paraID>
      <start>78</start>
      <end>79</end>
      <status>unmodified</status>
      <modifiedWord/>
      <trackRevisions>false</trackRevisions>
    </reviewItem>
    <reviewItem>
      <errorID>0cfc6475-9b15-4783-8996-2a631b0216dd</errorID>
      <errorWord>(</errorWord>
      <group>L1_Punc</group>
      <groupName>标点问题</groupName>
      <ability>L2_Punc</ability>
      <abilityName>标点符号检查</abilityName>
      <candidateList/>
      <explain>同一形式括号套用。</explain>
      <paraID>559B121F</paraID>
      <start>83</start>
      <end>84</end>
      <status>unmodified</status>
      <modifiedWord/>
      <trackRevisions>false</trackRevisions>
    </reviewItem>
    <reviewItem>
      <errorID>dc8dc3ca-e2f2-4a70-875f-5606ec929596</errorID>
      <errorWord>)</errorWord>
      <group>L1_Punc</group>
      <groupName>标点问题</groupName>
      <ability>L2_Punc</ability>
      <abilityName>标点符号检查</abilityName>
      <candidateList/>
      <explain>同一形式括号套用。</explain>
      <paraID>559B121F</paraID>
      <start>94</start>
      <end>95</end>
      <status>unmodified</status>
      <modifiedWord/>
      <trackRevisions>false</trackRevisions>
    </reviewItem>
    <reviewItem>
      <errorID>5aaad4a8-fa52-4c97-9754-2d204f311827</errorID>
      <errorWord>）</errorWord>
      <group>L1_Punc</group>
      <groupName>标点问题</groupName>
      <ability>L2_Punc</ability>
      <abilityName>标点符号检查</abilityName>
      <candidateList/>
      <explain>同一形式括号套用。</explain>
      <paraID>559B121F</paraID>
      <start>102</start>
      <end>103</end>
      <status>unmodified</status>
      <modifiedWord/>
      <trackRevisions>false</trackRevisions>
    </reviewItem>
    <reviewItem>
      <errorID>2ed8ccd2-9f7e-4b5c-a2ce-4923672bc192</errorID>
      <errorWord>,</errorWord>
      <group>L1_Format</group>
      <groupName>格式问题</groupName>
      <ability>L2_HalfPunc</ability>
      <abilityName>全半角检查</abilityName>
      <candidateList>
        <item>，</item>
      </candidateList>
      <explain>文本全半角错误。</explain>
      <paraID>23E4323B</paraID>
      <start>83</start>
      <end>84</end>
      <status>unmodified</status>
      <modifiedWord/>
      <trackRevisions>false</trackRevisions>
    </reviewItem>
    <reviewItem>
      <errorID>d664eff4-a270-4acb-885e-5edd87644331</errorID>
      <errorWord>(</errorWord>
      <group>L1_Format</group>
      <groupName>格式问题</groupName>
      <ability>L2_HalfPunc</ability>
      <abilityName>全半角检查</abilityName>
      <candidateList>
        <item>（</item>
      </candidateList>
      <explain>文本全半角错误。</explain>
      <paraID>7EB76561</paraID>
      <start>34</start>
      <end>35</end>
      <status>unmodified</status>
      <modifiedWord/>
      <trackRevisions>false</trackRevisions>
    </reviewItem>
    <reviewItem>
      <errorID>65abbcc7-d101-42b1-b4af-095e8f2cde7b</errorID>
      <errorWord>)</errorWord>
      <group>L1_Format</group>
      <groupName>格式问题</groupName>
      <ability>L2_HalfPunc</ability>
      <abilityName>全半角检查</abilityName>
      <candidateList>
        <item>）</item>
      </candidateList>
      <explain>文本全半角错误。</explain>
      <paraID>7EB76561</paraID>
      <start>37</start>
      <end>38</end>
      <status>unmodified</status>
      <modifiedWord/>
      <trackRevisions>false</trackRevisions>
    </reviewItem>
    <reviewItem>
      <errorID>e516e94b-5dea-4eea-9b69-389164bc7be7</errorID>
      <errorWord>州</errorWord>
      <group>L1_Word</group>
      <groupName>字词问题</groupName>
      <ability>L2_Typo</ability>
      <abilityName>字词错误</abilityName>
      <candidateList>
        <item>州市</item>
      </candidateList>
      <explain/>
      <paraID>521803B7</paraID>
      <start>89</start>
      <end>90</end>
      <status>unmodified</status>
      <modifiedWord/>
      <trackRevisions>false</trackRevisions>
    </reviewItem>
    <reviewItem>
      <errorID>7e544c29-62dd-4b79-85ef-996216a695ba</errorID>
      <errorWord>兼中</errorWord>
      <group>L1_Word</group>
      <groupName>字词问题</groupName>
      <ability>L2_Typo</ability>
      <abilityName>字词错误</abilityName>
      <candidateList>
        <item>集中</item>
      </candidateList>
      <explain/>
      <paraID>18990714</paraID>
      <start>56</start>
      <end>58</end>
      <status>unmodified</status>
      <modifiedWord/>
      <trackRevisions>false</trackRevisions>
    </reviewItem>
    <reviewItem>
      <errorID>2cad2ff1-6b0c-4df4-9787-20dbc8d6c0a9</errorID>
      <errorWord>[2011]534号</errorWord>
      <group>L1_Knowledge</group>
      <groupName>知识性问题</groupName>
      <ability>L2_Knowledge</ability>
      <abilityName>其他知识</abilityName>
      <candidateList>
        <item>〔2011〕534号</item>
      </candidateList>
      <explain>发文字号格式错误。</explain>
      <paraID>635D3D0F</paraID>
      <start>89</start>
      <end>99</end>
      <status>unmodified</status>
      <modifiedWord/>
      <trackRevisions>false</trackRevisions>
    </reviewItem>
    <reviewItem>
      <errorID>dc19212b-2eb7-4f44-9caa-51c4339a92be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16606F11</paraID>
      <start>0</start>
      <end>2</end>
      <status>unmodified</status>
      <modifiedWord/>
      <trackRevisions>false</trackRevisions>
    </reviewItem>
    <reviewItem>
      <errorID>0a95ed7f-f5ac-402d-8660-fec85d5dd8cb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233E26D3</paraID>
      <start>43</start>
      <end>46</end>
      <status>unmodified</status>
      <modifiedWord/>
      <trackRevisions>false</trackRevisions>
    </reviewItem>
    <reviewItem>
      <errorID>18e1a9e3-dffa-48dc-8001-e1fdb8e2d3b7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233E26D3</paraID>
      <start>50</start>
      <end>53</end>
      <status>unmodified</status>
      <modifiedWord/>
      <trackRevisions>false</trackRevisions>
    </reviewItem>
    <reviewItem>
      <errorID>00d0a290-8e87-45d9-9fdb-58a4d9c4dc5a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3F2CF936</paraID>
      <start>0</start>
      <end>2</end>
      <status>unmodified</status>
      <modifiedWord/>
      <trackRevisions>false</trackRevisions>
    </reviewItem>
    <reviewItem>
      <errorID>6f599692-8d0b-4716-ad93-b35b81f5ed9b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6AE2B8C2</paraID>
      <start>0</start>
      <end>2</end>
      <status>unmodified</status>
      <modifiedWord/>
      <trackRevisions>false</trackRevisions>
    </reviewItem>
    <reviewItem>
      <errorID>fec3ff85-8a19-4680-9990-bc07807f01fa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6260F862</paraID>
      <start>0</start>
      <end>2</end>
      <status>unmodified</status>
      <modifiedWord/>
      <trackRevisions>false</trackRevisions>
    </reviewItem>
    <reviewItem>
      <errorID>dc93d24a-6b54-4029-9240-04d4bcb10070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474A8869</paraID>
      <start>0</start>
      <end>2</end>
      <status>unmodified</status>
      <modifiedWord/>
      <trackRevisions>false</trackRevisions>
    </reviewItem>
    <reviewItem>
      <errorID>9225d4f5-0aff-4183-9905-2105d546c5af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49711D72</paraID>
      <start>0</start>
      <end>2</end>
      <status>unmodified</status>
      <modifiedWord/>
      <trackRevisions>false</trackRevisions>
    </reviewItem>
    <reviewItem>
      <errorID>a7ec168d-9df9-48d6-846a-aa105d23e73a</errorID>
      <errorWord>本</errorWord>
      <group>L1_Word</group>
      <groupName>字词问题</groupName>
      <ability>L2_Typo</ability>
      <abilityName>字词错误</abilityName>
      <candidateList>
        <item>本次</item>
      </candidateList>
      <explain/>
      <paraID>3E4075F2</paraID>
      <start>35</start>
      <end>36</end>
      <status>unmodified</status>
      <modifiedWord/>
      <trackRevisions>false</trackRevisions>
    </reviewItem>
    <reviewItem>
      <errorID>70835388-0a7a-4542-9d75-67ca042a03c0</errorID>
      <errorWord>撤消其</errorWord>
      <group>L1_Word</group>
      <groupName>字词问题</groupName>
      <ability>L2_Alias</ability>
      <abilityName>也作/曾用词</abilityName>
      <candidateList>
        <item>撤销其</item>
      </candidateList>
      <explain>词汇[撤消其]为不规范表述或旧称，其规范书面表述为[撤销其]。</explain>
      <paraID> 5F0448E</paraID>
      <start>132</start>
      <end>135</end>
      <status>unmodified</status>
      <modifiedWord/>
      <trackRevisions>false</trackRevisions>
    </reviewItem>
    <reviewItem>
      <errorID>8cb289fd-d8f2-4e01-b857-4e424d25ce8e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70862ECA</paraID>
      <start>0</start>
      <end>2</end>
      <status>unmodified</status>
      <modifiedWord/>
      <trackRevisions>false</trackRevisions>
    </reviewItem>
    <reviewItem>
      <errorID>799b93c6-af05-4315-b5df-4a69dd309fb1</errorID>
      <errorWord>）中</errorWord>
      <group>L1_Word</group>
      <groupName>字词问题</groupName>
      <ability>L2_Typo</ability>
      <abilityName>字词错误</abilityName>
      <candidateList>
        <item>）</item>
      </candidateList>
      <explain/>
      <paraID>66914AE7</paraID>
      <start>20</start>
      <end>22</end>
      <status>unmodified</status>
      <modifiedWord/>
      <trackRevisions>false</trackRevisions>
    </reviewItem>
    <reviewItem>
      <errorID>97f0d221-9540-4e7a-951e-b2e240be702d</errorID>
      <errorWord>,</errorWord>
      <group>L1_Format</group>
      <groupName>格式问题</groupName>
      <ability>L2_HalfPunc</ability>
      <abilityName>全半角检查</abilityName>
      <candidateList>
        <item>，</item>
      </candidateList>
      <explain>文本全半角错误。</explain>
      <paraID>7DE5A46B</paraID>
      <start>10</start>
      <end>11</end>
      <status>unmodified</status>
      <modifiedWord/>
      <trackRevisions>false</trackRevisions>
    </reviewItem>
    <reviewItem>
      <errorID>a0be270a-c05c-4156-9fa3-00c7b251a058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5C858F91</paraID>
      <start>0</start>
      <end>3</end>
      <status>unmodified</status>
      <modifiedWord/>
      <trackRevisions>false</trackRevisions>
    </reviewItem>
    <reviewItem>
      <errorID>e1e7a7b3-c6ca-49d7-b690-51b074bff5e4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2AE66A8F</paraID>
      <start>0</start>
      <end>3</end>
      <status>unmodified</status>
      <modifiedWord/>
      <trackRevisions>false</trackRevisions>
    </reviewItem>
    <reviewItem>
      <errorID>0c983906-9439-4231-bfaf-3f3b972d533f</errorID>
      <errorWord>:</errorWord>
      <group>L1_Format</group>
      <groupName>格式问题</groupName>
      <ability>L2_HalfPunc</ability>
      <abilityName>全半角检查</abilityName>
      <candidateList>
        <item>：</item>
      </candidateList>
      <explain>文本全半角错误。</explain>
      <paraID>58363D46</paraID>
      <start>21</start>
      <end>22</end>
      <status>unmodified</status>
      <modifiedWord/>
      <trackRevisions>false</trackRevisions>
    </reviewItem>
    <reviewItem>
      <errorID>ee4c1cdb-f097-4256-9116-e65a198e5ee5</errorID>
      <errorWord>(</errorWord>
      <group>L1_Format</group>
      <groupName>格式问题</groupName>
      <ability>L2_HalfPunc</ability>
      <abilityName>全半角检查</abilityName>
      <candidateList>
        <item>（</item>
      </candidateList>
      <explain>文本全半角错误。</explain>
      <paraID>7EF2C1BA</paraID>
      <start>13</start>
      <end>14</end>
      <status>unmodified</status>
      <modifiedWord/>
      <trackRevisions>false</trackRevisions>
    </reviewItem>
    <reviewItem>
      <errorID>b5623e1a-e574-4c1b-a409-2aa84f92ffeb</errorID>
      <errorWord>)</errorWord>
      <group>L1_Format</group>
      <groupName>格式问题</groupName>
      <ability>L2_HalfPunc</ability>
      <abilityName>全半角检查</abilityName>
      <candidateList>
        <item>）</item>
      </candidateList>
      <explain>文本全半角错误。</explain>
      <paraID>7EF2C1BA</paraID>
      <start>24</start>
      <end>25</end>
      <status>unmodified</status>
      <modifiedWord/>
      <trackRevisions>false</trackRevisions>
    </reviewItem>
    <reviewItem>
      <errorID>573c249e-1ff2-4d50-9736-7a57a3cccae9</errorID>
      <errorWord>是</errorWord>
      <group>L1_Word</group>
      <groupName>字词问题</groupName>
      <ability>L2_Typo</ability>
      <abilityName>字词错误</abilityName>
      <candidateList>
        <item>时</item>
      </candidateList>
      <explain>存在发音相同字词的误用。</explain>
      <paraID>2523B0D1</paraID>
      <start>60</start>
      <end>61</end>
      <status>unmodified</status>
      <modifiedWord/>
      <trackRevisions>false</trackRevisions>
    </reviewItem>
    <reviewItem>
      <errorID>b43a879c-cb01-4040-882a-2eb792f8e7d9</errorID>
      <errorWord>(</errorWord>
      <group>L1_Format</group>
      <groupName>格式问题</groupName>
      <ability>L2_HalfPunc</ability>
      <abilityName>全半角检查</abilityName>
      <candidateList>
        <item>（</item>
      </candidateList>
      <explain>文本全半角错误。</explain>
      <paraID>11B72E14</paraID>
      <start>13</start>
      <end>14</end>
      <status>unmodified</status>
      <modifiedWord/>
      <trackRevisions>false</trackRevisions>
    </reviewItem>
    <reviewItem>
      <errorID>19f2d2db-e2a6-4810-a643-4af04591ad01</errorID>
      <errorWord>)</errorWord>
      <group>L1_Format</group>
      <groupName>格式问题</groupName>
      <ability>L2_HalfPunc</ability>
      <abilityName>全半角检查</abilityName>
      <candidateList>
        <item>）</item>
      </candidateList>
      <explain>文本全半角错误。</explain>
      <paraID>11B72E14</paraID>
      <start>24</start>
      <end>25</end>
      <status>unmodified</status>
      <modifiedWord/>
      <trackRevisions>false</trackRevisions>
    </reviewItem>
    <reviewItem>
      <errorID>e739295e-bcb2-41f1-8d35-effac74cfc20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21E357B</paraID>
      <start>0</start>
      <end>3</end>
      <status>unmodified</status>
      <modifiedWord/>
      <trackRevisions>false</trackRevisions>
    </reviewItem>
    <reviewItem>
      <errorID>0011fded-3553-41d3-a51c-5acb30eeb7c5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5D72C845</paraID>
      <start>0</start>
      <end>3</end>
      <status>unmodified</status>
      <modifiedWord/>
      <trackRevisions>false</trackRevisions>
    </reviewItem>
    <reviewItem>
      <errorID>e492d861-4fef-4fd0-a49c-3fe5fef5f4a8</errorID>
      <errorWord>应是</errorWord>
      <group>L1_Word</group>
      <groupName>字词问题</groupName>
      <ability>L2_Typo</ability>
      <abilityName>字词错误</abilityName>
      <candidateList>
        <item>应</item>
      </candidateList>
      <explain/>
      <paraID>685332AE</paraID>
      <start>13</start>
      <end>15</end>
      <status>unmodified</status>
      <modifiedWord/>
      <trackRevisions>false</trackRevisions>
    </reviewItem>
    <reviewItem>
      <errorID>f942ebc2-c742-4932-a9d5-52741030ee15</errorID>
      <errorWord>,</errorWord>
      <group>L1_Format</group>
      <groupName>格式问题</groupName>
      <ability>L2_HalfPunc</ability>
      <abilityName>全半角检查</abilityName>
      <candidateList>
        <item>，</item>
      </candidateList>
      <explain>文本全半角错误。</explain>
      <paraID>7956B467</paraID>
      <start>57</start>
      <end>58</end>
      <status>unmodified</status>
      <modifiedWord/>
      <trackRevisions>false</trackRevisions>
    </reviewItem>
    <reviewItem>
      <errorID>0686fb71-1302-439e-9614-80d73e4c33c5</errorID>
      <errorWord>（</errorWord>
      <group>L1_Punc</group>
      <groupName>标点问题</groupName>
      <ability>L2_Punc</ability>
      <abilityName>标点符号检查</abilityName>
      <candidateList>
        <item/>
      </candidateList>
      <explain>同一形式括号套用。</explain>
      <paraID>7956B467</paraID>
      <start>78</start>
      <end>79</end>
      <status>unmodified</status>
      <modifiedWord/>
      <trackRevisions>false</trackRevisions>
    </reviewItem>
    <reviewItem>
      <errorID>b43a06c0-4624-4de0-a506-ffaa9078922e</errorID>
      <errorWord>(</errorWord>
      <group>L1_Punc</group>
      <groupName>标点问题</groupName>
      <ability>L2_Punc</ability>
      <abilityName>标点符号检查</abilityName>
      <candidateList/>
      <explain>同一形式括号套用。</explain>
      <paraID>7956B467</paraID>
      <start>83</start>
      <end>84</end>
      <status>unmodified</status>
      <modifiedWord/>
      <trackRevisions>false</trackRevisions>
    </reviewItem>
    <reviewItem>
      <errorID>653c39f6-1d1d-41e3-ad4d-bab09f8f33c1</errorID>
      <errorWord>)</errorWord>
      <group>L1_Punc</group>
      <groupName>标点问题</groupName>
      <ability>L2_Punc</ability>
      <abilityName>标点符号检查</abilityName>
      <candidateList/>
      <explain>同一形式括号套用。</explain>
      <paraID>7956B467</paraID>
      <start>94</start>
      <end>95</end>
      <status>unmodified</status>
      <modifiedWord/>
      <trackRevisions>false</trackRevisions>
    </reviewItem>
    <reviewItem>
      <errorID>394a6602-23f7-4965-9b4d-30ffeda30aef</errorID>
      <errorWord>）</errorWord>
      <group>L1_Punc</group>
      <groupName>标点问题</groupName>
      <ability>L2_Punc</ability>
      <abilityName>标点符号检查</abilityName>
      <candidateList/>
      <explain>同一形式括号套用。</explain>
      <paraID>7956B467</paraID>
      <start>103</start>
      <end>104</end>
      <status>unmodified</status>
      <modifiedWord/>
      <trackRevisions>false</trackRevisions>
    </reviewItem>
    <reviewItem>
      <errorID>558cef4e-dfb9-47c0-b1df-2867419bba2a</errorID>
      <errorWord>,</errorWord>
      <group>L1_Format</group>
      <groupName>格式问题</groupName>
      <ability>L2_HalfPunc</ability>
      <abilityName>全半角检查</abilityName>
      <candidateList>
        <item>，</item>
      </candidateList>
      <explain>文本全半角错误。</explain>
      <paraID>775E9D18</paraID>
      <start>80</start>
      <end>81</end>
      <status>unmodified</status>
      <modifiedWord/>
      <trackRevisions>false</trackRevisions>
    </reviewItem>
    <reviewItem>
      <errorID>b0cbdf1d-f900-4e3e-ba9c-047551cfaf1f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551100E1</paraID>
      <start>0</start>
      <end>3</end>
      <status>unmodified</status>
      <modifiedWord/>
      <trackRevisions>false</trackRevisions>
    </reviewItem>
    <reviewItem>
      <errorID>1b97c845-72c1-4f30-903c-6c86bddd7d26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7ABCD37E</paraID>
      <start>0</start>
      <end>3</end>
      <status>unmodified</status>
      <modifiedWord/>
      <trackRevisions>false</trackRevisions>
    </reviewItem>
    <reviewItem>
      <errorID>d48789fe-3db0-48c6-bfcb-123cb671cf47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190627B1</paraID>
      <start>0</start>
      <end>3</end>
      <status>unmodified</status>
      <modifiedWord/>
      <trackRevisions>false</trackRevisions>
    </reviewItem>
    <reviewItem>
      <errorID>7c9964d2-625c-4c1d-99ee-a9f05266ef38</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1B4927E8</paraID>
      <start>0</start>
      <end>3</end>
      <status>unmodified</status>
      <modifiedWord/>
      <trackRevisions>false</trackRevisions>
    </reviewItem>
    <reviewItem>
      <errorID>99fa1623-b631-4215-943e-daf7d8812e40</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2D435993</paraID>
      <start>0</start>
      <end>3</end>
      <status>unmodified</status>
      <modifiedWord/>
      <trackRevisions>false</trackRevisions>
    </reviewItem>
    <reviewItem>
      <errorID>184d34e2-a87e-4a62-9d03-2d1a8ebc0fdb</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D41952E</paraID>
      <start>0</start>
      <end>3</end>
      <status>unmodified</status>
      <modifiedWord/>
      <trackRevisions>false</trackRevisions>
    </reviewItem>
    <reviewItem>
      <errorID>68bb3076-c9f4-45c6-ade8-d465a97d169d</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4139A8FD</paraID>
      <start>0</start>
      <end>3</end>
      <status>unmodified</status>
      <modifiedWord/>
      <trackRevisions>false</trackRevisions>
    </reviewItem>
    <reviewItem>
      <errorID>d7416d18-3ed7-4473-a9b8-ed6eb5cad4b5</errorID>
      <errorWord>兼中</errorWord>
      <group>L1_Word</group>
      <groupName>字词问题</groupName>
      <ability>L2_Typo</ability>
      <abilityName>字词错误</abilityName>
      <candidateList>
        <item>集中</item>
      </candidateList>
      <explain/>
      <paraID>4DF56778</paraID>
      <start>54</start>
      <end>56</end>
      <status>unmodified</status>
      <modifiedWord/>
      <trackRevisions>false</trackRevisions>
    </reviewItem>
    <reviewItem>
      <errorID>286c8816-4d34-4d84-907c-b2ac763c45d4</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133C3AF1</paraID>
      <start>0</start>
      <end>3</end>
      <status>unmodified</status>
      <modifiedWord/>
      <trackRevisions>false</trackRevisions>
    </reviewItem>
    <reviewItem>
      <errorID>e35fa2ba-c44c-4d4b-832c-03d4979dab0a</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3113872C</paraID>
      <start>0</start>
      <end>3</end>
      <status>unmodified</status>
      <modifiedWord/>
      <trackRevisions>false</trackRevisions>
    </reviewItem>
    <reviewItem>
      <errorID>e7496657-e7ab-4453-a149-79b37d5dc4ac</errorID>
      <errorWord>签定</errorWord>
      <group>L1_Word</group>
      <groupName>字词问题</groupName>
      <ability>L2_Typo</ability>
      <abilityName>字词错误</abilityName>
      <candidateList>
        <item>签订</item>
      </candidateList>
      <explain>存在发音相同字词的误用。</explain>
      <paraID> DA3151C</paraID>
      <start>14</start>
      <end>16</end>
      <status>unmodified</status>
      <modifiedWord/>
      <trackRevisions>false</trackRevisions>
    </reviewItem>
    <reviewItem>
      <errorID>5fc1e39f-a70a-447c-bea3-696fdc97eb47</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4EC17936</paraID>
      <start>0</start>
      <end>3</end>
      <status>unmodified</status>
      <modifiedWord/>
      <trackRevisions>false</trackRevisions>
    </reviewItem>
    <reviewItem>
      <errorID>4f2d7dd3-624c-4b71-91fc-01581152f707</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17168F1D</paraID>
      <start>0</start>
      <end>3</end>
      <status>unmodified</status>
      <modifiedWord/>
      <trackRevisions>false</trackRevisions>
    </reviewItem>
    <reviewItem>
      <errorID>12456c7d-20ed-4c27-b030-24188eed7745</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691FBCD7</paraID>
      <start>0</start>
      <end>3</end>
      <status>unmodified</status>
      <modifiedWord/>
      <trackRevisions>false</trackRevisions>
    </reviewItem>
    <reviewItem>
      <errorID>1e83c57c-ef69-4f81-a190-a12da80e09d2</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2293B2AF</paraID>
      <start>0</start>
      <end>3</end>
      <status>unmodified</status>
      <modifiedWord/>
      <trackRevisions>false</trackRevisions>
    </reviewItem>
    <reviewItem>
      <errorID>d9bdce6f-646e-4207-8669-8aff7deed15e</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6C7EB22C</paraID>
      <start>0</start>
      <end>3</end>
      <status>unmodified</status>
      <modifiedWord/>
      <trackRevisions>false</trackRevisions>
    </reviewItem>
    <reviewItem>
      <errorID>20935134-9977-4072-b016-4e5bb785e210</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5E38856F</paraID>
      <start>0</start>
      <end>3</end>
      <status>unmodified</status>
      <modifiedWord/>
      <trackRevisions>false</trackRevisions>
    </reviewItem>
    <reviewItem>
      <errorID>c8e5533e-d25c-49b7-8ed5-3120b2624da5</errorID>
      <errorWord>及至</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75E41387</paraID>
      <start>59</start>
      <end>61</end>
      <status>unmodified</status>
      <modifiedWord/>
      <trackRevisions>false</trackRevisions>
    </reviewItem>
    <reviewItem>
      <errorID>968b8aa7-4806-4578-927c-2d8500d9e545</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1EFF28D9</paraID>
      <start>0</start>
      <end>3</end>
      <status>unmodified</status>
      <modifiedWord/>
      <trackRevisions>false</trackRevisions>
    </reviewItem>
    <reviewItem>
      <errorID>2ed724dd-bb9b-4eeb-acb5-6abfa892f48a</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7098719B</paraID>
      <start>0</start>
      <end>3</end>
      <status>unmodified</status>
      <modifiedWord/>
      <trackRevisions>false</trackRevisions>
    </reviewItem>
    <reviewItem>
      <errorID>6b654b5c-a0a9-4afe-8a67-fa90d24d818c</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100E94A7</paraID>
      <start>0</start>
      <end>3</end>
      <status>unmodified</status>
      <modifiedWord/>
      <trackRevisions>false</trackRevisions>
    </reviewItem>
    <reviewItem>
      <errorID>af5f8441-f9fa-4478-ba3f-25da4b60402a</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22D418E5</paraID>
      <start>0</start>
      <end>3</end>
      <status>unmodified</status>
      <modifiedWord/>
      <trackRevisions>false</trackRevisions>
    </reviewItem>
    <reviewItem>
      <errorID>d1b02753-ba50-4a81-9d84-7d67325c64a5</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5919EEAF</paraID>
      <start>0</start>
      <end>3</end>
      <status>unmodified</status>
      <modifiedWord/>
      <trackRevisions>false</trackRevisions>
    </reviewItem>
    <reviewItem>
      <errorID>f856b592-bcf9-44f1-82cd-5273cfdd57b3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7BC96556</paraID>
      <start>0</start>
      <end>3</end>
      <status>unmodified</status>
      <modifiedWord/>
      <trackRevisions>false</trackRevisions>
    </reviewItem>
    <reviewItem>
      <errorID>f47daf2b-8d1e-4e93-a78d-c6030cebe745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58AAAEFB</paraID>
      <start>0</start>
      <end>3</end>
      <status>unmodified</status>
      <modifiedWord/>
      <trackRevisions>false</trackRevisions>
    </reviewItem>
    <reviewItem>
      <errorID>18975b0f-f757-4c78-a558-bf87bd4dfd51</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618BFC05</paraID>
      <start>0</start>
      <end>3</end>
      <status>unmodified</status>
      <modifiedWord/>
      <trackRevisions>false</trackRevisions>
    </reviewItem>
    <reviewItem>
      <errorID>ce334262-dbb2-46f7-9d0c-d7c27b75d399</errorID>
      <errorWord>本</errorWord>
      <group>L1_Word</group>
      <groupName>字词问题</groupName>
      <ability>L2_Typo</ability>
      <abilityName>字词错误</abilityName>
      <candidateList>
        <item>本次</item>
      </candidateList>
      <explain/>
      <paraID>618BFC05</paraID>
      <start>13</start>
      <end>14</end>
      <status>unmodified</status>
      <modifiedWord/>
      <trackRevisions>false</trackRevisions>
    </reviewItem>
    <reviewItem>
      <errorID>3b06b786-13c9-4371-a573-f92a8fb057d3</errorID>
      <errorWord>进</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 2E34734</paraID>
      <start>49</start>
      <end>50</end>
      <status>unmodified</status>
      <modifiedWord/>
      <trackRevisions>false</trackRevisions>
    </reviewItem>
    <reviewItem>
      <errorID>65d185a6-e1d9-4f68-8af7-e74fc59b9c23</errorID>
      <errorWord>/）</errorWord>
      <group>L1_Punc</group>
      <groupName>标点问题</groupName>
      <ability>L2_Punc</ability>
      <abilityName>标点符号检查</abilityName>
      <candidateList>
        <item>）</item>
      </candidateList>
      <explain/>
      <paraID>27D9E6C1</paraID>
      <start>151</start>
      <end>153</end>
      <status>unmodified</status>
      <modifiedWord/>
      <trackRevisions>false</trackRevisions>
    </reviewItem>
    <reviewItem>
      <errorID>f747620b-64f1-4bd5-beff-a6e2dd58122a</errorID>
      <errorWord>:</errorWord>
      <group>L1_Format</group>
      <groupName>格式问题</groupName>
      <ability>L2_HalfPunc</ability>
      <abilityName>全半角检查</abilityName>
      <candidateList>
        <item>：</item>
      </candidateList>
      <explain>文本全半角错误。</explain>
      <paraID>2841F692</paraID>
      <start>2</start>
      <end>3</end>
      <status>unmodified</status>
      <modifiedWord/>
      <trackRevisions>false</trackRevisions>
    </reviewItem>
    <reviewItem>
      <errorID>6c2c1755-0f39-42fe-b470-6b75e8eb6a99</errorID>
      <errorWord>&lt;</errorWord>
      <group>L1_Format</group>
      <groupName>格式问题</groupName>
      <ability>L2_HalfPunc</ability>
      <abilityName>全半角检查</abilityName>
      <candidateList>
        <item>〈</item>
      </candidateList>
      <explain>文本全半角错误。</explain>
      <paraID>3451C7AC</paraID>
      <start>71</start>
      <end>72</end>
      <status>unmodified</status>
      <modifiedWord/>
      <trackRevisions>false</trackRevisions>
    </reviewItem>
    <reviewItem>
      <errorID>688e1cc8-fb61-4643-94ec-815d98aceb70</errorID>
      <errorWord>&gt;的通知》</errorWord>
      <group>L1_Punc</group>
      <groupName>标点问题</groupName>
      <ability>L2_Punc</ability>
      <abilityName>标点符号检查</abilityName>
      <candidateList>
        <item>〉的通知》</item>
      </candidateList>
      <explain/>
      <paraID>3451C7AC</paraID>
      <start>95</start>
      <end>100</end>
      <status>unmodified</status>
      <modifiedWord/>
      <trackRevisions>false</trackRevisions>
    </reviewItem>
    <reviewItem>
      <errorID>fa6bf31a-9940-4daa-b9ce-889c1055e9ff</errorID>
      <errorWord>兼中</errorWord>
      <group>L1_Word</group>
      <groupName>字词问题</groupName>
      <ability>L2_Typo</ability>
      <abilityName>字词错误</abilityName>
      <candidateList>
        <item>集中</item>
      </candidateList>
      <explain/>
      <paraID>22960EA9</paraID>
      <start>45</start>
      <end>47</end>
      <status>unmodified</status>
      <modifiedWord/>
      <trackRevisions>false</trackRevisions>
    </reviewItem>
    <reviewItem>
      <errorID>12961145-1545-431d-b530-b3f43f4b17e1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6DE494A9</paraID>
      <start>18</start>
      <end>20</end>
      <status>unmodified</status>
      <modifiedWord/>
      <trackRevisions>false</trackRevisions>
    </reviewItem>
    <reviewItem>
      <errorID>f0ae54b5-c8e5-429e-bcdf-d614b38e923b</errorID>
      <errorWord>。</errorWord>
      <group>L1_Punc</group>
      <groupName>标点问题</groupName>
      <ability>L2_Punc</ability>
      <abilityName>标点符号检查</abilityName>
      <candidateList/>
      <explain/>
      <paraID>5343CE69</paraID>
      <start>125</start>
      <end>126</end>
      <status>unmodified</status>
      <modifiedWord/>
      <trackRevisions>false</trackRevisions>
    </reviewItem>
    <reviewItem>
      <errorID>3551e09f-a11b-42fb-ae32-598d9dddbac5</errorID>
      <errorWord>:</errorWord>
      <group>L1_Format</group>
      <groupName>格式问题</groupName>
      <ability>L2_HalfPunc</ability>
      <abilityName>全半角检查</abilityName>
      <candidateList>
        <item>：</item>
      </candidateList>
      <explain>文本全半角错误。</explain>
      <paraID>2FE1E565</paraID>
      <start>3</start>
      <end>4</end>
      <status>unmodified</status>
      <modifiedWord/>
      <trackRevisions>false</trackRevisions>
    </reviewItem>
    <reviewItem>
      <errorID>286450d4-f1fa-43eb-aec1-92e6b8a9fc16</errorID>
      <errorWord>标及格</errorWord>
      <group>L1_Word</group>
      <groupName>字词问题</groupName>
      <ability>L2_Typo</ability>
      <abilityName>字词错误</abilityName>
      <candidateList>
        <item>标价格</item>
      </candidateList>
      <explain/>
      <paraID>3F2914F1</paraID>
      <start>77</start>
      <end>80</end>
      <status>unmodified</status>
      <modifiedWord/>
      <trackRevisions>false</trackRevisions>
    </reviewItem>
    <reviewItem>
      <errorID>0d8890c1-4c45-4573-88d8-8577b5c69404</errorID>
      <errorWord>Ｘ</errorWord>
      <group>L1_Format</group>
      <groupName>格式问题</groupName>
      <ability>L2_HalfPunc</ability>
      <abilityName>全半角检查</abilityName>
      <candidateList>
        <item>X</item>
      </candidateList>
      <explain>文本全半角错误。</explain>
      <paraID> D264F1C</paraID>
      <start>18</start>
      <end>19</end>
      <status>unmodified</status>
      <modifiedWord/>
      <trackRevisions>false</trackRevisions>
    </reviewItem>
    <reviewItem>
      <errorID>ebc355da-84e0-4bee-aecf-e31665ce4bc3</errorID>
      <errorWord>标及</errorWord>
      <group>L1_Word</group>
      <groupName>字词问题</groupName>
      <ability>L2_Typo</ability>
      <abilityName>字词错误</abilityName>
      <candidateList>
        <item>标价</item>
      </candidateList>
      <explain/>
      <paraID>2F0C36E3</paraID>
      <start>11</start>
      <end>13</end>
      <status>unmodified</status>
      <modifiedWord/>
      <trackRevisions>false</trackRevisions>
    </reviewItem>
    <reviewItem>
      <errorID>ad357e09-57f2-43c0-82d1-97d6e5bd67a5</errorID>
      <errorWord>:</errorWord>
      <group>L1_Format</group>
      <groupName>格式问题</groupName>
      <ability>L2_HalfPunc</ability>
      <abilityName>全半角检查</abilityName>
      <candidateList>
        <item>：</item>
      </candidateList>
      <explain>文本全半角错误。</explain>
      <paraID>29C7D5A0</paraID>
      <start>1</start>
      <end>2</end>
      <status>unmodified</status>
      <modifiedWord/>
      <trackRevisions>false</trackRevisions>
    </reviewItem>
    <reviewItem>
      <errorID>6ad02419-2cd4-4af4-abe5-f33d3e5d1593</errorID>
      <errorWord>&gt;</errorWord>
      <group>L1_Format</group>
      <groupName>格式问题</groupName>
      <ability>L2_HalfPunc</ability>
      <abilityName>全半角检查</abilityName>
      <candidateList>
        <item>〉</item>
      </candidateList>
      <explain>文本全半角错误。</explain>
      <paraID>2D01537E</paraID>
      <start>13</start>
      <end>14</end>
      <status>unmodified</status>
      <modifiedWord/>
      <trackRevisions>false</trackRevisions>
    </reviewItem>
    <reviewItem>
      <errorID>f94cb10b-81d3-486e-8175-a963999bf3b3</errorID>
      <errorWord>。</errorWord>
      <group>L1_Punc</group>
      <groupName>标点问题</groupName>
      <ability>L2_Punc</ability>
      <abilityName>标点符号检查</abilityName>
      <candidateList/>
      <explain/>
      <paraID>2BF9CCA4</paraID>
      <start>201</start>
      <end>202</end>
      <status>unmodified</status>
      <modifiedWord/>
      <trackRevisions>false</trackRevisions>
    </reviewItem>
    <reviewItem>
      <errorID>ccb82872-77ce-4e42-a5a7-43df21580ddd</errorID>
      <errorWord>作必要</errorWord>
      <group>L1_Word</group>
      <groupName>字词问题</groupName>
      <ability>L2_Typo</ability>
      <abilityName>字词错误</abilityName>
      <candidateList>
        <item>做必要</item>
      </candidateList>
      <explain/>
      <paraID>5C22858E</paraID>
      <start>209</start>
      <end>212</end>
      <status>unmodified</status>
      <modifiedWord/>
      <trackRevisions>false</trackRevisions>
    </reviewItem>
    <reviewItem>
      <errorID>0baf674e-290d-4069-bef5-98abc821d3e8</errorID>
      <errorWord>作必要</errorWord>
      <group>L1_Word</group>
      <groupName>字词问题</groupName>
      <ability>L2_Typo</ability>
      <abilityName>字词错误</abilityName>
      <candidateList>
        <item>做必要</item>
      </candidateList>
      <explain/>
      <paraID>3B230380</paraID>
      <start>196</start>
      <end>199</end>
      <status>unmodified</status>
      <modifiedWord/>
      <trackRevisions>false</trackRevisions>
    </reviewItem>
    <reviewItem>
      <errorID>a41b4263-6a8e-4a8c-a1df-a7b546a79006</errorID>
      <errorWord>)</errorWord>
      <group>L1_Format</group>
      <groupName>格式问题</groupName>
      <ability>L2_HalfPunc</ability>
      <abilityName>全半角检查</abilityName>
      <candidateList>
        <item>）</item>
      </candidateList>
      <explain>文本全半角错误。</explain>
      <paraID>734632CB</paraID>
      <start>52</start>
      <end>53</end>
      <status>unmodified</status>
      <modifiedWord/>
      <trackRevisions>false</trackRevisions>
    </reviewItem>
    <reviewItem>
      <errorID>7cb57817-9425-4e24-98db-597237d8be80</errorID>
      <errorWord>兼中</errorWord>
      <group>L1_Word</group>
      <groupName>字词问题</groupName>
      <ability>L2_Typo</ability>
      <abilityName>字词错误</abilityName>
      <candidateList>
        <item>集中</item>
      </candidateList>
      <explain/>
      <paraID>74AC5795</paraID>
      <start>48</start>
      <end>50</end>
      <status>unmodified</status>
      <modifiedWord/>
      <trackRevisions>false</trackRevisions>
    </reviewItem>
    <reviewItem>
      <errorID>1343aa75-5e22-4ed2-8001-3d1bfe5fe131</errorID>
      <errorWord>[2004]4号</errorWord>
      <group>L1_Knowledge</group>
      <groupName>知识性问题</groupName>
      <ability>L2_Knowledge</ability>
      <abilityName>其他知识</abilityName>
      <candidateList>
        <item>〔2004〕4号</item>
      </candidateList>
      <explain>发文字号格式错误。</explain>
      <paraID>57A4C259</paraID>
      <start>31</start>
      <end>39</end>
      <status>unmodified</status>
      <modifiedWord/>
      <trackRevisions>false</trackRevisions>
    </reviewItem>
    <reviewItem>
      <errorID>c375bdad-daca-451c-ba5e-861945b3a818</errorID>
      <errorWord>&lt;</errorWord>
      <group>L1_Format</group>
      <groupName>格式问题</groupName>
      <ability>L2_HalfPunc</ability>
      <abilityName>全半角检查</abilityName>
      <candidateList>
        <item>〈</item>
      </candidateList>
      <explain>文本全半角错误。</explain>
      <paraID>30BC916B</paraID>
      <start>71</start>
      <end>72</end>
      <status>unmodified</status>
      <modifiedWord/>
      <trackRevisions>false</trackRevisions>
    </reviewItem>
    <reviewItem>
      <errorID>c29aaf12-8a09-4c24-b7c6-dded18bec2cf</errorID>
      <errorWord>&gt;的通知》</errorWord>
      <group>L1_Punc</group>
      <groupName>标点问题</groupName>
      <ability>L2_Punc</ability>
      <abilityName>标点符号检查</abilityName>
      <candidateList>
        <item>〉的通知》</item>
      </candidateList>
      <explain/>
      <paraID>30BC916B</paraID>
      <start>95</start>
      <end>100</end>
      <status>unmodified</status>
      <modifiedWord/>
      <trackRevisions>false</trackRevisions>
    </reviewItem>
    <reviewItem>
      <errorID>b2f1b143-92d9-4c4e-8c2a-6d3b585f6133</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42C9CA70</paraID>
      <start>0</start>
      <end>3</end>
      <status>unmodified</status>
      <modifiedWord/>
      <trackRevisions>false</trackRevisions>
    </reviewItem>
    <reviewItem>
      <errorID>2f96130e-66f2-4c7b-8c49-cb29c515506c</errorID>
      <errorWord>兼中</errorWord>
      <group>L1_Word</group>
      <groupName>字词问题</groupName>
      <ability>L2_Typo</ability>
      <abilityName>字词错误</abilityName>
      <candidateList>
        <item>集中</item>
      </candidateList>
      <explain/>
      <paraID>335A486B</paraID>
      <start>42</start>
      <end>44</end>
      <status>unmodified</status>
      <modifiedWord/>
      <trackRevisions>false</trackRevisions>
    </reviewItem>
    <reviewItem>
      <errorID>c16fab08-b26d-4f6e-8faa-859c8dd0f9ed</errorID>
      <errorWord>件</errorWord>
      <group>L1_Word</group>
      <groupName>字词问题</groupName>
      <ability>L2_Typo</ability>
      <abilityName>字词错误</abilityName>
      <candidateList>
        <item>件与</item>
      </candidateList>
      <explain/>
      <paraID>3649F98E</paraID>
      <start>28</start>
      <end>29</end>
      <status>unmodified</status>
      <modifiedWord/>
      <trackRevisions>false</trackRevisions>
    </reviewItem>
    <reviewItem>
      <errorID>149ac205-63ac-4935-94ad-e3e34e6a5731</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443CE4E6</paraID>
      <start>0</start>
      <end>3</end>
      <status>unmodified</status>
      <modifiedWord/>
      <trackRevisions>false</trackRevisions>
    </reviewItem>
    <reviewItem>
      <errorID>b46e5f25-3186-4ba4-90e0-7446ce162353</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AC39CD8</paraID>
      <start>0</start>
      <end>3</end>
      <status>unmodified</status>
      <modifiedWord/>
      <trackRevisions>false</trackRevisions>
    </reviewItem>
    <reviewItem>
      <errorID>39cf49ff-d19c-47a2-8c24-c5ddd255973f</errorID>
      <errorWord>现</errorWord>
      <group>L1_Word</group>
      <groupName>字词问题</groupName>
      <ability>L2_Typo</ability>
      <abilityName>字词错误</abilityName>
      <candidateList>
        <item>现的</item>
      </candidateList>
      <explain/>
      <paraID>4E6A2A8F</paraID>
      <start>60</start>
      <end>61</end>
      <status>unmodified</status>
      <modifiedWord/>
      <trackRevisions>false</trackRevisions>
    </reviewItem>
    <reviewItem>
      <errorID>5af09343-3638-4885-a8b5-0d2d666cbd20</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4E6A2A8F</paraID>
      <start>80</start>
      <end>83</end>
      <status>unmodified</status>
      <modifiedWord/>
      <trackRevisions>false</trackRevisions>
    </reviewItem>
    <reviewItem>
      <errorID>747eac93-1069-475a-9335-029757fda28f</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6F6AB799</paraID>
      <start>0</start>
      <end>3</end>
      <status>unmodified</status>
      <modifiedWord/>
      <trackRevisions>false</trackRevisions>
    </reviewItem>
    <reviewItem>
      <errorID>3073486d-47b0-4c88-a935-1242c6114e1b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612FA387</paraID>
      <start>18</start>
      <end>20</end>
      <status>unmodified</status>
      <modifiedWord/>
      <trackRevisions>false</trackRevisions>
    </reviewItem>
    <reviewItem>
      <errorID>0eeeba34-aaf6-4b32-9efa-ab549a7dd325</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318E06A4</paraID>
      <start>0</start>
      <end>3</end>
      <status>unmodified</status>
      <modifiedWord/>
      <trackRevisions>false</trackRevisions>
    </reviewItem>
    <reviewItem>
      <errorID>b8f533a8-cad8-4442-ac66-0645bf416e5f</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721696E6</paraID>
      <start>0</start>
      <end>3</end>
      <status>unmodified</status>
      <modifiedWord/>
      <trackRevisions>false</trackRevisions>
    </reviewItem>
    <reviewItem>
      <errorID>4f9470ad-66b7-45f6-94f6-c5212de64bf7</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43DB7821</paraID>
      <start>0</start>
      <end>3</end>
      <status>unmodified</status>
      <modifiedWord/>
      <trackRevisions>false</trackRevisions>
    </reviewItem>
    <reviewItem>
      <errorID>c35a5417-bf1e-4259-a913-525ffc343475</errorID>
      <errorWord>作必要</errorWord>
      <group>L1_Word</group>
      <groupName>字词问题</groupName>
      <ability>L2_Typo</ability>
      <abilityName>字词错误</abilityName>
      <candidateList>
        <item>做必要</item>
      </candidateList>
      <explain/>
      <paraID>79077478</paraID>
      <start>145</start>
      <end>148</end>
      <status>unmodified</status>
      <modifiedWord/>
      <trackRevisions>false</trackRevisions>
    </reviewItem>
    <reviewItem>
      <errorID>9063d973-22bf-4f4e-b1f2-27ef3ad6de86</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614EF250</paraID>
      <start>0</start>
      <end>3</end>
      <status>unmodified</status>
      <modifiedWord/>
      <trackRevisions>false</trackRevisions>
    </reviewItem>
    <reviewItem>
      <errorID>8f021b2c-f9c7-4721-8447-f30c0c8f968b</errorID>
      <errorWord>兼中</errorWord>
      <group>L1_Word</group>
      <groupName>字词问题</groupName>
      <ability>L2_Typo</ability>
      <abilityName>字词错误</abilityName>
      <candidateList>
        <item>集中</item>
      </candidateList>
      <explain/>
      <paraID>74B32949</paraID>
      <start>186</start>
      <end>188</end>
      <status>unmodified</status>
      <modifiedWord/>
      <trackRevisions>false</trackRevisions>
    </reviewItem>
    <reviewItem>
      <errorID>56d70e8e-067d-454c-b205-6f3b66e4b8e8</errorID>
      <errorWord>作必要</errorWord>
      <group>L1_Word</group>
      <groupName>字词问题</groupName>
      <ability>L2_Typo</ability>
      <abilityName>字词错误</abilityName>
      <candidateList>
        <item>做必要</item>
      </candidateList>
      <explain/>
      <paraID>74B32949</paraID>
      <start>263</start>
      <end>266</end>
      <status>unmodified</status>
      <modifiedWord/>
      <trackRevisions>false</trackRevisions>
    </reviewItem>
    <reviewItem>
      <errorID>8801a388-370a-43b7-b20c-7cd8bd28d0f3</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578DB130</paraID>
      <start>0</start>
      <end>3</end>
      <status>unmodified</status>
      <modifiedWord/>
      <trackRevisions>false</trackRevisions>
    </reviewItem>
    <reviewItem>
      <errorID>aede6f6e-9696-4041-88d1-536afee73556</errorID>
      <errorWord>标及格</errorWord>
      <group>L1_Word</group>
      <groupName>字词问题</groupName>
      <ability>L2_Typo</ability>
      <abilityName>字词错误</abilityName>
      <candidateList>
        <item>标价格</item>
      </candidateList>
      <explain/>
      <paraID>5A4A4FF4</paraID>
      <start>77</start>
      <end>80</end>
      <status>unmodified</status>
      <modifiedWord/>
      <trackRevisions>false</trackRevisions>
    </reviewItem>
    <reviewItem>
      <errorID>60e54ffb-a3c7-4902-9056-21b8b30e3015</errorID>
      <errorWord>Ｘ</errorWord>
      <group>L1_Format</group>
      <groupName>格式问题</groupName>
      <ability>L2_HalfPunc</ability>
      <abilityName>全半角检查</abilityName>
      <candidateList>
        <item>X</item>
      </candidateList>
      <explain>文本全半角错误。</explain>
      <paraID>30188E3D</paraID>
      <start>18</start>
      <end>19</end>
      <status>unmodified</status>
      <modifiedWord/>
      <trackRevisions>false</trackRevisions>
    </reviewItem>
    <reviewItem>
      <errorID>70b6c4d8-f62e-4606-86ae-e24c4b6861e5</errorID>
      <errorWord>标及</errorWord>
      <group>L1_Word</group>
      <groupName>字词问题</groupName>
      <ability>L2_Typo</ability>
      <abilityName>字词错误</abilityName>
      <candidateList>
        <item>标价</item>
      </candidateList>
      <explain/>
      <paraID>48CEAC72</paraID>
      <start>11</start>
      <end>13</end>
      <status>unmodified</status>
      <modifiedWord/>
      <trackRevisions>false</trackRevisions>
    </reviewItem>
    <reviewItem>
      <errorID>173dce73-902a-422f-943d-27b9ae16ef4a</errorID>
      <errorWord>作必要</errorWord>
      <group>L1_Word</group>
      <groupName>字词问题</groupName>
      <ability>L2_Typo</ability>
      <abilityName>字词错误</abilityName>
      <candidateList>
        <item>做必要</item>
      </candidateList>
      <explain/>
      <paraID>6A1998DE</paraID>
      <start>206</start>
      <end>209</end>
      <status>unmodified</status>
      <modifiedWord/>
      <trackRevisions>false</trackRevisions>
    </reviewItem>
    <reviewItem>
      <errorID>021d0d88-cc27-4df6-a208-a38f84d2e49e</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49E11322</paraID>
      <start>55</start>
      <end>57</end>
      <status>unmodified</status>
      <modifiedWord/>
      <trackRevisions>false</trackRevisions>
    </reviewItem>
    <reviewItem>
      <errorID>0bf8cb71-2d4b-45fd-a15d-e23c3a8773be</errorID>
      <errorWord>其它</errorWord>
      <group>L1_Word</group>
      <groupName>字词问题</groupName>
      <ability>L2_Alias</ability>
      <abilityName>也作/曾用词</abilityName>
      <candidateList>
        <item>其他</item>
      </candidateList>
      <explain>词汇[其它]为不规范表述或旧称，其规范书面表述为[其他]。</explain>
      <paraID>6CEACCCF</paraID>
      <start>303</start>
      <end>305</end>
      <status>unmodified</status>
      <modifiedWord/>
      <trackRevisions>false</trackRevisions>
    </reviewItem>
    <reviewItem>
      <errorID>8f0a9820-543b-45bb-b0b0-af6997543bac</errorID>
      <errorWord>兼中</errorWord>
      <group>L1_Word</group>
      <groupName>字词问题</groupName>
      <ability>L2_Typo</ability>
      <abilityName>字词错误</abilityName>
      <candidateList>
        <item>集中</item>
      </candidateList>
      <explain/>
      <paraID>58CD967D</paraID>
      <start>46</start>
      <end>48</end>
      <status>unmodified</status>
      <modifiedWord/>
      <trackRevisions>false</trackRevisions>
    </reviewItem>
    <reviewItem>
      <errorID>32d1dcde-c5e6-43aa-ba2e-3393f38ca2b2</errorID>
      <errorWord>须</errorWord>
      <group>L1_Word</group>
      <groupName>字词问题</groupName>
      <ability>L2_Typo</ability>
      <abilityName>字词错误</abilityName>
      <candidateList>
        <item>需</item>
      </candidateList>
      <explain>存在发音相同字词的误用。</explain>
      <paraID>51B5E3CA</paraID>
      <start>0</start>
      <end>1</end>
      <status>unmodified</status>
      <modifiedWord/>
      <trackRevisions>false</trackRevisions>
    </reviewItem>
    <reviewItem>
      <errorID>c92d554c-6c10-4470-b502-e09ab55e3ba2</errorID>
      <errorWord>(</errorWord>
      <group>L1_Format</group>
      <groupName>格式问题</groupName>
      <ability>L2_HalfPunc</ability>
      <abilityName>全半角检查</abilityName>
      <candidateList>
        <item>（</item>
      </candidateList>
      <explain>文本全半角错误。</explain>
      <paraID>7F8060C9</paraID>
      <start>52</start>
      <end>53</end>
      <status>unmodified</status>
      <modifiedWord/>
      <trackRevisions>false</trackRevisions>
    </reviewItem>
    <reviewItem>
      <errorID>61073536-a991-482d-a01f-f3fcd5728a30</errorID>
      <errorWord>)</errorWord>
      <group>L1_Format</group>
      <groupName>格式问题</groupName>
      <ability>L2_HalfPunc</ability>
      <abilityName>全半角检查</abilityName>
      <candidateList>
        <item>）</item>
      </candidateList>
      <explain>文本全半角错误。</explain>
      <paraID>7F8060C9</paraID>
      <start>54</start>
      <end>55</end>
      <status>unmodified</status>
      <modifiedWord/>
      <trackRevisions>false</trackRevisions>
    </reviewItem>
    <reviewItem>
      <errorID>1d9787c6-164c-4e2c-9683-de88229e5d7e</errorID>
      <errorWord>(</errorWord>
      <group>L1_Format</group>
      <groupName>格式问题</groupName>
      <ability>L2_HalfPunc</ability>
      <abilityName>全半角检查</abilityName>
      <candidateList>
        <item>（</item>
      </candidateList>
      <explain>文本全半角错误。</explain>
      <paraID> A97217C</paraID>
      <start>36</start>
      <end>37</end>
      <status>unmodified</status>
      <modifiedWord/>
      <trackRevisions>false</trackRevisions>
    </reviewItem>
    <reviewItem>
      <errorID>bbea6fe2-408f-42e2-ae2b-684e31a049fe</errorID>
      <errorWord>)</errorWord>
      <group>L1_Format</group>
      <groupName>格式问题</groupName>
      <ability>L2_HalfPunc</ability>
      <abilityName>全半角检查</abilityName>
      <candidateList>
        <item>）</item>
      </candidateList>
      <explain>文本全半角错误。</explain>
      <paraID> A97217C</paraID>
      <start>38</start>
      <end>39</end>
      <status>unmodified</status>
      <modifiedWord/>
      <trackRevisions>false</trackRevisions>
    </reviewItem>
    <reviewItem>
      <errorID>1f347358-6742-4955-b83f-c8640f5e9d6d</errorID>
      <errorWord>(</errorWord>
      <group>L1_Format</group>
      <groupName>格式问题</groupName>
      <ability>L2_HalfPunc</ability>
      <abilityName>全半角检查</abilityName>
      <candidateList>
        <item>（</item>
      </candidateList>
      <explain>文本全半角错误。</explain>
      <paraID>4DFC5077</paraID>
      <start>50</start>
      <end>51</end>
      <status>unmodified</status>
      <modifiedWord/>
      <trackRevisions>false</trackRevisions>
    </reviewItem>
    <reviewItem>
      <errorID>7ec93ec0-5ea0-438b-98f5-50152e91d471</errorID>
      <errorWord>)</errorWord>
      <group>L1_Format</group>
      <groupName>格式问题</groupName>
      <ability>L2_HalfPunc</ability>
      <abilityName>全半角检查</abilityName>
      <candidateList>
        <item>）</item>
      </candidateList>
      <explain>文本全半角错误。</explain>
      <paraID>4DFC5077</paraID>
      <start>52</start>
      <end>53</end>
      <status>unmodified</status>
      <modifiedWord/>
      <trackRevisions>false</trackRevisions>
    </reviewItem>
    <reviewItem>
      <errorID>bc1a16d7-fd66-4976-99bd-80f49c5b7d7f</errorID>
      <errorWord>其它</errorWord>
      <group>L1_Word</group>
      <groupName>字词问题</groupName>
      <ability>L2_Alias</ability>
      <abilityName>也作/曾用词</abilityName>
      <candidateList>
        <item>其他</item>
      </candidateList>
      <explain>词汇[其它]为不规范表述或旧称，其规范书面表述为[其他]。</explain>
      <paraID>2F0A63CF</paraID>
      <start>12</start>
      <end>14</end>
      <status>unmodified</status>
      <modifiedWord/>
      <trackRevisions>false</trackRevisions>
    </reviewItem>
    <reviewItem>
      <errorID>6387b475-d1b0-46e7-a8b3-cb61b7b35eb3</errorID>
      <errorWord>其它</errorWord>
      <group>L1_Word</group>
      <groupName>字词问题</groupName>
      <ability>L2_Alias</ability>
      <abilityName>也作/曾用词</abilityName>
      <candidateList>
        <item>其他</item>
      </candidateList>
      <explain>词汇[其它]为不规范表述或旧称，其规范书面表述为[其他]。</explain>
      <paraID>514EBAAA</paraID>
      <start>12</start>
      <end>14</end>
      <status>unmodified</status>
      <modifiedWord/>
      <trackRevisions>false</trackRevisions>
    </reviewItem>
    <reviewItem>
      <errorID>0e3521c0-9fd3-49fb-932f-da16a9dafd90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2F5DC9D9</paraID>
      <start>0</start>
      <end>2</end>
      <status>unmodified</status>
      <modifiedWord/>
      <trackRevisions>false</trackRevisions>
    </reviewItem>
    <reviewItem>
      <errorID>971b9ae9-c0e7-4894-8018-035024a9681d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368C538A</paraID>
      <start>0</start>
      <end>2</end>
      <status>unmodified</status>
      <modifiedWord/>
      <trackRevisions>false</trackRevisions>
    </reviewItem>
    <reviewItem>
      <errorID>8908b085-c31c-4203-9822-59e0b2a1761d</errorID>
      <errorWord>作必要</errorWord>
      <group>L1_Word</group>
      <groupName>字词问题</groupName>
      <ability>L2_Typo</ability>
      <abilityName>字词错误</abilityName>
      <candidateList>
        <item>做必要</item>
      </candidateList>
      <explain/>
      <paraID>368C538A</paraID>
      <start>75</start>
      <end>78</end>
      <status>unmodified</status>
      <modifiedWord/>
      <trackRevisions>false</trackRevisions>
    </reviewItem>
    <reviewItem>
      <errorID>422692dc-9d7f-4eb6-9361-89a967798189</errorID>
      <errorWord>（</errorWord>
      <group>L1_Punc</group>
      <groupName>标点问题</groupName>
      <ability>L2_Punc</ability>
      <abilityName>标点符号检查</abilityName>
      <candidateList/>
      <explain/>
      <paraID>707C7079</paraID>
      <start>13</start>
      <end>14</end>
      <status>unmodified</status>
      <modifiedWord/>
      <trackRevisions>false</trackRevisions>
    </reviewItem>
    <reviewItem>
      <errorID>6586a4cf-de39-4368-b6d0-754b6e6ccee6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707C7079</paraID>
      <start>46</start>
      <end>49</end>
      <status>unmodified</status>
      <modifiedWord/>
      <trackRevisions>false</trackRevisions>
    </reviewItem>
    <reviewItem>
      <errorID>83935b70-ddd6-485e-b2ed-cbe88f086ebb</errorID>
      <errorWord>广东省实施&lt;中华人民共和国招标投标法&gt;</errorWord>
      <group>L1_Knowledge</group>
      <groupName>知识性问题</groupName>
      <ability>L2_Knowledge</ability>
      <abilityName>其他知识</abilityName>
      <candidateList/>
      <explain>当前法律法规未收录或尚未生效，注意核查是否正确。</explain>
      <paraID>383F42EC</paraID>
      <start>8</start>
      <end>27</end>
      <status>unmodified</status>
      <modifiedWord/>
      <trackRevisions>false</trackRevisions>
    </reviewItem>
    <reviewItem>
      <errorID>2da4466c-ea69-42a8-ba48-39f636f6c9e4</errorID>
      <errorWord>(</errorWord>
      <group>L1_Format</group>
      <groupName>格式问题</groupName>
      <ability>L2_HalfPunc</ability>
      <abilityName>全半角检查</abilityName>
      <candidateList>
        <item>（</item>
      </candidateList>
      <explain>文本全半角错误。</explain>
      <paraID>1C9AFB7F</paraID>
      <start>30</start>
      <end>31</end>
      <status>unmodified</status>
      <modifiedWord/>
      <trackRevisions>false</trackRevisions>
    </reviewItem>
    <reviewItem>
      <errorID>966ede1a-1af0-4210-b1a6-0a248db62852</errorID>
      <errorWord>)</errorWord>
      <group>L1_Format</group>
      <groupName>格式问题</groupName>
      <ability>L2_HalfPunc</ability>
      <abilityName>全半角检查</abilityName>
      <candidateList>
        <item>）</item>
      </candidateList>
      <explain>文本全半角错误。</explain>
      <paraID>1C9AFB7F</paraID>
      <start>47</start>
      <end>48</end>
      <status>unmodified</status>
      <modifiedWord/>
      <trackRevisions>false</trackRevisions>
    </reviewItem>
    <reviewItem>
      <errorID>b6920a8e-8346-4d0d-a5b3-f4c88e1711e6</errorID>
      <errorWord>作必要</errorWord>
      <group>L1_Word</group>
      <groupName>字词问题</groupName>
      <ability>L2_Typo</ability>
      <abilityName>字词错误</abilityName>
      <candidateList>
        <item>做必要</item>
      </candidateList>
      <explain/>
      <paraID>150FEC97</paraID>
      <start>77</start>
      <end>80</end>
      <status>unmodified</status>
      <modifiedWord/>
      <trackRevisions>false</trackRevisions>
    </reviewItem>
    <reviewItem>
      <errorID>8f912d86-06e4-416f-b4c1-9f77b5672672</errorID>
      <errorWord>就为</errorWord>
      <group>L1_Word</group>
      <groupName>字词问题</groupName>
      <ability>L2_Typo</ability>
      <abilityName>字词错误</abilityName>
      <candidateList>
        <item>视为</item>
      </candidateList>
      <explain>存在字形相近字词的误用。</explain>
      <paraID>6C6AFA9F</paraID>
      <start>27</start>
      <end>29</end>
      <status>unmodified</status>
      <modifiedWord/>
      <trackRevisions>false</trackRevisions>
    </reviewItem>
    <reviewItem>
      <errorID>acc80703-8258-4943-a28f-ac5ea51adcea</errorID>
      <errorWord>广东省实施&lt;中华人民共和国招标投标法&gt;</errorWord>
      <group>L1_Knowledge</group>
      <groupName>知识性问题</groupName>
      <ability>L2_Knowledge</ability>
      <abilityName>其他知识</abilityName>
      <candidateList/>
      <explain>当前法律法规未收录或尚未生效，注意核查是否正确。</explain>
      <paraID>3D38A548</paraID>
      <start>8</start>
      <end>27</end>
      <status>unmodified</status>
      <modifiedWord/>
      <trackRevisions>false</trackRevisions>
    </reviewItem>
    <reviewItem>
      <errorID>adb094b8-4903-45cf-b828-08c980cfcd1b</errorID>
      <errorWord>就为</errorWord>
      <group>L1_Word</group>
      <groupName>字词问题</groupName>
      <ability>L2_Typo</ability>
      <abilityName>字词错误</abilityName>
      <candidateList>
        <item>视为</item>
      </candidateList>
      <explain>存在字形相近字词的误用。</explain>
      <paraID> 97DCB51</paraID>
      <start>23</start>
      <end>25</end>
      <status>unmodified</status>
      <modifiedWord/>
      <trackRevisions>false</trackRevisions>
    </reviewItem>
    <reviewItem>
      <errorID>ffe17d04-84de-4f08-903b-6c3aec10f6db</errorID>
      <errorWord>作必要</errorWord>
      <group>L1_Word</group>
      <groupName>字词问题</groupName>
      <ability>L2_Typo</ability>
      <abilityName>字词错误</abilityName>
      <candidateList>
        <item>做必要</item>
      </candidateList>
      <explain/>
      <paraID>27EA3987</paraID>
      <start>88</start>
      <end>91</end>
      <status>unmodified</status>
      <modifiedWord/>
      <trackRevisions>false</trackRevisions>
    </reviewItem>
    <reviewItem>
      <errorID>d794c20e-ce21-4cfd-a073-44abecab2790</errorID>
      <errorWord>【</errorWord>
      <group>L1_Punc</group>
      <groupName>标点问题</groupName>
      <ability>L2_Punc</ability>
      <abilityName>标点符号检查</abilityName>
      <candidateList/>
      <explain/>
      <paraID>6A0E027D</paraID>
      <start>2</start>
      <end>3</end>
      <status>unmodified</status>
      <modifiedWord/>
      <trackRevisions>false</trackRevisions>
    </reviewItem>
    <reviewItem>
      <errorID>43dcc765-3caa-49e2-aee7-50f32238b9d6</errorID>
      <errorWord>【</errorWord>
      <group>L1_Punc</group>
      <groupName>标点问题</groupName>
      <ability>L2_Punc</ability>
      <abilityName>标点符号检查</abilityName>
      <candidateList/>
      <explain/>
      <paraID>539E03C7</paraID>
      <start>2</start>
      <end>3</end>
      <status>unmodified</status>
      <modifiedWord/>
      <trackRevisions>false</trackRevisions>
    </reviewItem>
    <reviewItem>
      <errorID>ebde0fc1-39cc-461d-b6a0-52531a8740e2</errorID>
      <errorWord>【</errorWord>
      <group>L1_Punc</group>
      <groupName>标点问题</groupName>
      <ability>L2_Punc</ability>
      <abilityName>标点符号检查</abilityName>
      <candidateList/>
      <explain/>
      <paraID>7A64423C</paraID>
      <start>2</start>
      <end>3</end>
      <status>unmodified</status>
      <modifiedWord/>
      <trackRevisions>false</trackRevisions>
    </reviewItem>
    <reviewItem>
      <errorID>109692bd-0a63-47b1-ab16-d26866ce31bd</errorID>
      <errorWord>【</errorWord>
      <group>L1_Punc</group>
      <groupName>标点问题</groupName>
      <ability>L2_Punc</ability>
      <abilityName>标点符号检查</abilityName>
      <candidateList/>
      <explain/>
      <paraID>54A6D0FC</paraID>
      <start>2</start>
      <end>3</end>
      <status>unmodified</status>
      <modifiedWord/>
      <trackRevisions>false</trackRevisions>
    </reviewItem>
    <reviewItem>
      <errorID>54dd04c9-f1d7-4a3a-9dd1-0f74e0a6fab8</errorID>
      <errorWord>【</errorWord>
      <group>L1_Punc</group>
      <groupName>标点问题</groupName>
      <ability>L2_Punc</ability>
      <abilityName>标点符号检查</abilityName>
      <candidateList/>
      <explain/>
      <paraID>5E3FE734</paraID>
      <start>2</start>
      <end>3</end>
      <status>unmodified</status>
      <modifiedWord/>
      <trackRevisions>false</trackRevisions>
    </reviewItem>
    <reviewItem>
      <errorID>1d311d33-31cd-4b38-94ac-54470f68f938</errorID>
      <errorWord>【</errorWord>
      <group>L1_Punc</group>
      <groupName>标点问题</groupName>
      <ability>L2_Punc</ability>
      <abilityName>标点符号检查</abilityName>
      <candidateList/>
      <explain/>
      <paraID>1BE0281A</paraID>
      <start>2</start>
      <end>3</end>
      <status>unmodified</status>
      <modifiedWord/>
      <trackRevisions>false</trackRevisions>
    </reviewItem>
    <reviewItem>
      <errorID>2943c6cf-8111-4ef1-b28a-d7a853dcc067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46A2A43D</paraID>
      <start>0</start>
      <end>2</end>
      <status>unmodified</status>
      <modifiedWord/>
      <trackRevisions>false</trackRevisions>
    </reviewItem>
    <reviewItem>
      <errorID>13ff334c-5b2b-4d73-9a71-04bfec94eb9b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2CBD822</paraID>
      <start>0</start>
      <end>2</end>
      <status>unmodified</status>
      <modifiedWord/>
      <trackRevisions>false</trackRevisions>
    </reviewItem>
    <reviewItem>
      <errorID>948cb749-8674-4175-8daa-c6492e34fe2a</errorID>
      <errorWord>提</errorWord>
      <group>L1_Word</group>
      <groupName>字词问题</groupName>
      <ability>L2_Typo</ability>
      <abilityName>字词错误</abilityName>
      <candidateList>
        <item>提出</item>
      </candidateList>
      <explain/>
      <paraID> 2CBD822</paraID>
      <start>15</start>
      <end>16</end>
      <status>unmodified</status>
      <modifiedWord/>
      <trackRevisions>false</trackRevisions>
    </reviewItem>
    <reviewItem>
      <errorID>b2706d4e-7390-4eb2-bb6f-f72ed92d662a</errorID>
      <errorWord>【</errorWord>
      <group>L1_Punc</group>
      <groupName>标点问题</groupName>
      <ability>L2_Punc</ability>
      <abilityName>标点符号检查</abilityName>
      <candidateList/>
      <explain/>
      <paraID>709CED4D</paraID>
      <start>2</start>
      <end>3</end>
      <status>unmodified</status>
      <modifiedWord/>
      <trackRevisions>false</trackRevisions>
    </reviewItem>
    <reviewItem>
      <errorID>c47c4dd5-9185-4a41-a98e-ad0e7f18dcbd</errorID>
      <errorWord>【</errorWord>
      <group>L1_Punc</group>
      <groupName>标点问题</groupName>
      <ability>L2_Punc</ability>
      <abilityName>标点符号检查</abilityName>
      <candidateList/>
      <explain/>
      <paraID> BA20CDA</paraID>
      <start>2</start>
      <end>3</end>
      <status>unmodified</status>
      <modifiedWord/>
      <trackRevisions>false</trackRevisions>
    </reviewItem>
    <reviewItem>
      <errorID>22e1b442-4009-439d-a602-d31feef53930</errorID>
      <errorWord>（</errorWord>
      <group>L1_Format</group>
      <groupName>格式问题</groupName>
      <ability>L2_HalfPunc</ability>
      <abilityName>全半角检查</abilityName>
      <candidateList>
        <item>(</item>
      </candidateList>
      <explain>文本全半角错误。</explain>
      <paraID>29123C63</paraID>
      <start>0</start>
      <end>1</end>
      <status>unmodified</status>
      <modifiedWord/>
      <trackRevisions>false</trackRevisions>
    </reviewItem>
    <reviewItem>
      <errorID>5525c1b1-9480-4828-8874-4957c570fa88</errorID>
      <errorWord>）</errorWord>
      <group>L1_Format</group>
      <groupName>格式问题</groupName>
      <ability>L2_HalfPunc</ability>
      <abilityName>全半角检查</abilityName>
      <candidateList>
        <item>)</item>
      </candidateList>
      <explain>文本全半角错误。</explain>
      <paraID>29123C63</paraID>
      <start>3</start>
      <end>4</end>
      <status>unmodified</status>
      <modifiedWord/>
      <trackRevisions>false</trackRevisions>
    </reviewItem>
    <reviewItem>
      <errorID>fe10f2db-9f99-4eb8-bffd-69229dba0797</errorID>
      <errorWord>&gt;</errorWord>
      <group>L1_Format</group>
      <groupName>格式问题</groupName>
      <ability>L2_HalfPunc</ability>
      <abilityName>全半角检查</abilityName>
      <candidateList>
        <item>〉</item>
      </candidateList>
      <explain>文本全半角错误。</explain>
      <paraID>23F5108D</paraID>
      <start>13</start>
      <end>14</end>
      <status>unmodified</status>
      <modifiedWord/>
      <trackRevisions>false</trackRevisions>
    </reviewItem>
    <reviewItem>
      <errorID>a2ff3560-6eb2-4c3e-b97b-6dadc1653aa9</errorID>
      <errorWord>2025年05月</errorWord>
      <group>L1_Knowledge</group>
      <groupName>知识性问题</groupName>
      <ability>L2_Time</ability>
      <abilityName>日期时间</abilityName>
      <candidateList>
        <item>2025年5月</item>
      </candidateList>
      <explain>根据日常书写习惯，月份一般会省略前导零。</explain>
      <paraID>745ABB24</paraID>
      <start>39</start>
      <end>47</end>
      <status>unmodified</status>
      <modifiedWord/>
      <trackRevisions>false</trackRevisions>
    </reviewItem>
    <reviewItem>
      <errorID>41f64319-af14-4559-ac55-08759b3052ae</errorID>
      <errorWord>2025年05月</errorWord>
      <group>L1_Knowledge</group>
      <groupName>知识性问题</groupName>
      <ability>L2_Time</ability>
      <abilityName>日期时间</abilityName>
      <candidateList>
        <item>2025年5月</item>
      </candidateList>
      <explain>根据日常书写习惯，月份一般会省略前导零。</explain>
      <paraID> 6F9F82F</paraID>
      <start>41</start>
      <end>49</end>
      <status>unmodified</status>
      <modifiedWord/>
      <trackRevisions>false</trackRevisions>
    </reviewItem>
    <reviewItem>
      <errorID>2bbe02d0-f356-459d-b6eb-9272c218efab</errorID>
      <errorWord>2025年05月</errorWord>
      <group>L1_Knowledge</group>
      <groupName>知识性问题</groupName>
      <ability>L2_Time</ability>
      <abilityName>日期时间</abilityName>
      <candidateList>
        <item>2025年5月</item>
      </candidateList>
      <explain>根据日常书写习惯，月份一般会省略前导零。</explain>
      <paraID>45CFEEF6</paraID>
      <start>54</start>
      <end>62</end>
      <status>unmodified</status>
      <modifiedWord/>
      <trackRevisions>false</trackRevisions>
    </reviewItem>
    <reviewItem>
      <errorID>16296935-f04b-4225-9b35-a555b9f9b80c</errorID>
      <errorWord>2025年05月</errorWord>
      <group>L1_Knowledge</group>
      <groupName>知识性问题</groupName>
      <ability>L2_Time</ability>
      <abilityName>日期时间</abilityName>
      <candidateList>
        <item>2025年5月</item>
      </candidateList>
      <explain>根据日常书写习惯，月份一般会省略前导零。</explain>
      <paraID>4E58DD74</paraID>
      <start>45</start>
      <end>53</end>
      <status>unmodified</status>
      <modifiedWord/>
      <trackRevisions>false</trackRevisions>
    </reviewItem>
    <reviewItem>
      <errorID>7c63c020-ea79-4bcb-b2c4-cb57b102d090</errorID>
      <errorWord>，</errorWord>
      <group>L1_Word</group>
      <groupName>字词问题</groupName>
      <ability>L2_Typo</ability>
      <abilityName>字词错误</abilityName>
      <candidateList>
        <item>，由</item>
      </candidateList>
      <explain/>
      <paraID>48742004</paraID>
      <start>101</start>
      <end>102</end>
      <status>unmodified</status>
      <modifiedWord/>
      <trackRevisions>false</trackRevisions>
    </reviewItem>
    <reviewItem>
      <errorID>2f16e5d3-6cbd-4dd4-86e5-78a23d93ac35</errorID>
      <errorWord>保持通讯畅通</errorWord>
      <group>L1_Word</group>
      <groupName>字词问题</groupName>
      <ability>L2_Typo</ability>
      <abilityName>字词错误</abilityName>
      <candidateList>
        <item>保持通信畅通</item>
      </candidateList>
      <explain/>
      <paraID>5618C7CE</paraID>
      <start>97</start>
      <end>103</end>
      <status>unmodified</status>
      <modifiedWord/>
      <trackRevisions>false</trackRevisions>
    </reviewItem>
    <reviewItem>
      <errorID>85c4a0a9-4e8f-4591-a94d-066163504fb7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67C6EC6</paraID>
      <start>0</start>
      <end>2</end>
      <status>unmodified</status>
      <modifiedWord/>
      <trackRevisions>false</trackRevisions>
    </reviewItem>
    <reviewItem>
      <errorID>fcc726ab-edac-47aa-9340-4573c29126ab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74231A16</paraID>
      <start>0</start>
      <end>2</end>
      <status>unmodified</status>
      <modifiedWord/>
      <trackRevisions>false</trackRevisions>
    </reviewItem>
    <reviewItem>
      <errorID>64188c00-f371-4730-9e26-1ffc6b6c2b4a</errorID>
      <errorWord>二位</errorWord>
      <group>L1_Word</group>
      <groupName>字词问题</groupName>
      <ability>L2_Typo</ability>
      <abilityName>字词错误</abilityName>
      <candidateList>
        <item>两位</item>
      </candidateList>
      <explain/>
      <paraID>74231A16</paraID>
      <start>57</start>
      <end>59</end>
      <status>unmodified</status>
      <modifiedWord/>
      <trackRevisions>false</trackRevisions>
    </reviewItem>
    <reviewItem>
      <errorID>297dcab4-dece-4c09-89cd-6fd41dd5dcd9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534A9098</paraID>
      <start>0</start>
      <end>2</end>
      <status>unmodified</status>
      <modifiedWord/>
      <trackRevisions>false</trackRevisions>
    </reviewItem>
    <reviewItem>
      <errorID>7380a144-5906-4afb-91e5-c939a2488d78</errorID>
      <errorWord>济</errorWord>
      <group>L1_Word</group>
      <groupName>字词问题</groupName>
      <ability>L2_Typo</ability>
      <abilityName>字词错误</abilityName>
      <candidateList>
        <item>济指</item>
      </candidateList>
      <explain/>
      <paraID> 73F3640</paraID>
      <start>1</start>
      <end>2</end>
      <status>unmodified</status>
      <modifiedWord/>
      <trackRevisions>false</trackRevisions>
    </reviewItem>
    <reviewItem>
      <errorID>d2fa6e44-f320-44ce-b307-91410a8e5f17</errorID>
      <errorWord>（</errorWord>
      <group>L1_Punc</group>
      <groupName>标点问题</groupName>
      <ability>L2_Punc</ability>
      <abilityName>标点符号检查</abilityName>
      <candidateList/>
      <explain>同一形式括号套用。</explain>
      <paraID>58DA7DCD</paraID>
      <start>3</start>
      <end>4</end>
      <status>unmodified</status>
      <modifiedWord/>
      <trackRevisions>false</trackRevisions>
    </reviewItem>
    <reviewItem>
      <errorID>ec26c41f-526f-4117-9fb2-ac5971ed42ec</errorID>
      <errorWord>）</errorWord>
      <group>L1_Punc</group>
      <groupName>标点问题</groupName>
      <ability>L2_Punc</ability>
      <abilityName>标点符号检查</abilityName>
      <candidateList/>
      <explain>同一形式括号套用。</explain>
      <paraID>58DA7DCD</paraID>
      <start>9</start>
      <end>10</end>
      <status>unmodified</status>
      <modifiedWord/>
      <trackRevisions>false</trackRevisions>
    </reviewItem>
    <reviewItem>
      <errorID>b8e3ded0-3455-452d-9edb-b4908076a2c1</errorID>
      <errorWord>:</errorWord>
      <group>L1_Format</group>
      <groupName>格式问题</groupName>
      <ability>L2_HalfPunc</ability>
      <abilityName>全半角检查</abilityName>
      <candidateList>
        <item>：</item>
      </candidateList>
      <explain>文本全半角错误。</explain>
      <paraID>512714D1</paraID>
      <start>51</start>
      <end>52</end>
      <status>unmodified</status>
      <modifiedWord/>
      <trackRevisions>false</trackRevisions>
    </reviewItem>
    <reviewItem>
      <errorID>708fb1ce-0683-4790-9c3d-7676ae4d69a7</errorID>
      <errorWord>,</errorWord>
      <group>L1_Format</group>
      <groupName>格式问题</groupName>
      <ability>L2_HalfPunc</ability>
      <abilityName>全半角检查</abilityName>
      <candidateList>
        <item>，</item>
      </candidateList>
      <explain>文本全半角错误。</explain>
      <paraID>27DFCCD6</paraID>
      <start>24</start>
      <end>25</end>
      <status>unmodified</status>
      <modifiedWord/>
      <trackRevisions>false</trackRevisions>
    </reviewItem>
    <reviewItem>
      <errorID>20ce94a3-c5ae-45ff-aa28-ee03e0fae68d</errorID>
      <errorWord>；</errorWord>
      <group>L1_Format</group>
      <groupName>格式问题</groupName>
      <ability>L2_HalfPunc</ability>
      <abilityName>全半角检查</abilityName>
      <candidateList>
        <item>;</item>
      </candidateList>
      <explain>文本全半角错误。</explain>
      <paraID>6E9AC369</paraID>
      <start>12</start>
      <end>13</end>
      <status>unmodified</status>
      <modifiedWord/>
      <trackRevisions>false</trackRevisions>
    </reviewItem>
    <reviewItem>
      <errorID>2fb27936-2983-4107-a003-692d7eb2e4a0</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581713EF</paraID>
      <start>101</start>
      <end>104</end>
      <status>unmodified</status>
      <modifiedWord/>
      <trackRevisions>false</trackRevisions>
    </reviewItem>
    <reviewItem>
      <errorID>fae59477-9703-4982-88e8-0ae3796d7e6a</errorID>
      <errorWord>有时</errorWord>
      <group>L1_Word</group>
      <groupName>字词问题</groupName>
      <ability>L2_Typo</ability>
      <abilityName>字词错误</abilityName>
      <candidateList>
        <item>有</item>
      </candidateList>
      <explain>〈书〉同“又”▲：三十～八年。</explain>
      <paraID>1186A02B</paraID>
      <start>24</start>
      <end>26</end>
      <status>unmodified</status>
      <modifiedWord/>
      <trackRevisions>false</trackRevisions>
    </reviewItem>
    <reviewItem>
      <errorID>eb0214a3-bac6-4efe-ba43-55b13618d95a</errorID>
      <errorWord>完成和</errorWord>
      <group>L1_Word</group>
      <groupName>字词问题</groupName>
      <ability>L2_Typo</ability>
      <abilityName>字词错误</abilityName>
      <candidateList>
        <item>完成</item>
      </candidateList>
      <explain>〈动〉按照预期的目的结束；做成：～任务｜～作业｜计划完得成。</explain>
      <paraID>436AB5E7</paraID>
      <start>43</start>
      <end>46</end>
      <status>unmodified</status>
      <modifiedWord/>
      <trackRevisions>false</trackRevisions>
    </reviewItem>
    <reviewItem>
      <errorID>5297ca28-2ee6-449c-8844-f6580f185787</errorID>
      <errorWord>其它</errorWord>
      <group>L1_Word</group>
      <groupName>字词问题</groupName>
      <ability>L2_Alias</ability>
      <abilityName>也作/曾用词</abilityName>
      <candidateList>
        <item>其他</item>
      </candidateList>
      <explain>词汇[其它]为不规范表述或旧称，其规范书面表述为[其他]。</explain>
      <paraID>7FE3B893</paraID>
      <start>30</start>
      <end>32</end>
      <status>unmodified</status>
      <modifiedWord/>
      <trackRevisions>false</trackRevisions>
    </reviewItem>
    <reviewItem>
      <errorID>e04e300a-83f8-40c2-ab65-ee7bc2bcbcb8</errorID>
      <errorWord>证明</errorWord>
      <group>L1_Word</group>
      <groupName>字词问题</groupName>
      <ability>L2_Typo</ability>
      <abilityName>字词错误</abilityName>
      <candidateList>
        <item>声明</item>
      </candidateList>
      <explain/>
      <paraID>50A9509D</paraID>
      <start>33</start>
      <end>35</end>
      <status>unmodified</status>
      <modifiedWord/>
      <trackRevisions>false</trackRevisions>
    </reviewItem>
    <reviewItem>
      <errorID>0f94946e-3bf6-4a5e-b87d-01c2a0d71539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FC7E1A6</paraID>
      <start>0</start>
      <end>2</end>
      <status>unmodified</status>
      <modifiedWord/>
      <trackRevisions>false</trackRevisions>
    </reviewItem>
    <reviewItem>
      <errorID>67484ae1-a699-4769-9a4c-45b54a0000ae</errorID>
      <errorWord>外外</errorWord>
      <group>L1_Word</group>
      <groupName>字词问题</groupName>
      <ability>L2_Typo</ability>
      <abilityName>字词错误</abilityName>
      <candidateList>
        <item>外</item>
      </candidateList>
      <explain/>
      <paraID> FC7E1A6</paraID>
      <start>21</start>
      <end>23</end>
      <status>unmodified</status>
      <modifiedWord/>
      <trackRevisions>false</trackRevisions>
    </reviewItem>
    <reviewItem>
      <errorID>951ff04f-2a1b-4020-baa8-eb4df25e0230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6FB0638D</paraID>
      <start>0</start>
      <end>2</end>
      <status>unmodified</status>
      <modifiedWord/>
      <trackRevisions>false</trackRevisions>
    </reviewItem>
    <reviewItem>
      <errorID>1f91329a-c83a-43e6-9d63-304a25813b40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6FB0638D</paraID>
      <start>38</start>
      <end>41</end>
      <status>unmodified</status>
      <modifiedWord/>
      <trackRevisions>false</trackRevisions>
    </reviewItem>
    <reviewItem>
      <errorID>d2bfed37-91cf-470c-86f3-a3fc885b3318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6FB0638D</paraID>
      <start>64</start>
      <end>67</end>
      <status>unmodified</status>
      <modifiedWord/>
      <trackRevisions>false</trackRevisions>
    </reviewItem>
    <reviewItem>
      <errorID>2244f1c6-e12c-4e68-9aa8-0163f54eb098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6FB0638D</paraID>
      <start>69</start>
      <end>72</end>
      <status>unmodified</status>
      <modifiedWord/>
      <trackRevisions>false</trackRevisions>
    </reviewItem>
    <reviewItem>
      <errorID>55d8ba9f-6895-45f6-9b75-6a795f616a4c</errorID>
      <errorWord>(</errorWord>
      <group>L1_Format</group>
      <groupName>格式问题</groupName>
      <ability>L2_HalfPunc</ability>
      <abilityName>全半角检查</abilityName>
      <candidateList>
        <item>（</item>
      </candidateList>
      <explain>文本全半角错误。</explain>
      <paraID>6FB0638D</paraID>
      <start>171</start>
      <end>172</end>
      <status>unmodified</status>
      <modifiedWord/>
      <trackRevisions>false</trackRevisions>
    </reviewItem>
    <reviewItem>
      <errorID>ab274b09-4412-4c2b-b7c9-89eba4bac601</errorID>
      <errorWord>)</errorWord>
      <group>L1_Format</group>
      <groupName>格式问题</groupName>
      <ability>L2_HalfPunc</ability>
      <abilityName>全半角检查</abilityName>
      <candidateList>
        <item>）</item>
      </candidateList>
      <explain>文本全半角错误。</explain>
      <paraID>6FB0638D</paraID>
      <start>189</start>
      <end>190</end>
      <status>unmodified</status>
      <modifiedWord/>
      <trackRevisions>false</trackRevisions>
    </reviewItem>
    <reviewItem>
      <errorID>9b652e43-bdc6-474d-884e-4bd8abf2f697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41B27145</paraID>
      <start>0</start>
      <end>2</end>
      <status>unmodified</status>
      <modifiedWord/>
      <trackRevisions>false</trackRevisions>
    </reviewItem>
    <reviewItem>
      <errorID>eaf3fcae-6092-4c9c-a1de-12637a3506c9</errorID>
      <errorWord>项</errorWord>
      <group>L1_Word</group>
      <groupName>字词问题</groupName>
      <ability>L2_Typo</ability>
      <abilityName>字词错误</abilityName>
      <candidateList>
        <item>项目</item>
      </candidateList>
      <explain>〈名〉事物分成的门类：服务～｜体育～｜建设～。</explain>
      <paraID>61BC4C69</paraID>
      <start>23</start>
      <end>24</end>
      <status>unmodified</status>
      <modifiedWord/>
      <trackRevisions>false</trackRevisions>
    </reviewItem>
    <reviewItem>
      <errorID>05eb8c7f-9b16-49f3-a569-9cae26e86823</errorID>
      <errorWord>联系</errorWord>
      <group>L1_Word</group>
      <groupName>字词问题</groupName>
      <ability>L2_Typo</ability>
      <abilityName>字词错误</abilityName>
      <candidateList>
        <item>连系</item>
      </candidateList>
      <explain/>
      <paraID>1F20BA90</paraID>
      <start>114</start>
      <end>116</end>
      <status>unmodified</status>
      <modifiedWord/>
      <trackRevisions>false</trackRevisions>
    </reviewItem>
    <reviewItem>
      <errorID>561a4705-7b2e-432b-914f-a1db101a7c14</errorID>
      <errorWord>其它</errorWord>
      <group>L1_Word</group>
      <groupName>字词问题</groupName>
      <ability>L2_Alias</ability>
      <abilityName>也作/曾用词</abilityName>
      <candidateList>
        <item>其他</item>
      </candidateList>
      <explain>词汇[其它]为不规范表述或旧称，其规范书面表述为[其他]。</explain>
      <paraID> 1EC16C9</paraID>
      <start>20</start>
      <end>22</end>
      <status>unmodified</status>
      <modifiedWord/>
      <trackRevisions>false</trackRevisions>
    </reviewItem>
    <reviewItem>
      <errorID>b0148cff-8372-4dee-adce-b9d074b81acd</errorID>
      <errorWord>建</errorWord>
      <group>L1_Word</group>
      <groupName>字词问题</groupName>
      <ability>L2_Typo</ability>
      <abilityName>字词错误</abilityName>
      <candidateList>
        <item>建筑</item>
      </candidateList>
      <explain/>
      <paraID> 1EC16C9</paraID>
      <start>22</start>
      <end>23</end>
      <status>unmodified</status>
      <modifiedWord/>
      <trackRevisions>false</trackRevisions>
    </reviewItem>
    <reviewItem>
      <errorID>7bcc4aff-3a5a-43a5-bf47-b8342d71a623</errorID>
      <errorWord>其它</errorWord>
      <group>L1_Word</group>
      <groupName>字词问题</groupName>
      <ability>L2_Alias</ability>
      <abilityName>也作/曾用词</abilityName>
      <candidateList>
        <item>其他</item>
      </candidateList>
      <explain>词汇[其它]为不规范表述或旧称，其规范书面表述为[其他]。</explain>
      <paraID>183D4308</paraID>
      <start>2</start>
      <end>4</end>
      <status>unmodified</status>
      <modifiedWord/>
      <trackRevisions>false</trackRevisions>
    </reviewItem>
    <reviewItem>
      <errorID>8bf5e464-b45e-40ea-86b8-b5d240219a07</errorID>
      <errorWord>其它</errorWord>
      <group>L1_Word</group>
      <groupName>字词问题</groupName>
      <ability>L2_Alias</ability>
      <abilityName>也作/曾用词</abilityName>
      <candidateList>
        <item>其他</item>
      </candidateList>
      <explain>词汇[其它]为不规范表述或旧称，其规范书面表述为[其他]。</explain>
      <paraID>3C54DDE4</paraID>
      <start>2</start>
      <end>4</end>
      <status>unmodified</status>
      <modifiedWord/>
      <trackRevisions>false</trackRevisions>
    </reviewItem>
    <reviewItem>
      <errorID>1edc9470-ec1a-4c88-a065-037e1e2485e4</errorID>
      <errorWord>包括如</errorWord>
      <group>L1_Word</group>
      <groupName>字词问题</groupName>
      <ability>L2_Typo</ability>
      <abilityName>字词错误</abilityName>
      <candidateList>
        <item>包括</item>
      </candidateList>
      <explain/>
      <paraID>7D1F0468</paraID>
      <start>17</start>
      <end>20</end>
      <status>unmodified</status>
      <modifiedWord/>
      <trackRevisions>false</trackRevisions>
    </reviewItem>
    <reviewItem>
      <errorID>2f6c6b10-0170-4430-bee6-c179d8e4f0a0</errorID>
      <errorWord>、以及</errorWord>
      <group>L1_Punc</group>
      <groupName>标点问题</groupName>
      <ability>L2_Punc</ability>
      <abilityName>标点符号检查</abilityName>
      <candidateList>
        <item>，以及</item>
      </candidateList>
      <explain>连接词前后不宜使用顿号，建议使用逗号。</explain>
      <paraID>74E14CCB</paraID>
      <start>27</start>
      <end>30</end>
      <status>unmodified</status>
      <modifiedWord/>
      <trackRevisions>false</trackRevisions>
    </reviewItem>
    <reviewItem>
      <errorID>406bb9c5-0502-4cd4-9e82-9248101074ac</errorID>
      <errorWord>二小时</errorWord>
      <group>L1_Word</group>
      <groupName>字词问题</groupName>
      <ability>L2_Alias</ability>
      <abilityName>也作/曾用词</abilityName>
      <candidateList>
        <item>两小时</item>
      </candidateList>
      <explain>词汇[二小时]为不规范表述或旧称，其规范书面表述为[两小时]。</explain>
      <paraID>7E1718C8</paraID>
      <start>13</start>
      <end>16</end>
      <status>unmodified</status>
      <modifiedWord/>
      <trackRevisions>false</trackRevisions>
    </reviewItem>
    <reviewItem>
      <errorID>f3f1c652-2f07-4817-87ba-f94f0ef6496b</errorID>
      <errorWord>:</errorWord>
      <group>L1_Format</group>
      <groupName>格式问题</groupName>
      <ability>L2_HalfPunc</ability>
      <abilityName>全半角检查</abilityName>
      <candidateList>
        <item>：</item>
      </candidateList>
      <explain>文本全半角错误。</explain>
      <paraID>32D8A5A4</paraID>
      <start>12</start>
      <end>13</end>
      <status>unmodified</status>
      <modifiedWord/>
      <trackRevisions>false</trackRevisions>
    </reviewItem>
    <reviewItem>
      <errorID>f1435094-48a6-49b3-8ae3-08dee61a8e6e</errorID>
      <errorWord>（</errorWord>
      <group>L1_Word</group>
      <groupName>字词问题</groupName>
      <ability>L2_Typo</ability>
      <abilityName>字词错误</abilityName>
      <candidateList>
        <item>（加</item>
      </candidateList>
      <explain/>
      <paraID>32D8A5A4</paraID>
      <start>29</start>
      <end>30</end>
      <status>unmodified</status>
      <modifiedWord/>
      <trackRevisions>false</trackRevisions>
    </reviewItem>
    <reviewItem>
      <errorID>265658a8-00d7-4b5d-b7d0-4a5e87fb8309</errorID>
      <errorWord>（</errorWord>
      <group>L1_Word</group>
      <groupName>字词问题</groupName>
      <ability>L2_Typo</ability>
      <abilityName>字词错误</abilityName>
      <candidateList>
        <item>（加</item>
      </candidateList>
      <explain/>
      <paraID>32D8A5A4</paraID>
      <start>95</start>
      <end>96</end>
      <status>unmodified</status>
      <modifiedWord/>
      <trackRevisions>false</trackRevisions>
    </reviewItem>
    <reviewItem>
      <errorID>b176fc9c-7f13-4c28-95f0-2b275d8612e3</errorID>
      <errorWord>（</errorWord>
      <group>L1_Punc</group>
      <groupName>标点问题</groupName>
      <ability>L2_Punc</ability>
      <abilityName>标点符号检查</abilityName>
      <candidateList>
        <item/>
      </candidateList>
      <explain>同一形式括号套用。</explain>
      <paraID>7E95CA4E</paraID>
      <start>14</start>
      <end>15</end>
      <status>unmodified</status>
      <modifiedWord/>
      <trackRevisions>false</trackRevisions>
    </reviewItem>
    <reviewItem>
      <errorID>4a07a077-0127-493f-87f4-8e7ffb0464ed</errorID>
      <errorWord>(</errorWord>
      <group>L1_Punc</group>
      <groupName>标点问题</groupName>
      <ability>L2_Punc</ability>
      <abilityName>标点符号检查</abilityName>
      <candidateList/>
      <explain>同一形式括号套用。</explain>
      <paraID>7E95CA4E</paraID>
      <start>22</start>
      <end>23</end>
      <status>unmodified</status>
      <modifiedWord/>
      <trackRevisions>false</trackRevisions>
    </reviewItem>
    <reviewItem>
      <errorID>6c254ad4-b0fc-49f5-8163-7f078c735e5f</errorID>
      <errorWord>)</errorWord>
      <group>L1_Punc</group>
      <groupName>标点问题</groupName>
      <ability>L2_Punc</ability>
      <abilityName>标点符号检查</abilityName>
      <candidateList/>
      <explain>同一形式括号套用。</explain>
      <paraID>7E95CA4E</paraID>
      <start>24</start>
      <end>25</end>
      <status>unmodified</status>
      <modifiedWord/>
      <trackRevisions>false</trackRevisions>
    </reviewItem>
    <reviewItem>
      <errorID>47f35d33-f4ef-45e5-aa03-80f04ec4d3df</errorID>
      <errorWord>（</errorWord>
      <group>L1_Punc</group>
      <groupName>标点问题</groupName>
      <ability>L2_Punc</ability>
      <abilityName>标点符号检查</abilityName>
      <candidateList/>
      <explain>同一形式括号套用。</explain>
      <paraID>7E95CA4E</paraID>
      <start>29</start>
      <end>30</end>
      <status>unmodified</status>
      <modifiedWord/>
      <trackRevisions>false</trackRevisions>
    </reviewItem>
    <reviewItem>
      <errorID>cb8c7e46-8abd-415c-b2bf-1ad260f9aacb</errorID>
      <errorWord>）</errorWord>
      <group>L1_Punc</group>
      <groupName>标点问题</groupName>
      <ability>L2_Punc</ability>
      <abilityName>标点符号检查</abilityName>
      <candidateList/>
      <explain>同一形式括号套用。</explain>
      <paraID>7E95CA4E</paraID>
      <start>31</start>
      <end>32</end>
      <status>unmodified</status>
      <modifiedWord/>
      <trackRevisions>false</trackRevisions>
    </reviewItem>
    <reviewItem>
      <errorID>91e4d72b-d48d-4fd6-adb4-2c63571799ca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4F00802A</paraID>
      <start>0</start>
      <end>2</end>
      <status>unmodified</status>
      <modifiedWord/>
      <trackRevisions>false</trackRevisions>
    </reviewItem>
    <reviewItem>
      <errorID>8ddc27f3-6e1f-4196-b5a0-21c76992e432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41D2CDD3</paraID>
      <start>0</start>
      <end>2</end>
      <status>unmodified</status>
      <modifiedWord/>
      <trackRevisions>false</trackRevisions>
    </reviewItem>
    <reviewItem>
      <errorID>721cc607-5f7d-4cb3-a35e-7545671751d6</errorID>
      <errorWord>其它</errorWord>
      <group>L1_Word</group>
      <groupName>字词问题</groupName>
      <ability>L2_Alias</ability>
      <abilityName>也作/曾用词</abilityName>
      <candidateList>
        <item>其他</item>
      </candidateList>
      <explain>词汇[其它]为不规范表述或旧称，其规范书面表述为[其他]。</explain>
      <paraID>41D2CDD3</paraID>
      <start>10</start>
      <end>12</end>
      <status>unmodified</status>
      <modifiedWord/>
      <trackRevisions>false</trackRevisions>
    </reviewItem>
    <reviewItem>
      <errorID>6ab75ab3-bb97-44f1-b381-852c4fd9fcb2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1866B97D</paraID>
      <start>0</start>
      <end>2</end>
      <status>unmodified</status>
      <modifiedWord/>
      <trackRevisions>false</trackRevisions>
    </reviewItem>
    <reviewItem>
      <errorID>fbd94dd7-7fe6-45a6-ac58-047f070fff1a</errorID>
      <errorWord>以</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 FD54429</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528ac5-3dcd-4086-b1b4-35462aed364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92</Pages>
  <Words>14211</Words>
  <Characters>14778</Characters>
  <Lines>436</Lines>
  <Paragraphs>122</Paragraphs>
  <TotalTime>29</TotalTime>
  <ScaleCrop>false</ScaleCrop>
  <LinksUpToDate>false</LinksUpToDate>
  <CharactersWithSpaces>60431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2021-07-16T06:16:00Z</dcterms:created>
  <dc:creator>GX</dc:creator>
  <cp:lastModifiedBy>ASUS</cp:lastModifiedBy>
  <cp:lastPrinted>2025-12-01T01:37:00Z</cp:lastPrinted>
  <dcterms:modified xsi:type="dcterms:W3CDTF">2025-12-09T03:53:46Z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1D9659211946493182DE3D62C0477DA4_13</vt:lpwstr>
  </property>
  <property fmtid="{D5CDD505-2E9C-101B-9397-08002B2CF9AE}" pid="4" name="KSOTemplateDocerSaveRecord">
    <vt:lpwstr>eyJoZGlkIjoiNGE3YzM2MGE3YzA3MWIyNWNmNGFlODJlOTFiZmVmYTUiLCJ1c2VySWQiOiI3NTk0ODk0MjAifQ==</vt:lpwstr>
  </property>
</Properties>
</file>