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D793">
      <w:pPr>
        <w:spacing w:line="360" w:lineRule="auto"/>
        <w:jc w:val="center"/>
        <w:rPr>
          <w:rFonts w:hint="eastAsia"/>
          <w:color w:val="auto"/>
          <w:sz w:val="36"/>
          <w:highlight w:val="none"/>
          <w:u w:val="single"/>
          <w:lang w:eastAsia="zh-CN"/>
        </w:rPr>
      </w:pPr>
    </w:p>
    <w:p w14:paraId="6F73BB94">
      <w:pPr>
        <w:spacing w:line="360" w:lineRule="auto"/>
        <w:jc w:val="center"/>
        <w:rPr>
          <w:rFonts w:eastAsia="楷体_GB2312"/>
          <w:b/>
          <w:bCs/>
          <w:color w:val="auto"/>
          <w:spacing w:val="26"/>
          <w:sz w:val="110"/>
          <w:szCs w:val="110"/>
          <w:highlight w:val="none"/>
        </w:rPr>
      </w:pPr>
      <w:r>
        <w:rPr>
          <w:rFonts w:hint="eastAsia"/>
          <w:b/>
          <w:bCs/>
          <w:color w:val="auto"/>
          <w:sz w:val="48"/>
          <w:szCs w:val="48"/>
          <w:highlight w:val="none"/>
          <w:u w:val="none"/>
          <w:lang w:eastAsia="zh-CN"/>
        </w:rPr>
        <w:t>琴澳创新产业园一期主体工程泛光照明工程施工专业承包</w:t>
      </w:r>
    </w:p>
    <w:p w14:paraId="67F0CFB7">
      <w:pPr>
        <w:spacing w:line="360" w:lineRule="auto"/>
        <w:jc w:val="center"/>
        <w:rPr>
          <w:rFonts w:eastAsia="楷体_GB2312"/>
          <w:b/>
          <w:bCs/>
          <w:color w:val="auto"/>
          <w:spacing w:val="26"/>
          <w:sz w:val="110"/>
          <w:szCs w:val="110"/>
          <w:highlight w:val="none"/>
        </w:rPr>
      </w:pPr>
    </w:p>
    <w:p w14:paraId="759226AB">
      <w:pPr>
        <w:spacing w:line="360" w:lineRule="auto"/>
        <w:jc w:val="center"/>
        <w:rPr>
          <w:rFonts w:hint="eastAsia" w:eastAsia="楷体_GB2312"/>
          <w:b/>
          <w:bCs/>
          <w:color w:val="auto"/>
          <w:spacing w:val="26"/>
          <w:sz w:val="110"/>
          <w:szCs w:val="110"/>
          <w:highlight w:val="none"/>
          <w:lang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公告</w:t>
      </w:r>
    </w:p>
    <w:p w14:paraId="7311A133">
      <w:pPr>
        <w:spacing w:line="360" w:lineRule="auto"/>
        <w:jc w:val="center"/>
        <w:rPr>
          <w:color w:val="auto"/>
          <w:sz w:val="32"/>
          <w:highlight w:val="none"/>
        </w:rPr>
      </w:pPr>
    </w:p>
    <w:p w14:paraId="139744CA">
      <w:pPr>
        <w:spacing w:line="360" w:lineRule="auto"/>
        <w:ind w:firstLine="2560" w:firstLineChars="800"/>
        <w:rPr>
          <w:color w:val="auto"/>
          <w:sz w:val="32"/>
          <w:highlight w:val="none"/>
        </w:rPr>
      </w:pPr>
    </w:p>
    <w:p w14:paraId="280048D8">
      <w:pPr>
        <w:spacing w:line="360" w:lineRule="auto"/>
        <w:rPr>
          <w:color w:val="auto"/>
          <w:sz w:val="52"/>
          <w:highlight w:val="none"/>
        </w:rPr>
      </w:pPr>
    </w:p>
    <w:p w14:paraId="4DDA43E3">
      <w:pPr>
        <w:spacing w:line="360" w:lineRule="auto"/>
        <w:rPr>
          <w:color w:val="auto"/>
          <w:sz w:val="52"/>
          <w:highlight w:val="none"/>
        </w:rPr>
      </w:pPr>
    </w:p>
    <w:p w14:paraId="04F6DAE7">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横琴琴澳创新产业园开发建设有限公司</w:t>
      </w:r>
    </w:p>
    <w:p w14:paraId="67CA260C">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广州金盛建工程项目管理咨询有限公司</w:t>
      </w:r>
    </w:p>
    <w:p w14:paraId="2B0A8BB3">
      <w:pPr>
        <w:spacing w:line="360" w:lineRule="auto"/>
        <w:ind w:firstLine="945"/>
        <w:rPr>
          <w:rFonts w:hint="default" w:cs="宋体"/>
          <w:b/>
          <w:bCs/>
          <w:color w:val="auto"/>
          <w:sz w:val="32"/>
          <w:szCs w:val="32"/>
          <w:highlight w:val="none"/>
          <w:lang w:val="en-US" w:eastAsia="zh-CN"/>
        </w:rPr>
        <w:sectPr>
          <w:pgSz w:w="11906" w:h="16838"/>
          <w:pgMar w:top="1440" w:right="1701" w:bottom="1440" w:left="1701" w:header="851" w:footer="992" w:gutter="0"/>
          <w:cols w:space="425" w:num="1"/>
          <w:docGrid w:type="lines" w:linePitch="312" w:charSpace="0"/>
        </w:sect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lang w:eastAsia="zh-CN"/>
        </w:rPr>
        <w:t>2025</w:t>
      </w:r>
      <w:r>
        <w:rPr>
          <w:rFonts w:hint="eastAsia"/>
          <w:color w:val="auto"/>
          <w:sz w:val="32"/>
          <w:highlight w:val="none"/>
          <w:u w:val="single"/>
        </w:rPr>
        <w:t>年</w:t>
      </w:r>
      <w:r>
        <w:rPr>
          <w:rFonts w:hint="eastAsia"/>
          <w:color w:val="auto"/>
          <w:sz w:val="32"/>
          <w:highlight w:val="none"/>
          <w:u w:val="single"/>
          <w:lang w:val="en-US" w:eastAsia="zh-CN"/>
        </w:rPr>
        <w:t>12月</w:t>
      </w:r>
    </w:p>
    <w:p w14:paraId="4C05794F">
      <w:pPr>
        <w:pStyle w:val="16"/>
        <w:spacing w:line="480" w:lineRule="auto"/>
        <w:jc w:val="center"/>
        <w:rPr>
          <w:rFonts w:hint="eastAsia" w:cs="宋体"/>
          <w:b/>
          <w:bCs/>
          <w:color w:val="auto"/>
          <w:sz w:val="32"/>
          <w:szCs w:val="32"/>
          <w:highlight w:val="none"/>
          <w:lang w:eastAsia="zh-CN"/>
        </w:rPr>
      </w:pPr>
      <w:r>
        <w:rPr>
          <w:rFonts w:hint="eastAsia" w:cs="宋体"/>
          <w:b/>
          <w:bCs/>
          <w:color w:val="auto"/>
          <w:sz w:val="32"/>
          <w:szCs w:val="32"/>
          <w:highlight w:val="none"/>
          <w:lang w:eastAsia="zh-CN"/>
        </w:rPr>
        <w:t>琴澳创新产业园一期主体工程泛光照明工程施工专业承包</w:t>
      </w:r>
    </w:p>
    <w:p w14:paraId="3F459B1A">
      <w:pPr>
        <w:pStyle w:val="16"/>
        <w:spacing w:line="480" w:lineRule="auto"/>
        <w:jc w:val="center"/>
        <w:rPr>
          <w:rFonts w:cs="宋体"/>
          <w:b/>
          <w:bCs/>
          <w:color w:val="auto"/>
          <w:sz w:val="32"/>
          <w:szCs w:val="32"/>
          <w:highlight w:val="none"/>
        </w:rPr>
      </w:pPr>
      <w:r>
        <w:rPr>
          <w:rFonts w:hint="eastAsia" w:cs="宋体"/>
          <w:b/>
          <w:bCs/>
          <w:color w:val="auto"/>
          <w:sz w:val="32"/>
          <w:szCs w:val="32"/>
          <w:highlight w:val="none"/>
        </w:rPr>
        <w:t>招标公告</w:t>
      </w:r>
    </w:p>
    <w:p w14:paraId="5829D50A">
      <w:pPr>
        <w:spacing w:line="480" w:lineRule="auto"/>
        <w:ind w:firstLine="537" w:firstLineChars="224"/>
        <w:jc w:val="center"/>
        <w:rPr>
          <w:color w:val="auto"/>
          <w:sz w:val="24"/>
          <w:highlight w:val="none"/>
        </w:rPr>
      </w:pPr>
    </w:p>
    <w:p w14:paraId="7D18DAF7">
      <w:pPr>
        <w:spacing w:line="360" w:lineRule="auto"/>
        <w:ind w:left="120" w:leftChars="57" w:firstLine="417" w:firstLineChars="174"/>
        <w:rPr>
          <w:color w:val="auto"/>
          <w:sz w:val="24"/>
          <w:highlight w:val="none"/>
        </w:rPr>
      </w:pPr>
      <w:r>
        <w:rPr>
          <w:rFonts w:hint="eastAsia"/>
          <w:color w:val="auto"/>
          <w:sz w:val="24"/>
          <w:highlight w:val="none"/>
        </w:rPr>
        <w:t>根据</w:t>
      </w:r>
      <w:r>
        <w:rPr>
          <w:rFonts w:hint="eastAsia"/>
          <w:color w:val="auto"/>
          <w:sz w:val="24"/>
          <w:szCs w:val="24"/>
          <w:highlight w:val="none"/>
          <w:u w:val="single"/>
        </w:rPr>
        <w:t>广东省企业投资项目备案证（项目代码：2410-440402-04-05-281010）</w:t>
      </w:r>
      <w:r>
        <w:rPr>
          <w:rFonts w:hint="eastAsia"/>
          <w:color w:val="auto"/>
          <w:sz w:val="24"/>
          <w:highlight w:val="none"/>
        </w:rPr>
        <w:t>批准，并且图纸和技术资料满足施工需要，</w:t>
      </w:r>
      <w:r>
        <w:rPr>
          <w:rFonts w:hint="eastAsia"/>
          <w:color w:val="auto"/>
          <w:sz w:val="24"/>
          <w:highlight w:val="none"/>
          <w:u w:val="single"/>
          <w:lang w:eastAsia="zh-CN"/>
        </w:rPr>
        <w:t>横琴琴澳创新产业园开发建设有限公司</w:t>
      </w:r>
      <w:r>
        <w:rPr>
          <w:rFonts w:hint="eastAsia"/>
          <w:color w:val="auto"/>
          <w:sz w:val="24"/>
          <w:highlight w:val="none"/>
        </w:rPr>
        <w:t>现对</w:t>
      </w:r>
      <w:r>
        <w:rPr>
          <w:rFonts w:hint="eastAsia"/>
          <w:color w:val="auto"/>
          <w:sz w:val="24"/>
          <w:highlight w:val="none"/>
          <w:u w:val="single"/>
          <w:lang w:val="en-US" w:eastAsia="zh-CN"/>
        </w:rPr>
        <w:t>琴澳创新产业园一期主体工程泛光照明工程施工专业承包</w:t>
      </w:r>
      <w:r>
        <w:rPr>
          <w:rFonts w:hint="eastAsia"/>
          <w:color w:val="auto"/>
          <w:sz w:val="24"/>
          <w:highlight w:val="none"/>
        </w:rPr>
        <w:t>进行</w:t>
      </w:r>
      <w:r>
        <w:rPr>
          <w:rFonts w:hint="eastAsia"/>
          <w:color w:val="auto"/>
          <w:sz w:val="24"/>
          <w:highlight w:val="none"/>
          <w:u w:val="single"/>
        </w:rPr>
        <w:t>施工</w:t>
      </w:r>
      <w:r>
        <w:rPr>
          <w:rFonts w:hint="eastAsia"/>
          <w:color w:val="auto"/>
          <w:sz w:val="24"/>
          <w:highlight w:val="none"/>
        </w:rPr>
        <w:t>公开招标，选定承包人。</w:t>
      </w:r>
    </w:p>
    <w:p w14:paraId="37E9123B">
      <w:pPr>
        <w:tabs>
          <w:tab w:val="center" w:pos="4415"/>
        </w:tabs>
        <w:spacing w:line="360" w:lineRule="auto"/>
        <w:ind w:left="2030" w:leftChars="224" w:hanging="1560" w:hangingChars="650"/>
        <w:rPr>
          <w:rFonts w:hint="default"/>
          <w:color w:val="auto"/>
          <w:sz w:val="24"/>
          <w:highlight w:val="none"/>
          <w:u w:val="single"/>
          <w:lang w:val="en-US"/>
        </w:rPr>
      </w:pPr>
      <w:r>
        <w:rPr>
          <w:rFonts w:hint="eastAsia"/>
          <w:color w:val="auto"/>
          <w:sz w:val="24"/>
          <w:highlight w:val="none"/>
        </w:rPr>
        <w:t>一、工程名称：</w:t>
      </w:r>
      <w:r>
        <w:rPr>
          <w:rFonts w:hint="eastAsia"/>
          <w:color w:val="auto"/>
          <w:sz w:val="24"/>
          <w:highlight w:val="none"/>
          <w:u w:val="single"/>
          <w:lang w:eastAsia="zh-CN"/>
        </w:rPr>
        <w:t>琴澳创新产业园一期主体工程泛光照明工程施工专业承包</w:t>
      </w:r>
    </w:p>
    <w:p w14:paraId="45236850">
      <w:pPr>
        <w:tabs>
          <w:tab w:val="center" w:pos="4415"/>
        </w:tabs>
        <w:spacing w:line="360" w:lineRule="auto"/>
        <w:ind w:firstLine="1017" w:firstLineChars="424"/>
        <w:rPr>
          <w:rFonts w:hint="eastAsia" w:eastAsia="宋体"/>
          <w:color w:val="auto"/>
          <w:sz w:val="24"/>
          <w:highlight w:val="none"/>
          <w:u w:val="single"/>
          <w:lang w:eastAsia="zh-CN"/>
        </w:rPr>
      </w:pPr>
      <w:r>
        <w:rPr>
          <w:rFonts w:hint="eastAsia"/>
          <w:color w:val="auto"/>
          <w:sz w:val="24"/>
          <w:highlight w:val="none"/>
        </w:rPr>
        <w:t>项目代码：2410-440402-04-05-281010</w:t>
      </w:r>
    </w:p>
    <w:p w14:paraId="05F7F64C">
      <w:pPr>
        <w:spacing w:line="360" w:lineRule="auto"/>
        <w:ind w:firstLine="537" w:firstLineChars="224"/>
        <w:rPr>
          <w:color w:val="auto"/>
          <w:sz w:val="24"/>
          <w:highlight w:val="none"/>
          <w:u w:val="single"/>
        </w:rPr>
      </w:pPr>
      <w:r>
        <w:rPr>
          <w:rFonts w:hint="eastAsia"/>
          <w:color w:val="auto"/>
          <w:sz w:val="24"/>
          <w:highlight w:val="none"/>
        </w:rPr>
        <w:t>二、招标单位：</w:t>
      </w:r>
      <w:r>
        <w:rPr>
          <w:rFonts w:hint="eastAsia"/>
          <w:color w:val="auto"/>
          <w:sz w:val="24"/>
          <w:highlight w:val="none"/>
          <w:u w:val="single"/>
          <w:lang w:eastAsia="zh-CN"/>
        </w:rPr>
        <w:t>横琴琴澳创新产业园开发建设有限公司</w:t>
      </w:r>
    </w:p>
    <w:p w14:paraId="3B0848CC">
      <w:pPr>
        <w:spacing w:line="360" w:lineRule="auto"/>
        <w:ind w:firstLine="537" w:firstLineChars="224"/>
        <w:rPr>
          <w:rFonts w:hint="default" w:eastAsia="宋体"/>
          <w:color w:val="auto"/>
          <w:highlight w:val="none"/>
          <w:lang w:val="en-US" w:eastAsia="zh-CN"/>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lang w:val="en-US" w:eastAsia="zh-CN"/>
        </w:rPr>
        <w:t>崔工</w:t>
      </w:r>
      <w:r>
        <w:rPr>
          <w:color w:val="auto"/>
          <w:sz w:val="24"/>
          <w:highlight w:val="none"/>
        </w:rPr>
        <w:t xml:space="preserve"> </w:t>
      </w:r>
      <w:r>
        <w:rPr>
          <w:rFonts w:hint="eastAsia"/>
          <w:color w:val="auto"/>
          <w:sz w:val="24"/>
          <w:highlight w:val="none"/>
        </w:rPr>
        <w:t xml:space="preserve">  联系电话：</w:t>
      </w:r>
      <w:r>
        <w:rPr>
          <w:rFonts w:hint="eastAsia"/>
          <w:color w:val="auto"/>
          <w:sz w:val="24"/>
          <w:highlight w:val="none"/>
          <w:u w:val="single"/>
          <w:lang w:val="en-US" w:eastAsia="zh-CN"/>
        </w:rPr>
        <w:t>18666996859</w:t>
      </w:r>
    </w:p>
    <w:p w14:paraId="1482A413">
      <w:pPr>
        <w:pStyle w:val="6"/>
        <w:spacing w:line="360" w:lineRule="auto"/>
        <w:ind w:firstLine="1015" w:firstLineChars="423"/>
        <w:rPr>
          <w:rFonts w:hint="eastAsia" w:eastAsia="宋体"/>
          <w:color w:val="auto"/>
          <w:highlight w:val="none"/>
          <w:lang w:eastAsia="zh-CN"/>
        </w:rPr>
      </w:pPr>
      <w:r>
        <w:rPr>
          <w:rFonts w:hint="eastAsia" w:cs="宋体"/>
          <w:color w:val="auto"/>
          <w:sz w:val="24"/>
          <w:highlight w:val="none"/>
        </w:rPr>
        <w:t>联系地址：横琴粤澳深度合作区宝兴路49-59号</w:t>
      </w:r>
    </w:p>
    <w:p w14:paraId="3F43B6BB">
      <w:pPr>
        <w:spacing w:line="360" w:lineRule="auto"/>
        <w:ind w:firstLine="537" w:firstLineChars="224"/>
        <w:rPr>
          <w:rFonts w:hint="eastAsia" w:eastAsia="宋体"/>
          <w:color w:val="auto"/>
          <w:sz w:val="24"/>
          <w:highlight w:val="none"/>
          <w:u w:val="single"/>
          <w:lang w:eastAsia="zh-CN"/>
        </w:rPr>
      </w:pPr>
      <w:r>
        <w:rPr>
          <w:color w:val="auto"/>
          <w:sz w:val="24"/>
          <w:highlight w:val="none"/>
        </w:rPr>
        <w:t xml:space="preserve">    </w:t>
      </w:r>
      <w:r>
        <w:rPr>
          <w:rFonts w:hint="eastAsia"/>
          <w:color w:val="auto"/>
          <w:sz w:val="24"/>
          <w:highlight w:val="none"/>
        </w:rPr>
        <w:t>招标代理机构：</w:t>
      </w:r>
      <w:r>
        <w:rPr>
          <w:rFonts w:hint="eastAsia"/>
          <w:color w:val="auto"/>
          <w:sz w:val="24"/>
          <w:highlight w:val="none"/>
          <w:u w:val="single"/>
          <w:lang w:eastAsia="zh-CN"/>
        </w:rPr>
        <w:t>广州金盛建工程项目管理咨询有限公司</w:t>
      </w:r>
    </w:p>
    <w:p w14:paraId="7347E9D2">
      <w:pPr>
        <w:spacing w:line="360" w:lineRule="auto"/>
        <w:ind w:firstLine="537" w:firstLineChars="224"/>
        <w:rPr>
          <w:rFonts w:hint="default"/>
          <w:color w:val="auto"/>
          <w:sz w:val="24"/>
          <w:highlight w:val="none"/>
          <w:u w:val="single"/>
          <w:lang w:val="en-US"/>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lang w:val="en-US" w:eastAsia="zh-CN"/>
        </w:rPr>
        <w:t>陈工</w:t>
      </w:r>
      <w:r>
        <w:rPr>
          <w:rFonts w:hint="eastAsia"/>
          <w:color w:val="auto"/>
          <w:sz w:val="24"/>
          <w:highlight w:val="none"/>
          <w:u w:val="single"/>
          <w:lang w:eastAsia="zh-CN"/>
        </w:rPr>
        <w:t xml:space="preserve"> </w:t>
      </w:r>
      <w:r>
        <w:rPr>
          <w:color w:val="auto"/>
          <w:sz w:val="24"/>
          <w:highlight w:val="none"/>
        </w:rPr>
        <w:t xml:space="preserve">    </w:t>
      </w:r>
      <w:r>
        <w:rPr>
          <w:rFonts w:hint="eastAsia"/>
          <w:color w:val="auto"/>
          <w:sz w:val="24"/>
          <w:highlight w:val="none"/>
        </w:rPr>
        <w:t>联系电话：</w:t>
      </w:r>
      <w:r>
        <w:rPr>
          <w:rFonts w:hint="eastAsia" w:cs="宋体"/>
          <w:color w:val="auto"/>
          <w:sz w:val="24"/>
          <w:szCs w:val="24"/>
          <w:highlight w:val="none"/>
          <w:u w:val="single"/>
          <w:shd w:val="clear" w:color="auto" w:fill="auto"/>
          <w:lang w:val="en-US" w:eastAsia="zh-CN"/>
        </w:rPr>
        <w:t>020-87598580</w:t>
      </w:r>
    </w:p>
    <w:p w14:paraId="60001E4B">
      <w:pPr>
        <w:pStyle w:val="6"/>
        <w:spacing w:line="360" w:lineRule="auto"/>
        <w:ind w:firstLine="1015" w:firstLineChars="423"/>
        <w:rPr>
          <w:rFonts w:hint="default" w:eastAsia="宋体"/>
          <w:color w:val="auto"/>
          <w:highlight w:val="none"/>
          <w:lang w:val="en-US" w:eastAsia="zh-CN"/>
        </w:rPr>
      </w:pPr>
      <w:r>
        <w:rPr>
          <w:rFonts w:hint="eastAsia"/>
          <w:color w:val="auto"/>
          <w:sz w:val="24"/>
          <w:highlight w:val="none"/>
        </w:rPr>
        <w:t>联系地址：</w:t>
      </w:r>
      <w:r>
        <w:rPr>
          <w:rFonts w:hint="eastAsia" w:cs="宋体"/>
          <w:color w:val="auto"/>
          <w:sz w:val="24"/>
          <w:szCs w:val="24"/>
          <w:highlight w:val="none"/>
          <w:u w:val="single"/>
          <w:shd w:val="clear" w:color="auto" w:fill="auto"/>
          <w:lang w:val="en-US" w:eastAsia="zh-CN"/>
        </w:rPr>
        <w:t>广州市天河区车陂路113号第二层205单元</w:t>
      </w:r>
    </w:p>
    <w:p w14:paraId="4B1D6DE8">
      <w:pPr>
        <w:widowControl/>
        <w:spacing w:line="360" w:lineRule="auto"/>
        <w:ind w:left="1055" w:leftChars="255" w:hanging="520" w:hangingChars="217"/>
        <w:jc w:val="left"/>
        <w:rPr>
          <w:rFonts w:hint="eastAsia" w:eastAsia="宋体"/>
          <w:color w:val="auto"/>
          <w:sz w:val="24"/>
          <w:highlight w:val="none"/>
          <w:u w:val="single"/>
          <w:lang w:eastAsia="zh-CN"/>
        </w:rPr>
      </w:pPr>
      <w:r>
        <w:rPr>
          <w:color w:val="auto"/>
          <w:sz w:val="24"/>
          <w:highlight w:val="none"/>
        </w:rPr>
        <w:t xml:space="preserve">    </w:t>
      </w:r>
      <w:r>
        <w:rPr>
          <w:rFonts w:hint="eastAsia"/>
          <w:color w:val="auto"/>
          <w:sz w:val="24"/>
          <w:highlight w:val="none"/>
        </w:rPr>
        <w:t>招标监督机构：横琴深合投资有限公司</w:t>
      </w:r>
    </w:p>
    <w:p w14:paraId="30BA23AB">
      <w:pPr>
        <w:widowControl/>
        <w:spacing w:line="360" w:lineRule="auto"/>
        <w:ind w:firstLine="537" w:firstLineChars="224"/>
        <w:jc w:val="left"/>
        <w:rPr>
          <w:rFonts w:hint="eastAsia" w:eastAsia="宋体"/>
          <w:color w:val="auto"/>
          <w:sz w:val="24"/>
          <w:szCs w:val="24"/>
          <w:highlight w:val="none"/>
          <w:u w:val="single"/>
          <w:lang w:eastAsia="zh-CN" w:bidi="ar"/>
        </w:rPr>
      </w:pPr>
      <w:r>
        <w:rPr>
          <w:color w:val="auto"/>
          <w:sz w:val="24"/>
          <w:highlight w:val="none"/>
        </w:rPr>
        <w:t xml:space="preserve">    </w:t>
      </w:r>
      <w:r>
        <w:rPr>
          <w:rFonts w:hint="eastAsia"/>
          <w:color w:val="auto"/>
          <w:sz w:val="24"/>
          <w:highlight w:val="none"/>
        </w:rPr>
        <w:t>监督电话：0756-3931616</w:t>
      </w:r>
    </w:p>
    <w:p w14:paraId="02282545">
      <w:pPr>
        <w:adjustRightInd w:val="0"/>
        <w:snapToGrid w:val="0"/>
        <w:spacing w:line="360" w:lineRule="auto"/>
        <w:ind w:firstLine="1015" w:firstLineChars="423"/>
        <w:rPr>
          <w:rFonts w:hint="eastAsia" w:eastAsia="宋体"/>
          <w:color w:val="auto"/>
          <w:highlight w:val="none"/>
          <w:lang w:eastAsia="zh-CN"/>
        </w:rPr>
      </w:pPr>
      <w:r>
        <w:rPr>
          <w:rFonts w:hint="eastAsia" w:cs="宋体"/>
          <w:color w:val="auto"/>
          <w:sz w:val="24"/>
          <w:szCs w:val="24"/>
          <w:highlight w:val="none"/>
        </w:rPr>
        <w:t>联系地址：横琴粤澳深度合作区宝兴路49-59号</w:t>
      </w:r>
    </w:p>
    <w:p w14:paraId="2F0B89F8">
      <w:pPr>
        <w:spacing w:line="360" w:lineRule="auto"/>
        <w:ind w:firstLine="537" w:firstLineChars="224"/>
        <w:rPr>
          <w:rFonts w:cs="宋体"/>
          <w:color w:val="auto"/>
          <w:sz w:val="24"/>
          <w:highlight w:val="none"/>
          <w:u w:val="single"/>
        </w:rPr>
      </w:pPr>
      <w:r>
        <w:rPr>
          <w:rFonts w:hint="eastAsia" w:cs="宋体"/>
          <w:color w:val="auto"/>
          <w:sz w:val="24"/>
          <w:highlight w:val="none"/>
        </w:rPr>
        <w:t>三、建设地点：</w:t>
      </w:r>
      <w:r>
        <w:rPr>
          <w:rFonts w:hint="eastAsia" w:cs="宋体"/>
          <w:color w:val="auto"/>
          <w:sz w:val="24"/>
          <w:highlight w:val="none"/>
          <w:lang w:val="en-US" w:eastAsia="zh-CN"/>
        </w:rPr>
        <w:t>广东省</w:t>
      </w:r>
      <w:r>
        <w:rPr>
          <w:rFonts w:hint="eastAsia" w:cs="宋体"/>
          <w:color w:val="auto"/>
          <w:sz w:val="24"/>
          <w:highlight w:val="none"/>
        </w:rPr>
        <w:t>横琴粤澳深度合作区粤澳合作中医药科技产业园北侧、厚朴道西</w:t>
      </w:r>
      <w:r>
        <w:rPr>
          <w:rFonts w:hint="eastAsia" w:cs="宋体"/>
          <w:color w:val="auto"/>
          <w:sz w:val="24"/>
          <w:highlight w:val="none"/>
          <w:u w:val="none"/>
        </w:rPr>
        <w:t>侧</w:t>
      </w:r>
      <w:r>
        <w:rPr>
          <w:rFonts w:hint="eastAsia"/>
          <w:color w:val="auto"/>
          <w:sz w:val="24"/>
          <w:szCs w:val="24"/>
          <w:highlight w:val="none"/>
          <w:u w:val="none"/>
        </w:rPr>
        <w:t>。</w:t>
      </w:r>
    </w:p>
    <w:p w14:paraId="38F4F500">
      <w:pPr>
        <w:spacing w:line="360" w:lineRule="auto"/>
        <w:ind w:firstLine="537" w:firstLineChars="224"/>
        <w:rPr>
          <w:rFonts w:hint="eastAsia" w:cs="宋体"/>
          <w:color w:val="auto"/>
          <w:sz w:val="24"/>
          <w:highlight w:val="none"/>
          <w:u w:val="single"/>
        </w:rPr>
      </w:pPr>
      <w:r>
        <w:rPr>
          <w:rFonts w:hint="eastAsia" w:cs="宋体"/>
          <w:color w:val="auto"/>
          <w:sz w:val="24"/>
          <w:highlight w:val="none"/>
        </w:rPr>
        <w:t>四、项目概况：</w:t>
      </w:r>
      <w:r>
        <w:rPr>
          <w:rFonts w:hint="eastAsia"/>
          <w:color w:val="auto"/>
          <w:sz w:val="24"/>
          <w:highlight w:val="none"/>
        </w:rPr>
        <w:t>琴澳创新产业园一期位于横琴粤澳深度合作区琴海西路东侧、胜洲二路南侧、厚朴道西侧、胜州一路北侧。项目规划用地面积116,395.82平方米，总建筑面积443055.37平方米。（以上具体内容以设计图纸及招标文件等为准）</w:t>
      </w:r>
      <w:r>
        <w:rPr>
          <w:rFonts w:hint="eastAsia" w:cs="宋体"/>
          <w:color w:val="auto"/>
          <w:sz w:val="24"/>
          <w:highlight w:val="none"/>
          <w:u w:val="none"/>
        </w:rPr>
        <w:t>。</w:t>
      </w:r>
    </w:p>
    <w:p w14:paraId="2D797AB1">
      <w:pPr>
        <w:spacing w:line="360" w:lineRule="auto"/>
        <w:ind w:firstLine="537" w:firstLineChars="224"/>
        <w:rPr>
          <w:color w:val="auto"/>
          <w:sz w:val="24"/>
          <w:highlight w:val="none"/>
        </w:rPr>
      </w:pPr>
      <w:r>
        <w:rPr>
          <w:rFonts w:hint="eastAsia"/>
          <w:color w:val="auto"/>
          <w:sz w:val="24"/>
          <w:highlight w:val="none"/>
        </w:rPr>
        <w:t>五、标段划分及各标段招标内容、规模和最高投标限价：</w:t>
      </w:r>
    </w:p>
    <w:p w14:paraId="66737AB2">
      <w:pPr>
        <w:spacing w:line="360" w:lineRule="auto"/>
        <w:ind w:firstLine="537" w:firstLineChars="224"/>
        <w:rPr>
          <w:color w:val="auto"/>
          <w:sz w:val="24"/>
          <w:szCs w:val="24"/>
          <w:highlight w:val="none"/>
          <w:u w:val="single"/>
        </w:rPr>
      </w:pPr>
      <w:r>
        <w:rPr>
          <w:rFonts w:hint="eastAsia"/>
          <w:color w:val="auto"/>
          <w:sz w:val="24"/>
          <w:szCs w:val="24"/>
          <w:highlight w:val="none"/>
        </w:rPr>
        <w:t>1、标段划分：本工程划分为</w:t>
      </w:r>
      <w:r>
        <w:rPr>
          <w:rFonts w:hint="eastAsia"/>
          <w:color w:val="auto"/>
          <w:sz w:val="24"/>
          <w:szCs w:val="24"/>
          <w:highlight w:val="none"/>
          <w:u w:val="single"/>
        </w:rPr>
        <w:t xml:space="preserve"> 1 </w:t>
      </w:r>
      <w:r>
        <w:rPr>
          <w:rFonts w:hint="eastAsia"/>
          <w:color w:val="auto"/>
          <w:sz w:val="24"/>
          <w:szCs w:val="24"/>
          <w:highlight w:val="none"/>
        </w:rPr>
        <w:t>个标段。</w:t>
      </w:r>
    </w:p>
    <w:p w14:paraId="65DEC7CD">
      <w:pPr>
        <w:spacing w:line="360" w:lineRule="auto"/>
        <w:ind w:firstLine="537" w:firstLineChars="224"/>
        <w:rPr>
          <w:rFonts w:hint="eastAsia" w:cs="宋体"/>
          <w:color w:val="auto"/>
          <w:sz w:val="24"/>
          <w:highlight w:val="none"/>
          <w:u w:val="single"/>
        </w:rPr>
      </w:pPr>
      <w:r>
        <w:rPr>
          <w:rFonts w:hint="eastAsia" w:cs="宋体"/>
          <w:color w:val="auto"/>
          <w:sz w:val="24"/>
          <w:highlight w:val="none"/>
          <w:lang w:val="en-US" w:eastAsia="zh-CN"/>
        </w:rPr>
        <w:t>2</w:t>
      </w:r>
      <w:r>
        <w:rPr>
          <w:rFonts w:hint="eastAsia" w:cs="宋体"/>
          <w:color w:val="auto"/>
          <w:sz w:val="24"/>
          <w:highlight w:val="none"/>
        </w:rPr>
        <w:t>、</w:t>
      </w:r>
      <w:r>
        <w:rPr>
          <w:rFonts w:hint="eastAsia"/>
          <w:color w:val="auto"/>
          <w:sz w:val="24"/>
          <w:szCs w:val="24"/>
          <w:highlight w:val="none"/>
        </w:rPr>
        <w:t>招标内容</w:t>
      </w:r>
      <w:r>
        <w:rPr>
          <w:rFonts w:hint="eastAsia" w:cs="宋体"/>
          <w:color w:val="auto"/>
          <w:sz w:val="24"/>
          <w:highlight w:val="none"/>
        </w:rPr>
        <w:t>：</w:t>
      </w:r>
      <w:r>
        <w:rPr>
          <w:rFonts w:hint="eastAsia" w:cs="宋体"/>
          <w:color w:val="auto"/>
          <w:sz w:val="24"/>
          <w:highlight w:val="none"/>
          <w:u w:val="single"/>
        </w:rPr>
        <w:t>专业承包人须按合同文件、图纸、工程量清单及有关资料及说明，完成建筑物主体工程泛光照明工程等。相关设施设备采购、安装、调试等及相关图纸深化（</w:t>
      </w:r>
      <w:r>
        <w:rPr>
          <w:rFonts w:hint="eastAsia" w:cs="宋体"/>
          <w:color w:val="auto"/>
          <w:sz w:val="24"/>
          <w:highlight w:val="none"/>
          <w:u w:val="single"/>
          <w:lang w:val="en-US" w:eastAsia="zh-CN"/>
        </w:rPr>
        <w:t>具体以招标文件、施工图纸、合同、工程量清单及相关技术文件为准</w:t>
      </w:r>
      <w:r>
        <w:rPr>
          <w:rFonts w:hint="eastAsia" w:cs="宋体"/>
          <w:color w:val="auto"/>
          <w:sz w:val="24"/>
          <w:highlight w:val="none"/>
          <w:u w:val="single"/>
        </w:rPr>
        <w:t>）</w:t>
      </w:r>
      <w:r>
        <w:rPr>
          <w:rFonts w:hint="eastAsia" w:cs="宋体"/>
          <w:color w:val="auto"/>
          <w:sz w:val="24"/>
          <w:highlight w:val="none"/>
          <w:u w:val="single"/>
          <w:lang w:eastAsia="zh-CN"/>
        </w:rPr>
        <w:t>。</w:t>
      </w:r>
    </w:p>
    <w:p w14:paraId="29673B26">
      <w:pPr>
        <w:spacing w:line="360" w:lineRule="auto"/>
        <w:ind w:firstLine="540" w:firstLineChars="224"/>
        <w:rPr>
          <w:rFonts w:hint="eastAsia" w:eastAsia="宋体" w:cs="宋体"/>
          <w:color w:val="auto"/>
          <w:sz w:val="24"/>
          <w:highlight w:val="none"/>
          <w:lang w:val="en-US" w:eastAsia="zh-CN"/>
        </w:rPr>
      </w:pPr>
      <w:r>
        <w:rPr>
          <w:rFonts w:hint="eastAsia" w:cs="宋体"/>
          <w:b/>
          <w:bCs/>
          <w:color w:val="auto"/>
          <w:sz w:val="24"/>
          <w:highlight w:val="none"/>
          <w:u w:val="single"/>
        </w:rPr>
        <w:t>具体以招标文件、招标图纸、工程量清单及有关资料说明为准。</w:t>
      </w:r>
    </w:p>
    <w:p w14:paraId="13AA5A42">
      <w:pPr>
        <w:spacing w:line="360" w:lineRule="auto"/>
        <w:ind w:firstLine="537" w:firstLineChars="224"/>
        <w:rPr>
          <w:color w:val="auto"/>
          <w:sz w:val="24"/>
          <w:szCs w:val="24"/>
          <w:highlight w:val="none"/>
          <w:u w:val="single"/>
        </w:rPr>
      </w:pPr>
      <w:r>
        <w:rPr>
          <w:rFonts w:hint="eastAsia"/>
          <w:color w:val="auto"/>
          <w:sz w:val="24"/>
          <w:highlight w:val="none"/>
          <w:lang w:val="en-US" w:eastAsia="zh-CN"/>
        </w:rPr>
        <w:t>3</w:t>
      </w:r>
      <w:r>
        <w:rPr>
          <w:rFonts w:hint="eastAsia"/>
          <w:color w:val="auto"/>
          <w:sz w:val="24"/>
          <w:highlight w:val="none"/>
        </w:rPr>
        <w:t>、最高投标限价</w:t>
      </w:r>
      <w:r>
        <w:rPr>
          <w:rFonts w:hint="eastAsia"/>
          <w:color w:val="auto"/>
          <w:sz w:val="24"/>
          <w:szCs w:val="24"/>
          <w:highlight w:val="none"/>
        </w:rPr>
        <w:t>：</w:t>
      </w:r>
      <w:r>
        <w:rPr>
          <w:rFonts w:hint="eastAsia"/>
          <w:color w:val="auto"/>
          <w:sz w:val="24"/>
          <w:szCs w:val="24"/>
          <w:highlight w:val="none"/>
          <w:u w:val="single"/>
        </w:rPr>
        <w:t>人民币</w:t>
      </w:r>
      <w:r>
        <w:rPr>
          <w:rFonts w:hint="eastAsia"/>
          <w:color w:val="auto"/>
          <w:sz w:val="24"/>
          <w:szCs w:val="24"/>
          <w:highlight w:val="none"/>
          <w:u w:val="single"/>
          <w:lang w:val="en-US" w:eastAsia="zh-CN"/>
        </w:rPr>
        <w:t>9,928,736.27</w:t>
      </w:r>
      <w:r>
        <w:rPr>
          <w:rFonts w:hint="eastAsia"/>
          <w:color w:val="auto"/>
          <w:sz w:val="24"/>
          <w:szCs w:val="24"/>
          <w:highlight w:val="none"/>
          <w:u w:val="single"/>
        </w:rPr>
        <w:t>元。</w:t>
      </w:r>
    </w:p>
    <w:p w14:paraId="50E1EFE3">
      <w:pPr>
        <w:spacing w:line="360" w:lineRule="auto"/>
        <w:ind w:firstLine="537" w:firstLineChars="224"/>
        <w:rPr>
          <w:color w:val="auto"/>
          <w:sz w:val="24"/>
          <w:highlight w:val="none"/>
        </w:rPr>
      </w:pPr>
      <w:r>
        <w:rPr>
          <w:rFonts w:hint="eastAsia"/>
          <w:color w:val="auto"/>
          <w:sz w:val="24"/>
          <w:highlight w:val="none"/>
        </w:rPr>
        <w:t>六、资金来源：</w:t>
      </w:r>
      <w:r>
        <w:rPr>
          <w:rFonts w:hint="eastAsia"/>
          <w:color w:val="auto"/>
          <w:sz w:val="24"/>
          <w:highlight w:val="none"/>
          <w:u w:val="single"/>
        </w:rPr>
        <w:t>企业自筹。</w:t>
      </w:r>
    </w:p>
    <w:p w14:paraId="22ECFF1B">
      <w:pPr>
        <w:spacing w:line="360" w:lineRule="auto"/>
        <w:ind w:firstLine="537" w:firstLineChars="224"/>
        <w:rPr>
          <w:color w:val="auto"/>
          <w:sz w:val="24"/>
          <w:highlight w:val="none"/>
        </w:rPr>
      </w:pPr>
      <w:r>
        <w:rPr>
          <w:rFonts w:hint="eastAsia" w:cs="宋体"/>
          <w:color w:val="auto"/>
          <w:kern w:val="0"/>
          <w:sz w:val="24"/>
          <w:szCs w:val="24"/>
          <w:highlight w:val="none"/>
        </w:rPr>
        <w:t>七、</w:t>
      </w:r>
      <w:r>
        <w:rPr>
          <w:rFonts w:hint="eastAsia"/>
          <w:color w:val="auto"/>
          <w:sz w:val="24"/>
          <w:highlight w:val="none"/>
        </w:rPr>
        <w:t>发布招标公告、递交投标文件时间、开标时间：</w:t>
      </w:r>
    </w:p>
    <w:p w14:paraId="60D3AE62">
      <w:pPr>
        <w:spacing w:line="360" w:lineRule="auto"/>
        <w:ind w:left="239" w:leftChars="114" w:firstLine="297" w:firstLineChars="124"/>
        <w:rPr>
          <w:color w:val="auto"/>
          <w:sz w:val="24"/>
          <w:highlight w:val="none"/>
        </w:rPr>
      </w:pPr>
      <w:r>
        <w:rPr>
          <w:rFonts w:hint="eastAsia" w:cs="宋体"/>
          <w:color w:val="auto"/>
          <w:sz w:val="24"/>
          <w:szCs w:val="24"/>
          <w:highlight w:val="none"/>
        </w:rPr>
        <w:t>1、</w:t>
      </w:r>
      <w:r>
        <w:rPr>
          <w:rFonts w:hint="eastAsia"/>
          <w:color w:val="auto"/>
          <w:sz w:val="24"/>
          <w:highlight w:val="none"/>
        </w:rPr>
        <w:t>发布招标公告时间（含本日）：</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w:t>
      </w:r>
      <w:r>
        <w:rPr>
          <w:rFonts w:hint="eastAsia"/>
          <w:color w:val="auto"/>
          <w:sz w:val="24"/>
          <w:highlight w:val="none"/>
          <w:u w:val="single"/>
        </w:rPr>
        <w:t>月</w:t>
      </w:r>
      <w:r>
        <w:rPr>
          <w:rFonts w:hint="eastAsia"/>
          <w:color w:val="auto"/>
          <w:sz w:val="24"/>
          <w:highlight w:val="none"/>
          <w:u w:val="single"/>
          <w:lang w:val="en-US" w:eastAsia="zh-CN"/>
        </w:rPr>
        <w:t>**</w:t>
      </w:r>
      <w:r>
        <w:rPr>
          <w:rFonts w:hint="eastAsia"/>
          <w:color w:val="auto"/>
          <w:sz w:val="24"/>
          <w:highlight w:val="none"/>
          <w:u w:val="single"/>
        </w:rPr>
        <w:t>日</w:t>
      </w:r>
      <w:r>
        <w:rPr>
          <w:rFonts w:hint="eastAsia"/>
          <w:color w:val="auto"/>
          <w:sz w:val="24"/>
          <w:highlight w:val="none"/>
          <w:u w:val="single"/>
          <w:lang w:val="en-US" w:eastAsia="zh-CN"/>
        </w:rPr>
        <w:t>**</w:t>
      </w:r>
      <w:r>
        <w:rPr>
          <w:rFonts w:hint="eastAsia"/>
          <w:color w:val="auto"/>
          <w:sz w:val="24"/>
          <w:highlight w:val="none"/>
          <w:u w:val="single"/>
        </w:rPr>
        <w:t>时</w:t>
      </w:r>
      <w:r>
        <w:rPr>
          <w:rFonts w:hint="eastAsia"/>
          <w:color w:val="auto"/>
          <w:sz w:val="24"/>
          <w:highlight w:val="none"/>
          <w:u w:val="single"/>
          <w:lang w:val="en-US" w:eastAsia="zh-CN"/>
        </w:rPr>
        <w:t>00</w:t>
      </w:r>
      <w:r>
        <w:rPr>
          <w:rFonts w:hint="eastAsia"/>
          <w:color w:val="auto"/>
          <w:sz w:val="24"/>
          <w:highlight w:val="none"/>
          <w:u w:val="single"/>
        </w:rPr>
        <w:t>分至</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w:t>
      </w:r>
      <w:r>
        <w:rPr>
          <w:rFonts w:hint="eastAsia"/>
          <w:color w:val="auto"/>
          <w:sz w:val="24"/>
          <w:highlight w:val="none"/>
          <w:u w:val="single"/>
        </w:rPr>
        <w:t>月</w:t>
      </w:r>
      <w:r>
        <w:rPr>
          <w:rFonts w:hint="eastAsia"/>
          <w:color w:val="auto"/>
          <w:sz w:val="24"/>
          <w:highlight w:val="none"/>
          <w:u w:val="single"/>
          <w:lang w:val="en-US" w:eastAsia="zh-CN"/>
        </w:rPr>
        <w:t>**</w:t>
      </w:r>
      <w:r>
        <w:rPr>
          <w:rFonts w:hint="eastAsia"/>
          <w:color w:val="auto"/>
          <w:sz w:val="24"/>
          <w:highlight w:val="none"/>
          <w:u w:val="single"/>
        </w:rPr>
        <w:t>日</w:t>
      </w:r>
      <w:r>
        <w:rPr>
          <w:rFonts w:hint="eastAsia"/>
          <w:color w:val="auto"/>
          <w:sz w:val="24"/>
          <w:highlight w:val="none"/>
          <w:u w:val="single"/>
          <w:lang w:val="en-US" w:eastAsia="zh-CN"/>
        </w:rPr>
        <w:t>**</w:t>
      </w:r>
      <w:r>
        <w:rPr>
          <w:rFonts w:hint="eastAsia"/>
          <w:color w:val="auto"/>
          <w:sz w:val="24"/>
          <w:highlight w:val="none"/>
          <w:u w:val="single"/>
        </w:rPr>
        <w:t>时</w:t>
      </w:r>
      <w:r>
        <w:rPr>
          <w:rFonts w:hint="eastAsia"/>
          <w:color w:val="auto"/>
          <w:sz w:val="24"/>
          <w:highlight w:val="none"/>
          <w:u w:val="single"/>
          <w:lang w:val="en-US" w:eastAsia="zh-CN"/>
        </w:rPr>
        <w:t>00</w:t>
      </w:r>
      <w:r>
        <w:rPr>
          <w:rFonts w:hint="eastAsia"/>
          <w:color w:val="auto"/>
          <w:sz w:val="24"/>
          <w:highlight w:val="none"/>
          <w:u w:val="single"/>
        </w:rPr>
        <w:t>分</w:t>
      </w:r>
      <w:r>
        <w:rPr>
          <w:rFonts w:hint="eastAsia"/>
          <w:color w:val="auto"/>
          <w:sz w:val="24"/>
          <w:highlight w:val="none"/>
        </w:rPr>
        <w:t>。</w:t>
      </w:r>
      <w:r>
        <w:rPr>
          <w:rFonts w:hint="eastAsia" w:cs="宋体"/>
          <w:color w:val="auto"/>
          <w:kern w:val="0"/>
          <w:sz w:val="24"/>
          <w:szCs w:val="24"/>
          <w:highlight w:val="none"/>
        </w:rPr>
        <w:t>凡有意参加投标者，请登录广州交易集团有限公司（广州公共资源交易中心）交易平台网站下载电子招标文件。</w:t>
      </w:r>
    </w:p>
    <w:p w14:paraId="2FC08570">
      <w:pPr>
        <w:spacing w:line="360" w:lineRule="auto"/>
        <w:ind w:firstLine="537" w:firstLineChars="224"/>
        <w:rPr>
          <w:color w:val="auto"/>
          <w:sz w:val="24"/>
          <w:highlight w:val="none"/>
        </w:rPr>
      </w:pPr>
      <w:r>
        <w:rPr>
          <w:rFonts w:hint="eastAsia" w:cs="宋体"/>
          <w:color w:val="auto"/>
          <w:kern w:val="0"/>
          <w:sz w:val="24"/>
          <w:szCs w:val="24"/>
          <w:highlight w:val="none"/>
        </w:rPr>
        <w:t>注：发布招标公告的时间为招标公告发出之日起至递交投标文件截止时间止。</w:t>
      </w:r>
    </w:p>
    <w:p w14:paraId="6878DA36">
      <w:pPr>
        <w:spacing w:line="360" w:lineRule="auto"/>
        <w:ind w:firstLine="537" w:firstLineChars="224"/>
        <w:rPr>
          <w:rFonts w:cs="宋体"/>
          <w:color w:val="auto"/>
          <w:kern w:val="0"/>
          <w:sz w:val="24"/>
          <w:szCs w:val="24"/>
          <w:highlight w:val="none"/>
        </w:rPr>
      </w:pPr>
      <w:r>
        <w:rPr>
          <w:rFonts w:hint="eastAsia" w:cs="宋体"/>
          <w:color w:val="auto"/>
          <w:kern w:val="0"/>
          <w:sz w:val="24"/>
          <w:szCs w:val="24"/>
          <w:highlight w:val="none"/>
        </w:rPr>
        <w:t>2、递交投标文件起始时间：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**月**日**时00</w:t>
      </w:r>
      <w:r>
        <w:rPr>
          <w:rFonts w:hint="eastAsia"/>
          <w:color w:val="auto"/>
          <w:sz w:val="24"/>
          <w:highlight w:val="none"/>
          <w:u w:val="single"/>
        </w:rPr>
        <w:t>分</w:t>
      </w:r>
      <w:r>
        <w:rPr>
          <w:rFonts w:hint="eastAsia" w:cs="宋体"/>
          <w:color w:val="auto"/>
          <w:kern w:val="0"/>
          <w:sz w:val="24"/>
          <w:szCs w:val="24"/>
          <w:highlight w:val="none"/>
        </w:rPr>
        <w:t>；</w:t>
      </w:r>
    </w:p>
    <w:p w14:paraId="1B11236D">
      <w:pPr>
        <w:spacing w:line="360" w:lineRule="auto"/>
        <w:ind w:firstLine="2318" w:firstLineChars="966"/>
        <w:rPr>
          <w:rFonts w:cs="宋体"/>
          <w:color w:val="auto"/>
          <w:kern w:val="0"/>
          <w:sz w:val="24"/>
          <w:szCs w:val="24"/>
          <w:highlight w:val="none"/>
        </w:rPr>
      </w:pPr>
      <w:r>
        <w:rPr>
          <w:rFonts w:hint="eastAsia" w:cs="宋体"/>
          <w:color w:val="auto"/>
          <w:kern w:val="0"/>
          <w:sz w:val="24"/>
          <w:szCs w:val="24"/>
          <w:highlight w:val="none"/>
        </w:rPr>
        <w:t>截止时间：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**月**日9时00</w:t>
      </w:r>
      <w:r>
        <w:rPr>
          <w:rFonts w:hint="eastAsia"/>
          <w:color w:val="auto"/>
          <w:sz w:val="24"/>
          <w:highlight w:val="none"/>
          <w:u w:val="single"/>
        </w:rPr>
        <w:t>分</w:t>
      </w:r>
      <w:r>
        <w:rPr>
          <w:rFonts w:hint="eastAsia" w:cs="宋体"/>
          <w:color w:val="auto"/>
          <w:kern w:val="0"/>
          <w:sz w:val="24"/>
          <w:szCs w:val="24"/>
          <w:highlight w:val="none"/>
        </w:rPr>
        <w:t>。</w:t>
      </w:r>
    </w:p>
    <w:p w14:paraId="5722A6C2">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3、开标</w:t>
      </w:r>
      <w:r>
        <w:rPr>
          <w:rFonts w:hint="eastAsia" w:cs="宋体"/>
          <w:color w:val="auto"/>
          <w:sz w:val="24"/>
          <w:szCs w:val="24"/>
          <w:highlight w:val="none"/>
          <w:lang w:val="en-US" w:eastAsia="zh-CN"/>
        </w:rPr>
        <w:t>开始</w:t>
      </w:r>
      <w:r>
        <w:rPr>
          <w:rFonts w:hint="eastAsia" w:cs="宋体"/>
          <w:color w:val="auto"/>
          <w:sz w:val="24"/>
          <w:szCs w:val="24"/>
          <w:highlight w:val="none"/>
        </w:rPr>
        <w:t>时间：</w:t>
      </w:r>
      <w:r>
        <w:rPr>
          <w:rFonts w:hint="eastAsia"/>
          <w:color w:val="auto"/>
          <w:sz w:val="24"/>
          <w:highlight w:val="none"/>
          <w:u w:val="single"/>
          <w:lang w:eastAsia="zh-CN"/>
        </w:rPr>
        <w:t>2025</w:t>
      </w:r>
      <w:r>
        <w:rPr>
          <w:rFonts w:hint="eastAsia"/>
          <w:color w:val="auto"/>
          <w:sz w:val="24"/>
          <w:highlight w:val="none"/>
          <w:u w:val="single"/>
        </w:rPr>
        <w:t>年</w:t>
      </w:r>
      <w:r>
        <w:rPr>
          <w:rFonts w:hint="eastAsia"/>
          <w:color w:val="auto"/>
          <w:sz w:val="24"/>
          <w:highlight w:val="none"/>
          <w:u w:val="single"/>
          <w:lang w:val="en-US" w:eastAsia="zh-CN"/>
        </w:rPr>
        <w:t>**月**日**时00</w:t>
      </w:r>
      <w:r>
        <w:rPr>
          <w:rFonts w:hint="eastAsia"/>
          <w:color w:val="auto"/>
          <w:sz w:val="24"/>
          <w:highlight w:val="none"/>
          <w:u w:val="single"/>
        </w:rPr>
        <w:t>分</w:t>
      </w:r>
      <w:r>
        <w:rPr>
          <w:rFonts w:hint="eastAsia" w:cs="宋体"/>
          <w:color w:val="auto"/>
          <w:sz w:val="24"/>
          <w:szCs w:val="24"/>
          <w:highlight w:val="none"/>
        </w:rPr>
        <w:t>。</w:t>
      </w:r>
    </w:p>
    <w:p w14:paraId="7E472CEC">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5959100">
      <w:pPr>
        <w:spacing w:line="360" w:lineRule="auto"/>
        <w:ind w:firstLine="537" w:firstLineChars="224"/>
        <w:rPr>
          <w:rFonts w:hint="eastAsia" w:cs="宋体"/>
          <w:color w:val="auto"/>
          <w:sz w:val="24"/>
          <w:szCs w:val="24"/>
          <w:highlight w:val="none"/>
        </w:rPr>
      </w:pPr>
      <w:r>
        <w:rPr>
          <w:rFonts w:hint="eastAsia" w:cs="宋体"/>
          <w:color w:val="auto"/>
          <w:sz w:val="24"/>
          <w:szCs w:val="24"/>
          <w:highlight w:val="none"/>
        </w:rPr>
        <w:t>5、投标人通过</w:t>
      </w:r>
      <w:r>
        <w:rPr>
          <w:rFonts w:hint="eastAsia"/>
          <w:color w:val="auto"/>
          <w:sz w:val="24"/>
          <w:szCs w:val="24"/>
          <w:highlight w:val="none"/>
          <w:u w:val="single"/>
        </w:rPr>
        <w:t>广州交易集团有限公司（广州公共资源交易中心）</w:t>
      </w:r>
      <w:r>
        <w:rPr>
          <w:rFonts w:hint="eastAsia" w:cs="宋体"/>
          <w:color w:val="auto"/>
          <w:sz w:val="24"/>
          <w:szCs w:val="24"/>
          <w:highlight w:val="none"/>
        </w:rPr>
        <w:t>交易平台递交电子投标文件。投标人应在递交投标文件截止时间前，登录</w:t>
      </w:r>
      <w:r>
        <w:rPr>
          <w:rFonts w:hint="eastAsia"/>
          <w:color w:val="auto"/>
          <w:sz w:val="24"/>
          <w:szCs w:val="24"/>
          <w:highlight w:val="none"/>
          <w:u w:val="single"/>
        </w:rPr>
        <w:t>广州交易集团有限公司（广州公共资源交易中心）</w:t>
      </w:r>
      <w:r>
        <w:rPr>
          <w:rFonts w:hint="eastAsia" w:cs="宋体"/>
          <w:color w:val="auto"/>
          <w:sz w:val="24"/>
          <w:szCs w:val="24"/>
          <w:highlight w:val="none"/>
        </w:rPr>
        <w:t>交易平台网站办理网上投标登记手续。按照交易平台关于全流程电子化项目的相关指南进行操作。详见：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广州交易集团有限公司（广州公共资源交易中心）网站发布的最新版操作指引</w:t>
      </w:r>
      <w:r>
        <w:rPr>
          <w:rFonts w:hint="eastAsia" w:cs="宋体"/>
          <w:color w:val="auto"/>
          <w:sz w:val="24"/>
          <w:szCs w:val="24"/>
          <w:highlight w:val="none"/>
        </w:rPr>
        <w:t>。</w:t>
      </w:r>
    </w:p>
    <w:p w14:paraId="5E7E4A8E">
      <w:pPr>
        <w:spacing w:line="360" w:lineRule="auto"/>
        <w:ind w:firstLine="537" w:firstLineChars="224"/>
        <w:rPr>
          <w:rFonts w:hint="eastAsia" w:eastAsia="宋体"/>
          <w:color w:val="auto"/>
          <w:highlight w:val="none"/>
          <w:lang w:val="en-US" w:eastAsia="zh-CN"/>
        </w:rPr>
      </w:pPr>
      <w:r>
        <w:rPr>
          <w:rFonts w:hint="eastAsia" w:cs="宋体"/>
          <w:color w:val="auto"/>
          <w:sz w:val="24"/>
          <w:szCs w:val="24"/>
          <w:highlight w:val="none"/>
          <w:lang w:val="en-US" w:eastAsia="zh-CN"/>
        </w:rPr>
        <w:t>6、</w:t>
      </w:r>
      <w:r>
        <w:rPr>
          <w:rFonts w:hint="eastAsia" w:ascii="宋体" w:hAnsi="宋体"/>
          <w:color w:val="auto"/>
          <w:sz w:val="24"/>
          <w:szCs w:val="24"/>
          <w:highlight w:val="none"/>
          <w:u w:val="single"/>
        </w:rPr>
        <w:t>在投标登记时，投标人应按要求在交易系统中填写《施工项目管理团队人员信息表》（详见</w:t>
      </w:r>
      <w:r>
        <w:rPr>
          <w:rFonts w:hint="eastAsia"/>
          <w:color w:val="auto"/>
          <w:sz w:val="24"/>
          <w:szCs w:val="24"/>
          <w:highlight w:val="none"/>
          <w:u w:val="single"/>
          <w:lang w:val="en-US" w:eastAsia="zh-CN"/>
        </w:rPr>
        <w:t>附件二</w:t>
      </w:r>
      <w:r>
        <w:rPr>
          <w:rFonts w:hint="eastAsia" w:ascii="宋体" w:hAnsi="宋体"/>
          <w:color w:val="auto"/>
          <w:sz w:val="24"/>
          <w:szCs w:val="24"/>
          <w:highlight w:val="none"/>
          <w:u w:val="single"/>
        </w:rPr>
        <w:t>），表中的项目管理团队人员信息作为投标文件的一部分，将由交易系统提取后供各相关单位在中标人履约时进行比对、查核。</w:t>
      </w:r>
    </w:p>
    <w:p w14:paraId="6ADC33A2">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14:paraId="1CD6CD39">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14:paraId="1AF350D5">
      <w:pPr>
        <w:spacing w:line="360" w:lineRule="auto"/>
        <w:ind w:firstLine="537" w:firstLineChars="224"/>
        <w:rPr>
          <w:color w:val="auto"/>
          <w:sz w:val="24"/>
          <w:highlight w:val="none"/>
        </w:rPr>
      </w:pPr>
      <w:r>
        <w:rPr>
          <w:rFonts w:hint="eastAsia"/>
          <w:color w:val="auto"/>
          <w:sz w:val="24"/>
          <w:highlight w:val="none"/>
        </w:rPr>
        <w:t>九、投标人合格条件：</w:t>
      </w:r>
    </w:p>
    <w:p w14:paraId="135F962A">
      <w:pPr>
        <w:spacing w:line="360" w:lineRule="auto"/>
        <w:ind w:firstLine="537" w:firstLineChars="224"/>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303959E6">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2、投标人均具有独立法人资格，按国家法律经营。港澳地区企业参与本项目投标，须具有商事主体资格，且须取得珠海市(区)或横琴粤澳深度合作区行业主管部门颁发的香港/澳门建筑及相关工程咨询企业备案认可书或广东省住房和城乡建设厅颁发的备案认可文件。</w:t>
      </w:r>
    </w:p>
    <w:p w14:paraId="5D1AFDA3">
      <w:pPr>
        <w:spacing w:line="44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s="宋体"/>
          <w:color w:val="auto"/>
          <w:sz w:val="24"/>
          <w:szCs w:val="24"/>
          <w:highlight w:val="none"/>
        </w:rPr>
        <w:t>投标人持有建设行政主管部门颁发的</w:t>
      </w:r>
      <w:r>
        <w:rPr>
          <w:rFonts w:hint="eastAsia" w:ascii="宋体" w:hAnsi="宋体"/>
          <w:color w:val="auto"/>
          <w:sz w:val="24"/>
          <w:highlight w:val="none"/>
        </w:rPr>
        <w:t>有效期内的</w:t>
      </w:r>
      <w:r>
        <w:rPr>
          <w:rFonts w:hint="eastAsia" w:ascii="宋体" w:hAnsi="宋体" w:cs="宋体"/>
          <w:color w:val="auto"/>
          <w:sz w:val="24"/>
          <w:szCs w:val="24"/>
          <w:highlight w:val="none"/>
        </w:rPr>
        <w:t>企业资质证书及安全生产许可证</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适用于内地投标人）</w:t>
      </w:r>
      <w:r>
        <w:rPr>
          <w:rFonts w:hint="eastAsia"/>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港澳投标人持有</w:t>
      </w:r>
      <w:r>
        <w:rPr>
          <w:rFonts w:hint="eastAsia" w:ascii="宋体" w:hAnsi="宋体" w:eastAsia="宋体" w:cs="宋体"/>
          <w:color w:val="auto"/>
          <w:sz w:val="24"/>
          <w:szCs w:val="24"/>
          <w:highlight w:val="none"/>
        </w:rPr>
        <w:t>珠海市(区)或横琴粤澳深度合作区行业主管部门颁发的且在有效期</w:t>
      </w:r>
      <w:r>
        <w:rPr>
          <w:rFonts w:hint="eastAsia" w:ascii="宋体" w:hAnsi="宋体" w:eastAsia="宋体" w:cs="宋体"/>
          <w:i w:val="0"/>
          <w:iCs w:val="0"/>
          <w:caps w:val="0"/>
          <w:color w:val="auto"/>
          <w:spacing w:val="0"/>
          <w:sz w:val="24"/>
          <w:szCs w:val="24"/>
          <w:highlight w:val="none"/>
          <w:shd w:val="clear" w:fill="FFFFFF"/>
        </w:rPr>
        <w:t>内的</w:t>
      </w:r>
      <w:r>
        <w:rPr>
          <w:rFonts w:hint="eastAsia" w:ascii="宋体" w:hAnsi="宋体" w:cs="Times New Roman"/>
          <w:color w:val="auto"/>
          <w:sz w:val="24"/>
          <w:highlight w:val="none"/>
        </w:rPr>
        <w:t>安全生产备案</w:t>
      </w:r>
      <w:r>
        <w:rPr>
          <w:rFonts w:hint="eastAsia" w:cs="Times New Roman"/>
          <w:color w:val="auto"/>
          <w:sz w:val="24"/>
          <w:highlight w:val="none"/>
          <w:lang w:val="en-US" w:eastAsia="zh-CN"/>
        </w:rPr>
        <w:t>证明</w:t>
      </w:r>
      <w:r>
        <w:rPr>
          <w:rFonts w:hint="eastAsia" w:ascii="宋体" w:hAnsi="宋体" w:eastAsia="宋体" w:cs="Times New Roman"/>
          <w:color w:val="auto"/>
          <w:sz w:val="24"/>
          <w:highlight w:val="none"/>
          <w:lang w:val="en-US" w:eastAsia="zh-CN"/>
        </w:rPr>
        <w:t>文件</w:t>
      </w:r>
      <w:r>
        <w:rPr>
          <w:rFonts w:hint="eastAsia" w:cs="Times New Roman"/>
          <w:color w:val="auto"/>
          <w:sz w:val="24"/>
          <w:szCs w:val="24"/>
          <w:highlight w:val="none"/>
          <w:lang w:val="en-US" w:eastAsia="zh-CN"/>
        </w:rPr>
        <w:t>；</w:t>
      </w:r>
    </w:p>
    <w:p w14:paraId="0177E18C">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投标人应具备以下资质：</w:t>
      </w:r>
    </w:p>
    <w:p w14:paraId="0637B525">
      <w:pPr>
        <w:spacing w:line="360" w:lineRule="auto"/>
        <w:ind w:firstLine="537" w:firstLineChars="224"/>
        <w:rPr>
          <w:rFonts w:hint="eastAsia" w:ascii="宋体" w:hAnsi="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cs="宋体"/>
          <w:color w:val="auto"/>
          <w:sz w:val="24"/>
          <w:szCs w:val="24"/>
          <w:highlight w:val="none"/>
          <w:lang w:val="en-US" w:eastAsia="zh-CN"/>
        </w:rPr>
        <w:t>内地投标人：</w:t>
      </w:r>
      <w:r>
        <w:rPr>
          <w:rFonts w:hint="eastAsia" w:ascii="宋体" w:hAnsi="宋体" w:cs="宋体"/>
          <w:color w:val="auto"/>
          <w:sz w:val="24"/>
          <w:szCs w:val="24"/>
          <w:highlight w:val="none"/>
        </w:rPr>
        <w:t>投标人具有承接本工程所需的</w:t>
      </w:r>
      <w:r>
        <w:rPr>
          <w:rFonts w:hint="eastAsia" w:ascii="宋体" w:hAnsi="宋体"/>
          <w:color w:val="auto"/>
          <w:sz w:val="24"/>
          <w:szCs w:val="24"/>
          <w:highlight w:val="none"/>
          <w:u w:val="single"/>
        </w:rPr>
        <w:t>城市及道路照明工程专业承包</w:t>
      </w:r>
      <w:r>
        <w:rPr>
          <w:rFonts w:hint="eastAsia"/>
          <w:color w:val="auto"/>
          <w:sz w:val="24"/>
          <w:szCs w:val="24"/>
          <w:highlight w:val="none"/>
          <w:u w:val="single"/>
          <w:lang w:val="en-US" w:eastAsia="zh-CN"/>
        </w:rPr>
        <w:t>二</w:t>
      </w:r>
      <w:r>
        <w:rPr>
          <w:rFonts w:hint="eastAsia" w:ascii="宋体" w:hAnsi="宋体"/>
          <w:color w:val="auto"/>
          <w:sz w:val="24"/>
          <w:szCs w:val="24"/>
          <w:highlight w:val="none"/>
          <w:u w:val="single"/>
        </w:rPr>
        <w:t>级</w:t>
      </w:r>
      <w:r>
        <w:rPr>
          <w:rFonts w:hint="eastAsia"/>
          <w:color w:val="auto"/>
          <w:sz w:val="24"/>
          <w:szCs w:val="24"/>
          <w:highlight w:val="none"/>
          <w:u w:val="single"/>
          <w:lang w:val="en-US" w:eastAsia="zh-CN"/>
        </w:rPr>
        <w:t>或以上级别</w:t>
      </w:r>
      <w:r>
        <w:rPr>
          <w:rFonts w:hint="eastAsia" w:ascii="宋体" w:hAnsi="宋体"/>
          <w:color w:val="auto"/>
          <w:sz w:val="24"/>
          <w:szCs w:val="24"/>
          <w:highlight w:val="none"/>
          <w:u w:val="single"/>
        </w:rPr>
        <w:t>专业承包资质</w:t>
      </w:r>
      <w:r>
        <w:rPr>
          <w:rFonts w:hint="eastAsia" w:ascii="宋体" w:hAnsi="宋体" w:cs="宋体"/>
          <w:color w:val="auto"/>
          <w:sz w:val="24"/>
          <w:szCs w:val="24"/>
          <w:highlight w:val="none"/>
        </w:rPr>
        <w:t>。</w:t>
      </w:r>
    </w:p>
    <w:p w14:paraId="6FCBE3B2">
      <w:pPr>
        <w:pStyle w:val="35"/>
        <w:adjustRightInd/>
        <w:spacing w:before="0" w:beforeAutospacing="0" w:after="0" w:afterAutospacing="0" w:line="360" w:lineRule="auto"/>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港澳投标人：投标人具有珠海市（区）或横琴粤澳深度合作区各行业主管部门颁发的香港/澳门建筑及相关工程咨询企业备案认可书，备案业务范围为</w:t>
      </w:r>
      <w:r>
        <w:rPr>
          <w:rFonts w:hint="eastAsia" w:ascii="宋体" w:hAnsi="宋体"/>
          <w:color w:val="auto"/>
          <w:sz w:val="24"/>
          <w:szCs w:val="24"/>
          <w:highlight w:val="none"/>
          <w:u w:val="single"/>
        </w:rPr>
        <w:t>城市及道路照明工程</w:t>
      </w:r>
      <w:r>
        <w:rPr>
          <w:rFonts w:hint="eastAsia" w:ascii="宋体" w:hAnsi="宋体" w:cs="宋体"/>
          <w:color w:val="auto"/>
          <w:kern w:val="2"/>
          <w:sz w:val="24"/>
          <w:szCs w:val="24"/>
          <w:highlight w:val="none"/>
          <w:lang w:val="en-US" w:eastAsia="zh-CN" w:bidi="ar-SA"/>
        </w:rPr>
        <w:t>专业</w:t>
      </w:r>
      <w:r>
        <w:rPr>
          <w:rFonts w:hint="eastAsia" w:ascii="宋体" w:hAnsi="宋体" w:eastAsia="宋体" w:cs="宋体"/>
          <w:color w:val="auto"/>
          <w:kern w:val="2"/>
          <w:sz w:val="24"/>
          <w:szCs w:val="24"/>
          <w:highlight w:val="none"/>
          <w:lang w:val="en-US" w:eastAsia="zh-CN" w:bidi="ar-SA"/>
        </w:rPr>
        <w:t>承包</w:t>
      </w:r>
      <w:r>
        <w:rPr>
          <w:rFonts w:hint="eastAsia" w:ascii="宋体" w:hAnsi="宋体" w:cs="宋体"/>
          <w:color w:val="auto"/>
          <w:kern w:val="2"/>
          <w:sz w:val="24"/>
          <w:szCs w:val="24"/>
          <w:highlight w:val="none"/>
          <w:u w:val="single"/>
          <w:lang w:val="en-US" w:eastAsia="zh-CN" w:bidi="ar-SA"/>
        </w:rPr>
        <w:t>二</w:t>
      </w:r>
      <w:r>
        <w:rPr>
          <w:rFonts w:hint="eastAsia" w:ascii="宋体" w:hAnsi="宋体" w:eastAsia="宋体" w:cs="宋体"/>
          <w:color w:val="auto"/>
          <w:kern w:val="2"/>
          <w:sz w:val="24"/>
          <w:szCs w:val="24"/>
          <w:highlight w:val="none"/>
          <w:u w:val="single"/>
          <w:lang w:val="en-US" w:eastAsia="zh-CN" w:bidi="ar-SA"/>
        </w:rPr>
        <w:t>级</w:t>
      </w:r>
      <w:r>
        <w:rPr>
          <w:rFonts w:hint="eastAsia" w:ascii="宋体" w:hAnsi="宋体" w:eastAsia="宋体" w:cs="宋体"/>
          <w:color w:val="auto"/>
          <w:kern w:val="2"/>
          <w:sz w:val="24"/>
          <w:szCs w:val="24"/>
          <w:highlight w:val="none"/>
          <w:lang w:val="en-US" w:eastAsia="zh-CN" w:bidi="ar-SA"/>
        </w:rPr>
        <w:t>或以上资质</w:t>
      </w:r>
      <w:r>
        <w:rPr>
          <w:rFonts w:hint="eastAsia" w:cs="宋体"/>
          <w:color w:val="auto"/>
          <w:kern w:val="2"/>
          <w:sz w:val="24"/>
          <w:szCs w:val="24"/>
          <w:highlight w:val="none"/>
          <w:lang w:val="en-US" w:eastAsia="zh-CN" w:bidi="ar-SA"/>
        </w:rPr>
        <w:t>。</w:t>
      </w:r>
    </w:p>
    <w:p w14:paraId="58881C77">
      <w:pPr>
        <w:spacing w:line="360" w:lineRule="auto"/>
        <w:ind w:firstLine="537" w:firstLineChars="224"/>
        <w:rPr>
          <w:rFonts w:hint="eastAsia" w:ascii="宋体" w:hAnsi="宋体" w:eastAsia="宋体"/>
          <w:color w:val="auto"/>
          <w:sz w:val="24"/>
          <w:highlight w:val="none"/>
          <w:lang w:val="en-US"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w:t>
      </w:r>
      <w:r>
        <w:rPr>
          <w:rFonts w:hint="eastAsia" w:ascii="宋体" w:hAnsi="宋体"/>
          <w:color w:val="auto"/>
          <w:sz w:val="24"/>
          <w:highlight w:val="none"/>
        </w:rPr>
        <w:t>投标人拟担任本工程项目负责人的人员为：</w:t>
      </w:r>
      <w:r>
        <w:rPr>
          <w:rFonts w:hint="eastAsia" w:ascii="宋体" w:hAnsi="宋体"/>
          <w:color w:val="auto"/>
          <w:sz w:val="24"/>
          <w:szCs w:val="24"/>
          <w:highlight w:val="none"/>
          <w:u w:val="single"/>
        </w:rPr>
        <w:t>机电工程专业</w:t>
      </w:r>
      <w:r>
        <w:rPr>
          <w:rFonts w:hint="eastAsia"/>
          <w:color w:val="auto"/>
          <w:sz w:val="24"/>
          <w:szCs w:val="24"/>
          <w:highlight w:val="none"/>
          <w:u w:val="single"/>
          <w:lang w:val="en-US" w:eastAsia="zh-CN"/>
        </w:rPr>
        <w:t>二</w:t>
      </w:r>
      <w:r>
        <w:rPr>
          <w:rFonts w:hint="eastAsia" w:ascii="宋体" w:hAnsi="宋体"/>
          <w:color w:val="auto"/>
          <w:sz w:val="24"/>
          <w:szCs w:val="24"/>
          <w:highlight w:val="none"/>
          <w:u w:val="single"/>
        </w:rPr>
        <w:t>级</w:t>
      </w:r>
      <w:r>
        <w:rPr>
          <w:rFonts w:hint="eastAsia" w:ascii="宋体" w:hAnsi="宋体" w:cs="宋体"/>
          <w:color w:val="auto"/>
          <w:sz w:val="24"/>
          <w:szCs w:val="24"/>
          <w:highlight w:val="none"/>
        </w:rPr>
        <w:t>注册建造师</w:t>
      </w:r>
      <w:r>
        <w:rPr>
          <w:rFonts w:hint="eastAsia" w:ascii="宋体" w:hAnsi="宋体"/>
          <w:color w:val="auto"/>
          <w:sz w:val="24"/>
          <w:highlight w:val="none"/>
        </w:rPr>
        <w:t>。或“具有珠海市(区)或横琴粤澳深度合作区行业主管部门颁发的港澳建筑及相关工程专业人士执业资格备案认可书，备案业务范围为一级注册建造师(香港、澳门专业人士适用)</w:t>
      </w:r>
      <w:r>
        <w:rPr>
          <w:rFonts w:hint="eastAsia"/>
          <w:color w:val="auto"/>
          <w:sz w:val="24"/>
          <w:highlight w:val="none"/>
          <w:lang w:eastAsia="zh-CN"/>
        </w:rPr>
        <w:t>。</w:t>
      </w:r>
    </w:p>
    <w:p w14:paraId="7A3B652B">
      <w:pPr>
        <w:pStyle w:val="2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AB46952">
      <w:pPr>
        <w:pStyle w:val="28"/>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olor w:val="auto"/>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6ECC95C7">
      <w:pPr>
        <w:pStyle w:val="28"/>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8A2F5D6">
      <w:pPr>
        <w:pStyle w:val="28"/>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9092795">
      <w:pPr>
        <w:pStyle w:val="2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D14E9AA">
      <w:pPr>
        <w:pStyle w:val="28"/>
        <w:ind w:firstLine="480" w:firstLineChars="200"/>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项目负责人持有</w:t>
      </w:r>
      <w:r>
        <w:rPr>
          <w:rFonts w:hint="eastAsia" w:ascii="宋体" w:hAnsi="宋体"/>
          <w:color w:val="auto"/>
          <w:sz w:val="24"/>
          <w:szCs w:val="24"/>
          <w:highlight w:val="none"/>
          <w:u w:val="single"/>
        </w:rPr>
        <w:t>有</w:t>
      </w:r>
      <w:r>
        <w:rPr>
          <w:rFonts w:hint="eastAsia" w:ascii="宋体" w:hAnsi="宋体" w:eastAsia="宋体" w:cs="宋体"/>
          <w:color w:val="auto"/>
          <w:sz w:val="24"/>
          <w:szCs w:val="24"/>
          <w:highlight w:val="none"/>
          <w:u w:val="single"/>
          <w:lang w:val="en-US" w:eastAsia="zh-CN"/>
        </w:rPr>
        <w:t>效期内的</w:t>
      </w:r>
      <w:r>
        <w:rPr>
          <w:rFonts w:hint="eastAsia" w:ascii="宋体" w:hAnsi="宋体" w:eastAsia="宋体"/>
          <w:color w:val="auto"/>
          <w:sz w:val="24"/>
          <w:szCs w:val="24"/>
          <w:highlight w:val="none"/>
        </w:rPr>
        <w:t>安全生产考核合格证书（B类）或建筑施工企业项目负责人安全生产考核合格证书</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适用于内地投标人）</w:t>
      </w:r>
    </w:p>
    <w:p w14:paraId="7749C724">
      <w:pPr>
        <w:pStyle w:val="28"/>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w:t>
      </w:r>
      <w:r>
        <w:rPr>
          <w:rFonts w:hint="eastAsia" w:ascii="宋体" w:hAnsi="宋体" w:eastAsia="宋体" w:cs="宋体"/>
          <w:color w:val="auto"/>
          <w:sz w:val="24"/>
          <w:szCs w:val="24"/>
          <w:highlight w:val="none"/>
        </w:rPr>
        <w:t>专职安全员须具有</w:t>
      </w:r>
      <w:r>
        <w:rPr>
          <w:rFonts w:hint="eastAsia" w:ascii="宋体" w:hAnsi="宋体" w:eastAsia="宋体" w:cs="宋体"/>
          <w:color w:val="auto"/>
          <w:sz w:val="24"/>
          <w:szCs w:val="24"/>
          <w:highlight w:val="none"/>
          <w:u w:val="single"/>
          <w:lang w:val="en-US" w:eastAsia="zh-CN"/>
        </w:rPr>
        <w:t>有效期内的</w:t>
      </w:r>
      <w:r>
        <w:rPr>
          <w:rFonts w:hint="eastAsia" w:ascii="宋体" w:hAnsi="宋体" w:eastAsia="宋体" w:cs="宋体"/>
          <w:color w:val="auto"/>
          <w:sz w:val="24"/>
          <w:szCs w:val="24"/>
          <w:highlight w:val="none"/>
        </w:rPr>
        <w:t>安全生产考核合格证书（C类）或建筑施工企业专职安全生产管理人员安全生产考核合格证书（C3）</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24"/>
          <w:highlight w:val="none"/>
          <w:lang w:val="en-US" w:eastAsia="zh-CN"/>
        </w:rPr>
        <w:t>（适用于内地投标人）</w:t>
      </w:r>
    </w:p>
    <w:p w14:paraId="6EE7F29A">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7</w:t>
      </w:r>
      <w:r>
        <w:rPr>
          <w:rFonts w:hint="eastAsia" w:ascii="宋体" w:hAnsi="宋体"/>
          <w:color w:val="auto"/>
          <w:sz w:val="24"/>
          <w:highlight w:val="none"/>
        </w:rPr>
        <w:t>、投标人已按照附件一的内容签署盖章的投标人声明。</w:t>
      </w:r>
    </w:p>
    <w:p w14:paraId="49380DFB">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8</w:t>
      </w:r>
      <w:r>
        <w:rPr>
          <w:rFonts w:hint="eastAsia" w:ascii="宋体" w:hAnsi="宋体"/>
          <w:color w:val="auto"/>
          <w:sz w:val="24"/>
          <w:highlight w:val="none"/>
        </w:rPr>
        <w:t>、关于联合体投标：本项目不接受联合体投标。</w:t>
      </w:r>
    </w:p>
    <w:p w14:paraId="29BB0C94">
      <w:pPr>
        <w:spacing w:line="360" w:lineRule="auto"/>
        <w:ind w:firstLine="537" w:firstLineChars="224"/>
        <w:rPr>
          <w:rFonts w:hint="eastAsia" w:ascii="宋体" w:hAnsi="宋体" w:eastAsia="宋体"/>
          <w:b w:val="0"/>
          <w:bCs w:val="0"/>
          <w:color w:val="auto"/>
          <w:sz w:val="24"/>
          <w:highlight w:val="none"/>
          <w:u w:val="single"/>
          <w:lang w:eastAsia="zh-CN"/>
        </w:rPr>
      </w:pPr>
      <w:r>
        <w:rPr>
          <w:rFonts w:hint="eastAsia"/>
          <w:b w:val="0"/>
          <w:bCs w:val="0"/>
          <w:color w:val="auto"/>
          <w:sz w:val="24"/>
          <w:highlight w:val="none"/>
          <w:lang w:val="en-US" w:eastAsia="zh-CN"/>
        </w:rPr>
        <w:t>9</w:t>
      </w:r>
      <w:r>
        <w:rPr>
          <w:rFonts w:hint="eastAsia" w:ascii="宋体" w:hAnsi="宋体"/>
          <w:b w:val="0"/>
          <w:bCs w:val="0"/>
          <w:color w:val="auto"/>
          <w:sz w:val="24"/>
          <w:highlight w:val="none"/>
        </w:rPr>
        <w:t>、资格审查前，投标人须在广州公共资源交易平台企业库办理企业信息登记，拟担任本工程项目负责人</w:t>
      </w:r>
      <w:r>
        <w:rPr>
          <w:rFonts w:hint="eastAsia"/>
          <w:b w:val="0"/>
          <w:bCs w:val="0"/>
          <w:color w:val="auto"/>
          <w:sz w:val="24"/>
          <w:highlight w:val="none"/>
          <w:lang w:eastAsia="zh-CN"/>
        </w:rPr>
        <w:t>、</w:t>
      </w:r>
      <w:r>
        <w:rPr>
          <w:rFonts w:hint="eastAsia"/>
          <w:b w:val="0"/>
          <w:bCs w:val="0"/>
          <w:color w:val="auto"/>
          <w:sz w:val="24"/>
          <w:highlight w:val="none"/>
          <w:lang w:val="en-US" w:eastAsia="zh-CN"/>
        </w:rPr>
        <w:t>专职安全员</w:t>
      </w:r>
      <w:r>
        <w:rPr>
          <w:rFonts w:hint="eastAsia" w:ascii="宋体" w:hAnsi="宋体"/>
          <w:b w:val="0"/>
          <w:bCs w:val="0"/>
          <w:color w:val="auto"/>
          <w:sz w:val="24"/>
          <w:highlight w:val="none"/>
        </w:rPr>
        <w:t>须是本企业信息登记中的在册人员。企业诚信档案取自投标截止时间投标人在企业库内的信息，投标人无需提交相关资料，若招标人延长递交投标文件截止时间的，信用档案信息的评审时点也相应延长。（</w:t>
      </w:r>
      <w:r>
        <w:rPr>
          <w:rFonts w:hint="eastAsia" w:ascii="宋体" w:hAnsi="宋体"/>
          <w:b w:val="0"/>
          <w:bCs w:val="0"/>
          <w:color w:val="auto"/>
          <w:sz w:val="24"/>
          <w:highlight w:val="none"/>
          <w:u w:val="none"/>
        </w:rPr>
        <w:t>企业信息</w:t>
      </w:r>
      <w:r>
        <w:rPr>
          <w:rFonts w:hint="eastAsia" w:ascii="宋体" w:hAnsi="宋体"/>
          <w:b w:val="0"/>
          <w:bCs w:val="0"/>
          <w:color w:val="auto"/>
          <w:sz w:val="24"/>
          <w:highlight w:val="none"/>
          <w:u w:val="none"/>
          <w:lang w:eastAsia="zh-CN"/>
        </w:rPr>
        <w:t>登记办</w:t>
      </w:r>
      <w:bookmarkStart w:id="0" w:name="_GoBack"/>
      <w:bookmarkEnd w:id="0"/>
      <w:r>
        <w:rPr>
          <w:rFonts w:hint="eastAsia" w:ascii="宋体" w:hAnsi="宋体"/>
          <w:b w:val="0"/>
          <w:bCs w:val="0"/>
          <w:color w:val="auto"/>
          <w:sz w:val="24"/>
          <w:highlight w:val="none"/>
          <w:u w:val="none"/>
          <w:lang w:eastAsia="zh-CN"/>
        </w:rPr>
        <w:t>理详见</w:t>
      </w:r>
      <w:r>
        <w:rPr>
          <w:rFonts w:hint="eastAsia" w:ascii="宋体" w:hAnsi="宋体"/>
          <w:b w:val="0"/>
          <w:bCs w:val="0"/>
          <w:color w:val="auto"/>
          <w:sz w:val="24"/>
          <w:highlight w:val="none"/>
          <w:u w:val="none"/>
        </w:rPr>
        <w:t>广州公共资源交易平台企业库办理</w:t>
      </w:r>
      <w:r>
        <w:rPr>
          <w:rFonts w:hint="eastAsia" w:ascii="宋体" w:hAnsi="宋体"/>
          <w:b w:val="0"/>
          <w:bCs w:val="0"/>
          <w:color w:val="auto"/>
          <w:sz w:val="24"/>
          <w:highlight w:val="none"/>
          <w:u w:val="none"/>
          <w:lang w:eastAsia="zh-CN"/>
        </w:rPr>
        <w:t>相关指引）</w:t>
      </w:r>
      <w:r>
        <w:rPr>
          <w:rFonts w:hint="eastAsia" w:cs="Times New Roman"/>
          <w:color w:val="auto"/>
          <w:sz w:val="24"/>
          <w:szCs w:val="24"/>
          <w:highlight w:val="none"/>
          <w:u w:val="none"/>
          <w:lang w:eastAsia="zh-CN"/>
        </w:rPr>
        <w:t>。</w:t>
      </w:r>
    </w:p>
    <w:p w14:paraId="5E04C351">
      <w:pPr>
        <w:spacing w:line="360" w:lineRule="auto"/>
        <w:ind w:firstLine="537" w:firstLineChars="224"/>
        <w:rPr>
          <w:rFonts w:hint="eastAsia" w:ascii="宋体" w:hAnsi="宋体"/>
          <w:color w:val="auto"/>
          <w:sz w:val="24"/>
          <w:highlight w:val="none"/>
        </w:rPr>
      </w:pPr>
      <w:r>
        <w:rPr>
          <w:rFonts w:hint="eastAsia"/>
          <w:color w:val="auto"/>
          <w:sz w:val="24"/>
          <w:highlight w:val="none"/>
          <w:lang w:val="en-US" w:eastAsia="zh-CN"/>
        </w:rPr>
        <w:t>10</w:t>
      </w:r>
      <w:r>
        <w:rPr>
          <w:rFonts w:hint="eastAsia" w:ascii="宋体" w:hAnsi="宋体"/>
          <w:color w:val="auto"/>
          <w:sz w:val="24"/>
          <w:highlight w:val="none"/>
        </w:rPr>
        <w:t>、投标人未出现以下情形：与其它投标人的单位负责人为同一人或者存在控股、管理关系的（按投标人提供的《投标人声明》第</w:t>
      </w:r>
      <w:r>
        <w:rPr>
          <w:rFonts w:hint="eastAsia"/>
          <w:color w:val="auto"/>
          <w:sz w:val="24"/>
          <w:highlight w:val="none"/>
          <w:lang w:val="en-US" w:eastAsia="zh-CN"/>
        </w:rPr>
        <w:t>九</w:t>
      </w:r>
      <w:r>
        <w:rPr>
          <w:rFonts w:hint="eastAsia" w:ascii="宋体" w:hAnsi="宋体"/>
          <w:color w:val="auto"/>
          <w:sz w:val="24"/>
          <w:highlight w:val="none"/>
        </w:rPr>
        <w:t>条内容进行评审）。如不同投标申请人出现单位负责人为同一人或者存在控股、管理关系的情形，则</w:t>
      </w:r>
      <w:r>
        <w:rPr>
          <w:rFonts w:hint="eastAsia" w:ascii="宋体" w:hAnsi="宋体"/>
          <w:color w:val="auto"/>
          <w:sz w:val="24"/>
          <w:highlight w:val="none"/>
          <w:u w:val="single"/>
        </w:rPr>
        <w:t>视为无效投标</w:t>
      </w:r>
      <w:r>
        <w:rPr>
          <w:rFonts w:hint="eastAsia" w:ascii="宋体" w:hAnsi="宋体" w:cs="宋体"/>
          <w:color w:val="auto"/>
          <w:sz w:val="24"/>
          <w:szCs w:val="24"/>
          <w:highlight w:val="none"/>
          <w:u w:val="single"/>
        </w:rPr>
        <w:t>。</w:t>
      </w:r>
    </w:p>
    <w:p w14:paraId="6C65A50E">
      <w:pPr>
        <w:pStyle w:val="19"/>
        <w:tabs>
          <w:tab w:val="left" w:pos="7380"/>
        </w:tabs>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、未被列入拖欠农民工工资失信联合惩戒对象名单。</w:t>
      </w:r>
    </w:p>
    <w:p w14:paraId="4599AAD1">
      <w:pPr>
        <w:pStyle w:val="19"/>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68C34C27">
      <w:pPr>
        <w:spacing w:line="360" w:lineRule="auto"/>
        <w:ind w:firstLine="480" w:firstLineChars="200"/>
        <w:rPr>
          <w:rFonts w:cs="宋体"/>
          <w:color w:val="auto"/>
          <w:sz w:val="24"/>
          <w:szCs w:val="24"/>
          <w:highlight w:val="none"/>
        </w:rPr>
      </w:pPr>
      <w:r>
        <w:rPr>
          <w:rFonts w:hint="eastAsia" w:cs="宋体"/>
          <w:color w:val="auto"/>
          <w:sz w:val="24"/>
          <w:szCs w:val="24"/>
          <w:highlight w:val="none"/>
        </w:rPr>
        <w:t>十、资格审查方式：</w:t>
      </w:r>
    </w:p>
    <w:p w14:paraId="39ACC0A4">
      <w:pPr>
        <w:widowControl/>
        <w:spacing w:line="360" w:lineRule="auto"/>
        <w:ind w:firstLine="480" w:firstLineChars="200"/>
        <w:rPr>
          <w:rFonts w:cs="宋体"/>
          <w:color w:val="auto"/>
          <w:sz w:val="24"/>
          <w:szCs w:val="24"/>
          <w:highlight w:val="none"/>
        </w:rPr>
      </w:pPr>
      <w:r>
        <w:rPr>
          <w:rFonts w:hint="eastAsia" w:cs="宋体"/>
          <w:color w:val="auto"/>
          <w:sz w:val="24"/>
          <w:szCs w:val="24"/>
          <w:highlight w:val="none"/>
        </w:rPr>
        <w:t>本工程采用资格后审方式，由评标委员会负责资格审查。</w:t>
      </w:r>
    </w:p>
    <w:p w14:paraId="5B3B997B">
      <w:pPr>
        <w:spacing w:line="360" w:lineRule="auto"/>
        <w:ind w:firstLine="480" w:firstLineChars="200"/>
        <w:rPr>
          <w:rFonts w:cs="宋体"/>
          <w:color w:val="auto"/>
          <w:sz w:val="24"/>
          <w:szCs w:val="24"/>
          <w:highlight w:val="none"/>
        </w:rPr>
      </w:pPr>
      <w:r>
        <w:rPr>
          <w:rFonts w:hint="eastAsia"/>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和广东省招标投标监管网公示，</w:t>
      </w:r>
      <w:r>
        <w:rPr>
          <w:rFonts w:hint="eastAsia"/>
          <w:bCs/>
          <w:color w:val="auto"/>
          <w:sz w:val="24"/>
          <w:highlight w:val="none"/>
        </w:rPr>
        <w:t>公示时间不得少于3日。</w:t>
      </w:r>
    </w:p>
    <w:p w14:paraId="29684113">
      <w:pPr>
        <w:spacing w:line="360" w:lineRule="auto"/>
        <w:ind w:firstLine="480" w:firstLineChars="200"/>
        <w:rPr>
          <w:color w:val="auto"/>
          <w:sz w:val="24"/>
          <w:highlight w:val="none"/>
        </w:rPr>
      </w:pPr>
      <w:r>
        <w:rPr>
          <w:rFonts w:hint="eastAsia"/>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3CF544EC">
      <w:pPr>
        <w:spacing w:line="360" w:lineRule="auto"/>
        <w:ind w:firstLine="480" w:firstLineChars="200"/>
        <w:rPr>
          <w:color w:val="auto"/>
          <w:sz w:val="24"/>
          <w:highlight w:val="none"/>
        </w:rPr>
      </w:pPr>
      <w:r>
        <w:rPr>
          <w:rFonts w:hint="eastAsia"/>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234F408">
      <w:pPr>
        <w:spacing w:line="360" w:lineRule="auto"/>
        <w:ind w:firstLine="480" w:firstLineChars="200"/>
        <w:rPr>
          <w:rFonts w:hint="eastAsia"/>
          <w:color w:val="auto"/>
          <w:sz w:val="24"/>
          <w:szCs w:val="24"/>
          <w:highlight w:val="none"/>
          <w:u w:val="none"/>
        </w:rPr>
      </w:pPr>
      <w:r>
        <w:rPr>
          <w:rFonts w:hint="eastAsia"/>
          <w:color w:val="auto"/>
          <w:sz w:val="24"/>
          <w:szCs w:val="24"/>
          <w:highlight w:val="none"/>
        </w:rPr>
        <w:t>十四、投标文件全部采用电子文档，投标人按招标文件要求提交投标文件。若投标文件中的部分内容要求取自</w:t>
      </w:r>
      <w:r>
        <w:rPr>
          <w:rFonts w:hint="eastAsia"/>
          <w:color w:val="auto"/>
          <w:sz w:val="24"/>
          <w:szCs w:val="24"/>
          <w:highlight w:val="none"/>
          <w:lang w:eastAsia="zh-CN"/>
        </w:rPr>
        <w:t>广州公共资源交易平台企业库</w:t>
      </w:r>
      <w:r>
        <w:rPr>
          <w:rFonts w:hint="eastAsia"/>
          <w:color w:val="auto"/>
          <w:sz w:val="24"/>
          <w:szCs w:val="24"/>
          <w:highlight w:val="none"/>
          <w:u w:val="none"/>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Fonts w:hint="eastAsia"/>
          <w:color w:val="auto"/>
          <w:sz w:val="24"/>
          <w:szCs w:val="24"/>
          <w:highlight w:val="none"/>
          <w:u w:val="none"/>
          <w:lang w:eastAsia="zh-CN"/>
        </w:rPr>
        <w:t>广州公共资源交易平台企业库</w:t>
      </w:r>
      <w:r>
        <w:rPr>
          <w:rFonts w:hint="eastAsia"/>
          <w:color w:val="auto"/>
          <w:sz w:val="24"/>
          <w:szCs w:val="24"/>
          <w:highlight w:val="none"/>
          <w:u w:val="none"/>
        </w:rPr>
        <w:t>内上传件为依据。若招标人</w:t>
      </w:r>
      <w:r>
        <w:rPr>
          <w:rFonts w:hint="eastAsia"/>
          <w:color w:val="auto"/>
          <w:sz w:val="24"/>
          <w:szCs w:val="24"/>
          <w:highlight w:val="none"/>
        </w:rPr>
        <w:t>延长递交投标文件截止时间的，以上资料的评审时点也相应延长。投标人应及时维护其在</w:t>
      </w:r>
      <w:r>
        <w:rPr>
          <w:rFonts w:hint="eastAsia"/>
          <w:color w:val="auto"/>
          <w:sz w:val="24"/>
          <w:szCs w:val="24"/>
          <w:highlight w:val="none"/>
          <w:lang w:eastAsia="zh-CN"/>
        </w:rPr>
        <w:t>广州公共资源交易平台企业库</w:t>
      </w:r>
      <w:r>
        <w:rPr>
          <w:rFonts w:hint="eastAsia"/>
          <w:color w:val="auto"/>
          <w:sz w:val="24"/>
          <w:szCs w:val="24"/>
          <w:highlight w:val="none"/>
          <w:u w:val="none"/>
        </w:rPr>
        <w:t>登记的信息及上传件，确保各项信息及上传件在有效期内。</w:t>
      </w:r>
    </w:p>
    <w:p w14:paraId="7AB3F66B">
      <w:pPr>
        <w:spacing w:line="360" w:lineRule="auto"/>
        <w:ind w:firstLine="480" w:firstLineChars="200"/>
        <w:rPr>
          <w:color w:val="auto"/>
          <w:sz w:val="24"/>
          <w:highlight w:val="none"/>
        </w:rPr>
      </w:pPr>
      <w:r>
        <w:rPr>
          <w:rFonts w:hint="eastAsia"/>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7AD3C86">
      <w:pPr>
        <w:spacing w:line="360" w:lineRule="auto"/>
        <w:ind w:firstLine="480" w:firstLineChars="200"/>
        <w:rPr>
          <w:color w:val="auto"/>
          <w:sz w:val="24"/>
          <w:highlight w:val="none"/>
        </w:rPr>
      </w:pPr>
      <w:r>
        <w:rPr>
          <w:rFonts w:hint="eastAsia"/>
          <w:color w:val="auto"/>
          <w:sz w:val="24"/>
          <w:highlight w:val="none"/>
        </w:rPr>
        <w:t>十五、潜在投标人或利害关系人对本招标公告及招标文件有异议的，应当在投标截止时间10日前向招标人书面提出。</w:t>
      </w:r>
    </w:p>
    <w:p w14:paraId="20982682">
      <w:pPr>
        <w:spacing w:line="360" w:lineRule="auto"/>
        <w:ind w:left="538" w:leftChars="256" w:firstLine="480" w:firstLineChars="200"/>
        <w:rPr>
          <w:color w:val="auto"/>
          <w:sz w:val="24"/>
          <w:highlight w:val="none"/>
          <w:u w:val="single"/>
        </w:rPr>
      </w:pPr>
      <w:r>
        <w:rPr>
          <w:rFonts w:hint="eastAsia"/>
          <w:color w:val="auto"/>
          <w:sz w:val="24"/>
          <w:highlight w:val="none"/>
        </w:rPr>
        <w:t>异议受理部门：横琴琴澳创新产业园开发建设有限公司</w:t>
      </w:r>
    </w:p>
    <w:p w14:paraId="61BBAC48">
      <w:pPr>
        <w:spacing w:line="360" w:lineRule="auto"/>
        <w:ind w:left="538" w:leftChars="256" w:firstLine="480" w:firstLineChars="200"/>
        <w:rPr>
          <w:rFonts w:hint="eastAsia" w:eastAsia="宋体"/>
          <w:color w:val="auto"/>
          <w:sz w:val="24"/>
          <w:highlight w:val="none"/>
          <w:u w:val="single"/>
          <w:lang w:eastAsia="zh-CN"/>
        </w:rPr>
      </w:pPr>
      <w:r>
        <w:rPr>
          <w:rFonts w:hint="eastAsia" w:cs="宋体"/>
          <w:color w:val="auto"/>
          <w:sz w:val="24"/>
          <w:highlight w:val="none"/>
        </w:rPr>
        <w:t>异议受理电话：0756-3931616</w:t>
      </w:r>
    </w:p>
    <w:p w14:paraId="329D02B2">
      <w:pPr>
        <w:spacing w:line="360" w:lineRule="auto"/>
        <w:ind w:left="538" w:leftChars="256" w:firstLine="480" w:firstLineChars="200"/>
        <w:rPr>
          <w:rFonts w:hint="eastAsia" w:eastAsia="宋体"/>
          <w:color w:val="auto"/>
          <w:spacing w:val="-2"/>
          <w:sz w:val="24"/>
          <w:szCs w:val="24"/>
          <w:highlight w:val="none"/>
          <w:u w:val="single"/>
          <w:lang w:eastAsia="zh-CN"/>
        </w:rPr>
      </w:pPr>
      <w:r>
        <w:rPr>
          <w:rFonts w:hint="eastAsia" w:cs="宋体"/>
          <w:color w:val="auto"/>
          <w:sz w:val="24"/>
          <w:highlight w:val="none"/>
        </w:rPr>
        <w:t>地址：</w:t>
      </w:r>
      <w:r>
        <w:rPr>
          <w:rFonts w:hint="eastAsia" w:cs="宋体"/>
          <w:color w:val="auto"/>
          <w:sz w:val="24"/>
          <w:highlight w:val="none"/>
          <w:lang w:val="en-US" w:eastAsia="zh-CN"/>
        </w:rPr>
        <w:t>广东</w:t>
      </w:r>
      <w:r>
        <w:rPr>
          <w:rFonts w:hint="eastAsia" w:cs="宋体"/>
          <w:color w:val="auto"/>
          <w:sz w:val="24"/>
          <w:highlight w:val="none"/>
        </w:rPr>
        <w:t>横琴粤澳深度合作区宝兴路49-59号</w:t>
      </w:r>
    </w:p>
    <w:p w14:paraId="56C4D7F2">
      <w:pPr>
        <w:spacing w:line="360" w:lineRule="auto"/>
        <w:ind w:firstLine="480" w:firstLineChars="200"/>
        <w:rPr>
          <w:rFonts w:hint="eastAsia" w:ascii="宋体" w:hAnsi="宋体" w:eastAsia="宋体" w:cs="Times New Roman"/>
          <w:b w:val="0"/>
          <w:bCs w:val="0"/>
          <w:color w:val="auto"/>
          <w:kern w:val="2"/>
          <w:sz w:val="24"/>
          <w:szCs w:val="24"/>
          <w:highlight w:val="none"/>
          <w:u w:val="none"/>
          <w:lang w:val="en-US" w:eastAsia="zh-CN" w:bidi="ar-SA"/>
        </w:rPr>
      </w:pPr>
      <w:r>
        <w:rPr>
          <w:rFonts w:hint="eastAsia" w:ascii="宋体" w:hAnsi="宋体" w:eastAsia="宋体" w:cs="Times New Roman"/>
          <w:b w:val="0"/>
          <w:bCs w:val="0"/>
          <w:color w:val="auto"/>
          <w:kern w:val="2"/>
          <w:sz w:val="24"/>
          <w:szCs w:val="24"/>
          <w:highlight w:val="none"/>
          <w:u w:val="none"/>
          <w:lang w:val="en-US" w:eastAsia="zh-CN" w:bidi="ar-SA"/>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03DEE2FB">
      <w:pPr>
        <w:spacing w:line="360" w:lineRule="auto"/>
        <w:ind w:firstLine="480" w:firstLineChars="200"/>
        <w:rPr>
          <w:color w:val="auto"/>
          <w:sz w:val="24"/>
          <w:highlight w:val="none"/>
        </w:rPr>
      </w:pPr>
      <w:r>
        <w:rPr>
          <w:rFonts w:hint="eastAsia"/>
          <w:color w:val="auto"/>
          <w:sz w:val="24"/>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031D9AD9">
      <w:pPr>
        <w:spacing w:line="360" w:lineRule="auto"/>
        <w:ind w:firstLine="480" w:firstLineChars="200"/>
        <w:rPr>
          <w:color w:val="auto"/>
          <w:sz w:val="24"/>
          <w:highlight w:val="none"/>
        </w:rPr>
      </w:pPr>
      <w:r>
        <w:rPr>
          <w:rFonts w:hint="eastAsia"/>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47ECDD25">
      <w:pPr>
        <w:spacing w:line="360" w:lineRule="auto"/>
        <w:ind w:firstLine="480" w:firstLineChars="200"/>
        <w:rPr>
          <w:rFonts w:hint="eastAsia" w:ascii="宋体" w:hAnsi="宋体" w:cs="宋体"/>
          <w:bCs/>
          <w:color w:val="auto"/>
          <w:sz w:val="24"/>
          <w:szCs w:val="24"/>
          <w:highlight w:val="none"/>
          <w:u w:val="single"/>
        </w:rPr>
      </w:pPr>
      <w:r>
        <w:rPr>
          <w:rFonts w:hint="eastAsia"/>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color w:val="auto"/>
          <w:sz w:val="24"/>
          <w:highlight w:val="none"/>
          <w:u w:val="single"/>
        </w:rPr>
        <w:t>如招标人需发布补充公告的，以最后发布的补充公告的时间起计算编制投标文件时间</w:t>
      </w:r>
      <w:r>
        <w:rPr>
          <w:rFonts w:hint="eastAsia"/>
          <w:color w:val="auto"/>
          <w:sz w:val="24"/>
          <w:highlight w:val="none"/>
        </w:rPr>
        <w:t>。</w:t>
      </w:r>
    </w:p>
    <w:p w14:paraId="3DA8131A">
      <w:pPr>
        <w:spacing w:line="360" w:lineRule="auto"/>
        <w:ind w:firstLine="480" w:firstLineChars="200"/>
        <w:rPr>
          <w:rFonts w:hint="eastAsia"/>
          <w:color w:val="auto"/>
          <w:sz w:val="24"/>
          <w:highlight w:val="none"/>
        </w:rPr>
      </w:pPr>
      <w:r>
        <w:rPr>
          <w:rFonts w:hint="eastAsia"/>
          <w:color w:val="auto"/>
          <w:sz w:val="24"/>
          <w:highlight w:val="none"/>
        </w:rPr>
        <w:t>特别提示：投标人在本项目招标人的工程项目中存在下列行为的，将被拒绝一年内参与招标人后续工程投标。（注：自招标人发出通知之日起计）：</w:t>
      </w:r>
    </w:p>
    <w:p w14:paraId="55CD36AC">
      <w:pPr>
        <w:spacing w:line="360" w:lineRule="auto"/>
        <w:ind w:firstLine="480" w:firstLineChars="200"/>
        <w:rPr>
          <w:rFonts w:hint="eastAsia"/>
          <w:color w:val="auto"/>
          <w:sz w:val="24"/>
          <w:highlight w:val="none"/>
        </w:rPr>
      </w:pPr>
      <w:r>
        <w:rPr>
          <w:rFonts w:hint="eastAsia"/>
          <w:color w:val="auto"/>
          <w:sz w:val="24"/>
          <w:highlight w:val="none"/>
        </w:rPr>
        <w:t>1.将中标工程转包或者违法分包的;</w:t>
      </w:r>
    </w:p>
    <w:p w14:paraId="1032A079">
      <w:pPr>
        <w:spacing w:line="360" w:lineRule="auto"/>
        <w:ind w:firstLine="480" w:firstLineChars="200"/>
        <w:rPr>
          <w:rFonts w:hint="eastAsia"/>
          <w:color w:val="auto"/>
          <w:sz w:val="24"/>
          <w:highlight w:val="none"/>
        </w:rPr>
      </w:pPr>
      <w:r>
        <w:rPr>
          <w:rFonts w:hint="eastAsia"/>
          <w:color w:val="auto"/>
          <w:sz w:val="24"/>
          <w:highlight w:val="none"/>
        </w:rPr>
        <w:t>2.在中标工程中不执行质量、安全生产相关规定的，造成质量或安全事故的；</w:t>
      </w:r>
    </w:p>
    <w:p w14:paraId="56A35F97">
      <w:pPr>
        <w:spacing w:line="360" w:lineRule="auto"/>
        <w:ind w:firstLine="480" w:firstLineChars="200"/>
        <w:rPr>
          <w:rFonts w:hint="eastAsia"/>
          <w:color w:val="auto"/>
          <w:sz w:val="24"/>
          <w:highlight w:val="none"/>
        </w:rPr>
      </w:pPr>
      <w:r>
        <w:rPr>
          <w:rFonts w:hint="eastAsia"/>
          <w:color w:val="auto"/>
          <w:sz w:val="24"/>
          <w:highlight w:val="none"/>
        </w:rPr>
        <w:t>3.出让投标资格的；</w:t>
      </w:r>
    </w:p>
    <w:p w14:paraId="3D7DF660">
      <w:pPr>
        <w:spacing w:line="360" w:lineRule="auto"/>
        <w:ind w:firstLine="480" w:firstLineChars="200"/>
        <w:rPr>
          <w:rFonts w:hint="eastAsia"/>
          <w:color w:val="auto"/>
          <w:sz w:val="24"/>
          <w:highlight w:val="none"/>
        </w:rPr>
      </w:pPr>
      <w:r>
        <w:rPr>
          <w:rFonts w:hint="eastAsia"/>
          <w:color w:val="auto"/>
          <w:sz w:val="24"/>
          <w:highlight w:val="none"/>
        </w:rPr>
        <w:t>4.存在围标或串标情形的;</w:t>
      </w:r>
    </w:p>
    <w:p w14:paraId="2D476F45">
      <w:pPr>
        <w:spacing w:line="360" w:lineRule="auto"/>
        <w:ind w:firstLine="480" w:firstLineChars="200"/>
        <w:rPr>
          <w:rFonts w:hint="eastAsia"/>
          <w:color w:val="auto"/>
          <w:sz w:val="24"/>
          <w:highlight w:val="none"/>
        </w:rPr>
      </w:pPr>
      <w:r>
        <w:rPr>
          <w:rFonts w:hint="eastAsia"/>
          <w:color w:val="auto"/>
          <w:sz w:val="24"/>
          <w:highlight w:val="none"/>
        </w:rPr>
        <w:t>5.在投标文件中提供虚假材料的；</w:t>
      </w:r>
    </w:p>
    <w:p w14:paraId="4BD5A5D6">
      <w:pPr>
        <w:spacing w:line="360" w:lineRule="auto"/>
        <w:ind w:firstLine="480" w:firstLineChars="200"/>
        <w:rPr>
          <w:rFonts w:hint="eastAsia"/>
          <w:color w:val="auto"/>
          <w:sz w:val="24"/>
          <w:highlight w:val="none"/>
        </w:rPr>
      </w:pPr>
      <w:r>
        <w:rPr>
          <w:rFonts w:hint="eastAsia"/>
          <w:color w:val="auto"/>
          <w:sz w:val="24"/>
          <w:highlight w:val="none"/>
        </w:rPr>
        <w:t>6.存在少放、不放业绩、奖项等客观评审资料，减少自身竞争力情形的；</w:t>
      </w:r>
    </w:p>
    <w:p w14:paraId="04DFC890">
      <w:pPr>
        <w:spacing w:line="360" w:lineRule="auto"/>
        <w:ind w:firstLine="480" w:firstLineChars="200"/>
        <w:rPr>
          <w:rFonts w:hint="eastAsia"/>
          <w:color w:val="auto"/>
          <w:sz w:val="24"/>
          <w:highlight w:val="none"/>
        </w:rPr>
      </w:pPr>
      <w:r>
        <w:rPr>
          <w:rFonts w:hint="eastAsia"/>
          <w:color w:val="auto"/>
          <w:sz w:val="24"/>
          <w:highlight w:val="none"/>
        </w:rPr>
        <w:t>7.存在行贿情形的;</w:t>
      </w:r>
    </w:p>
    <w:p w14:paraId="08A9A99D">
      <w:pPr>
        <w:spacing w:line="360" w:lineRule="auto"/>
        <w:ind w:firstLine="480" w:firstLineChars="200"/>
        <w:rPr>
          <w:rFonts w:hint="eastAsia"/>
          <w:color w:val="auto"/>
          <w:sz w:val="24"/>
          <w:highlight w:val="none"/>
        </w:rPr>
      </w:pPr>
      <w:r>
        <w:rPr>
          <w:rFonts w:hint="eastAsia"/>
          <w:color w:val="auto"/>
          <w:sz w:val="24"/>
          <w:highlight w:val="none"/>
        </w:rPr>
        <w:t>8.拖欠农民工工资的；</w:t>
      </w:r>
    </w:p>
    <w:p w14:paraId="38F6653A">
      <w:pPr>
        <w:spacing w:line="360" w:lineRule="auto"/>
        <w:ind w:firstLine="480" w:firstLineChars="200"/>
        <w:rPr>
          <w:rFonts w:hint="eastAsia"/>
          <w:color w:val="auto"/>
          <w:sz w:val="24"/>
          <w:highlight w:val="none"/>
        </w:rPr>
      </w:pPr>
      <w:r>
        <w:rPr>
          <w:rFonts w:hint="eastAsia"/>
          <w:color w:val="auto"/>
          <w:sz w:val="24"/>
          <w:highlight w:val="none"/>
        </w:rPr>
        <w:t>9.未按照国家、省、市有关建筑施工实名制管理和工人工资支付分账管理的规定执行，被行政监管部门处罚的；</w:t>
      </w:r>
    </w:p>
    <w:p w14:paraId="42D57B96">
      <w:pPr>
        <w:spacing w:line="360" w:lineRule="auto"/>
        <w:ind w:firstLine="480" w:firstLineChars="200"/>
        <w:rPr>
          <w:rFonts w:hint="eastAsia"/>
          <w:color w:val="auto"/>
          <w:sz w:val="24"/>
          <w:highlight w:val="none"/>
          <w:lang w:eastAsia="zh-CN"/>
        </w:rPr>
      </w:pPr>
      <w:r>
        <w:rPr>
          <w:rFonts w:hint="eastAsia"/>
          <w:color w:val="auto"/>
          <w:sz w:val="24"/>
          <w:highlight w:val="none"/>
        </w:rPr>
        <w:t>10.中标人在项目实施过程中选取的专业分包单位或劳务企业或劳务班组长与投标时不一致的</w:t>
      </w:r>
      <w:r>
        <w:rPr>
          <w:rFonts w:hint="eastAsia"/>
          <w:color w:val="auto"/>
          <w:sz w:val="24"/>
          <w:highlight w:val="none"/>
          <w:lang w:val="en-US" w:eastAsia="zh-CN"/>
        </w:rPr>
        <w:t>；</w:t>
      </w:r>
    </w:p>
    <w:p w14:paraId="19C1EBA1">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11.本项目投标时拟派的专职安全员在其他项目中有任职且在本项目开工前未完成更换确保专职安全员只在本项目上任职的。</w:t>
      </w:r>
    </w:p>
    <w:p w14:paraId="5437D83D">
      <w:pPr>
        <w:pStyle w:val="6"/>
        <w:rPr>
          <w:color w:val="auto"/>
          <w:highlight w:val="none"/>
        </w:rPr>
      </w:pPr>
    </w:p>
    <w:p w14:paraId="6B7AF702">
      <w:pPr>
        <w:spacing w:line="360" w:lineRule="auto"/>
        <w:ind w:right="1348" w:rightChars="642"/>
        <w:rPr>
          <w:color w:val="auto"/>
          <w:sz w:val="24"/>
          <w:highlight w:val="none"/>
        </w:rPr>
      </w:pPr>
    </w:p>
    <w:p w14:paraId="530ACAF3">
      <w:pPr>
        <w:spacing w:line="360" w:lineRule="auto"/>
        <w:jc w:val="right"/>
        <w:rPr>
          <w:rFonts w:hint="eastAsia"/>
          <w:color w:val="auto"/>
          <w:sz w:val="24"/>
          <w:szCs w:val="24"/>
          <w:highlight w:val="none"/>
        </w:rPr>
      </w:pPr>
    </w:p>
    <w:p w14:paraId="77AD0ED5">
      <w:pPr>
        <w:spacing w:line="360" w:lineRule="auto"/>
        <w:jc w:val="right"/>
        <w:rPr>
          <w:color w:val="auto"/>
          <w:sz w:val="24"/>
          <w:highlight w:val="none"/>
        </w:rPr>
      </w:pPr>
      <w:r>
        <w:rPr>
          <w:rFonts w:hint="eastAsia"/>
          <w:color w:val="auto"/>
          <w:sz w:val="24"/>
          <w:szCs w:val="24"/>
          <w:highlight w:val="none"/>
        </w:rPr>
        <w:t>招</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rFonts w:hint="eastAsia"/>
          <w:color w:val="auto"/>
          <w:sz w:val="24"/>
          <w:highlight w:val="none"/>
          <w:u w:val="single"/>
          <w:lang w:eastAsia="zh-CN"/>
        </w:rPr>
        <w:t>横琴琴澳创新产业园开发建设有限公司</w:t>
      </w:r>
    </w:p>
    <w:p w14:paraId="3FBFAE3A">
      <w:pPr>
        <w:spacing w:line="360" w:lineRule="auto"/>
        <w:jc w:val="right"/>
        <w:rPr>
          <w:rFonts w:hint="eastAsia" w:eastAsia="宋体"/>
          <w:color w:val="auto"/>
          <w:sz w:val="24"/>
          <w:szCs w:val="24"/>
          <w:highlight w:val="none"/>
          <w:lang w:eastAsia="zh-CN"/>
        </w:rPr>
      </w:pPr>
      <w:r>
        <w:rPr>
          <w:rFonts w:hint="eastAsia"/>
          <w:color w:val="auto"/>
          <w:sz w:val="24"/>
          <w:szCs w:val="24"/>
          <w:highlight w:val="none"/>
        </w:rPr>
        <w:t>招标代理：</w:t>
      </w:r>
      <w:r>
        <w:rPr>
          <w:rFonts w:hint="eastAsia"/>
          <w:color w:val="auto"/>
          <w:sz w:val="24"/>
          <w:szCs w:val="24"/>
          <w:highlight w:val="none"/>
          <w:u w:val="single"/>
          <w:lang w:eastAsia="zh-CN"/>
        </w:rPr>
        <w:t>广州金盛建工程项目管理咨询有限公司</w:t>
      </w:r>
    </w:p>
    <w:p w14:paraId="1C016079">
      <w:pPr>
        <w:spacing w:line="360" w:lineRule="auto"/>
        <w:jc w:val="right"/>
        <w:rPr>
          <w:color w:val="auto"/>
          <w:sz w:val="24"/>
          <w:szCs w:val="24"/>
          <w:highlight w:val="none"/>
          <w:u w:val="single"/>
        </w:r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rPr>
        <w:t>期：</w:t>
      </w:r>
      <w:r>
        <w:rPr>
          <w:rFonts w:hint="eastAsia"/>
          <w:color w:val="auto"/>
          <w:sz w:val="24"/>
          <w:szCs w:val="24"/>
          <w:highlight w:val="none"/>
          <w:u w:val="single"/>
          <w:lang w:eastAsia="zh-CN"/>
        </w:rPr>
        <w:t>2025</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p>
    <w:p w14:paraId="264AB02E">
      <w:pPr>
        <w:spacing w:line="360" w:lineRule="auto"/>
        <w:outlineLvl w:val="0"/>
        <w:rPr>
          <w:rFonts w:cs="宋体"/>
          <w:b/>
          <w:color w:val="auto"/>
          <w:sz w:val="24"/>
          <w:szCs w:val="24"/>
          <w:highlight w:val="none"/>
        </w:rPr>
      </w:pPr>
      <w:r>
        <w:rPr>
          <w:rFonts w:hint="eastAsia"/>
          <w:color w:val="auto"/>
          <w:sz w:val="24"/>
          <w:highlight w:val="none"/>
        </w:rPr>
        <w:br w:type="page"/>
      </w:r>
      <w:r>
        <w:rPr>
          <w:rFonts w:hint="eastAsia" w:cs="宋体"/>
          <w:color w:val="auto"/>
          <w:sz w:val="24"/>
          <w:szCs w:val="24"/>
          <w:highlight w:val="none"/>
        </w:rPr>
        <w:t>附件一：</w:t>
      </w:r>
    </w:p>
    <w:p w14:paraId="48BBFCFE">
      <w:pPr>
        <w:spacing w:line="360" w:lineRule="auto"/>
        <w:jc w:val="center"/>
        <w:rPr>
          <w:b/>
          <w:color w:val="auto"/>
          <w:kern w:val="0"/>
          <w:sz w:val="32"/>
          <w:szCs w:val="32"/>
          <w:highlight w:val="none"/>
        </w:rPr>
      </w:pPr>
      <w:r>
        <w:rPr>
          <w:rFonts w:hint="eastAsia"/>
          <w:b/>
          <w:color w:val="auto"/>
          <w:kern w:val="0"/>
          <w:sz w:val="32"/>
          <w:szCs w:val="32"/>
          <w:highlight w:val="none"/>
        </w:rPr>
        <w:t>投标人声明</w:t>
      </w:r>
    </w:p>
    <w:p w14:paraId="5400BFB2">
      <w:pPr>
        <w:pStyle w:val="28"/>
        <w:spacing w:line="360" w:lineRule="auto"/>
        <w:ind w:firstLine="0"/>
        <w:rPr>
          <w:rFonts w:ascii="宋体" w:hAnsi="宋体" w:eastAsia="宋体"/>
          <w:color w:val="auto"/>
          <w:sz w:val="21"/>
          <w:szCs w:val="21"/>
          <w:highlight w:val="none"/>
        </w:rPr>
      </w:pPr>
    </w:p>
    <w:p w14:paraId="2AC8C1E0">
      <w:pPr>
        <w:pStyle w:val="28"/>
        <w:spacing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14:paraId="532A7F9E">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本公司就参加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琴澳创新产业园一期主体工程泛光照明工程</w:t>
      </w:r>
      <w:r>
        <w:rPr>
          <w:rFonts w:hint="eastAsia" w:asciiTheme="minorEastAsia" w:hAnsiTheme="minorEastAsia" w:eastAsiaTheme="minorEastAsia" w:cstheme="minorEastAsia"/>
          <w:color w:val="auto"/>
          <w:sz w:val="21"/>
          <w:szCs w:val="21"/>
          <w:highlight w:val="none"/>
          <w:u w:val="single"/>
        </w:rPr>
        <w:t xml:space="preserve">施工专业承包 </w:t>
      </w:r>
      <w:r>
        <w:rPr>
          <w:rFonts w:hint="eastAsia" w:asciiTheme="minorEastAsia" w:hAnsiTheme="minorEastAsia" w:eastAsiaTheme="minorEastAsia" w:cstheme="minorEastAsia"/>
          <w:color w:val="auto"/>
          <w:sz w:val="21"/>
          <w:szCs w:val="21"/>
          <w:highlight w:val="none"/>
        </w:rPr>
        <w:t>投标工作，作出郑重声明：</w:t>
      </w:r>
    </w:p>
    <w:p w14:paraId="5EDD6F76">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12A94429">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DD39644">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三、本公司不存在下列情形之一：</w:t>
      </w:r>
    </w:p>
    <w:p w14:paraId="1BB042C5">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（一）为招标人不具有独立法人资格的附属机构（单位）；</w:t>
      </w:r>
    </w:p>
    <w:p w14:paraId="2CB1D073">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（二）为本标段前期准备提供设计或咨询服务或者与本项目设计人或提供咨询服务的机构存在隶属关系的；</w:t>
      </w:r>
    </w:p>
    <w:p w14:paraId="7876CF9D">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（三）为本标段监理人或者与本标段监理人存在隶属关系或者其他利害关系；</w:t>
      </w:r>
    </w:p>
    <w:p w14:paraId="1E1228AF">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（四）为本标段的代建人；</w:t>
      </w:r>
    </w:p>
    <w:p w14:paraId="414255DF">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（五）为本标段提供招标代理服务的；</w:t>
      </w:r>
    </w:p>
    <w:p w14:paraId="612E07A5">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（六）与本标段的监理人或代建人或招标代理机构同为一个法定代表人的；</w:t>
      </w:r>
    </w:p>
    <w:p w14:paraId="1E0D93ED">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（七）与本标段的监理人或代建人或招标代理机构互相控股或参股的；</w:t>
      </w:r>
    </w:p>
    <w:p w14:paraId="1287C8D4">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（八）与本标段的监理人或代建人或招标代理机构相互任职或工作的；</w:t>
      </w:r>
    </w:p>
    <w:p w14:paraId="23BD6EA2">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（九）与本标段的检测机构有隶属关系或者其他利害关系；</w:t>
      </w:r>
    </w:p>
    <w:p w14:paraId="1C1E5C4A">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（十）与招标人存在利害关系且可能影响招标公正性； </w:t>
      </w:r>
    </w:p>
    <w:p w14:paraId="5966435A">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（十一）被依法暂停或取消投标资格的；（</w:t>
      </w:r>
      <w:r>
        <w:rPr>
          <w:rFonts w:hint="eastAsia" w:asciiTheme="minorEastAsia" w:hAnsiTheme="minorEastAsia" w:eastAsiaTheme="minorEastAsia" w:cstheme="minorEastAsia"/>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Theme="minorEastAsia" w:hAnsiTheme="minorEastAsia" w:eastAsiaTheme="minorEastAsia" w:cstheme="minorEastAsia"/>
          <w:color w:val="auto"/>
          <w:sz w:val="21"/>
          <w:szCs w:val="21"/>
          <w:highlight w:val="none"/>
        </w:rPr>
        <w:t xml:space="preserve">） </w:t>
      </w:r>
    </w:p>
    <w:p w14:paraId="348978FB">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（十二）被责令停产停业、暂扣或者吊销许可证、暂扣或者吊销执照的（</w:t>
      </w:r>
      <w:r>
        <w:rPr>
          <w:rFonts w:hint="eastAsia" w:asciiTheme="minorEastAsia" w:hAnsiTheme="minorEastAsia" w:eastAsiaTheme="minorEastAsia" w:cstheme="minorEastAsia"/>
          <w:color w:val="auto"/>
          <w:sz w:val="21"/>
          <w:szCs w:val="21"/>
          <w:highlight w:val="none"/>
          <w:lang w:val="zh-CN"/>
        </w:rPr>
        <w:t>本项事实应当以根据《中华人民共和国行政处罚法》依法作出并已经生效的行政处罚决定为认定依据。</w:t>
      </w:r>
      <w:r>
        <w:rPr>
          <w:rFonts w:hint="eastAsia" w:asciiTheme="minorEastAsia" w:hAnsiTheme="minorEastAsia" w:eastAsiaTheme="minorEastAsia" w:cstheme="minorEastAsia"/>
          <w:color w:val="auto"/>
          <w:sz w:val="21"/>
          <w:szCs w:val="21"/>
          <w:highlight w:val="none"/>
        </w:rPr>
        <w:t>）；</w:t>
      </w:r>
    </w:p>
    <w:p w14:paraId="646A6002">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（十三）进入清算程序，或被宣布破产，或其他丧失履约能力的情形；</w:t>
      </w:r>
    </w:p>
    <w:p w14:paraId="046BB283">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（十四）在最近三年内有严重违约或重大工程质量问题的；（</w:t>
      </w:r>
      <w:r>
        <w:rPr>
          <w:rFonts w:hint="eastAsia" w:asciiTheme="minorEastAsia" w:hAnsiTheme="minorEastAsia" w:eastAsiaTheme="minorEastAsia" w:cstheme="minorEastAsia"/>
          <w:color w:val="auto"/>
          <w:sz w:val="21"/>
          <w:szCs w:val="21"/>
          <w:highlight w:val="none"/>
          <w:lang w:val="zh-CN"/>
        </w:rPr>
        <w:t>“严重违约”事实应当以</w:t>
      </w:r>
      <w:r>
        <w:rPr>
          <w:rFonts w:hint="eastAsia" w:asciiTheme="minorEastAsia" w:hAnsiTheme="minorEastAsia" w:eastAsiaTheme="minorEastAsia" w:cstheme="minorEastAsia"/>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779D6CB">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（十五）法律法规规定的其他情形。</w:t>
      </w:r>
    </w:p>
    <w:p w14:paraId="5710A8E6">
      <w:pPr>
        <w:pStyle w:val="28"/>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本公司保证：本项目拟派的项目负责人</w:t>
      </w:r>
      <w:r>
        <w:rPr>
          <w:rFonts w:hint="eastAsia" w:asciiTheme="minorEastAsia" w:hAnsiTheme="minorEastAsia" w:eastAsiaTheme="minorEastAsia" w:cstheme="minorEastAsia"/>
          <w:b/>
          <w:bCs/>
          <w:color w:val="auto"/>
          <w:sz w:val="21"/>
          <w:szCs w:val="21"/>
          <w:highlight w:val="none"/>
        </w:rPr>
        <w:t>投标截止时</w:t>
      </w:r>
      <w:r>
        <w:rPr>
          <w:rFonts w:hint="eastAsia" w:asciiTheme="minorEastAsia" w:hAnsiTheme="minorEastAsia" w:eastAsiaTheme="minorEastAsia" w:cstheme="minorEastAsia"/>
          <w:color w:val="auto"/>
          <w:sz w:val="21"/>
          <w:szCs w:val="21"/>
          <w:highlight w:val="none"/>
        </w:rPr>
        <w:t>没有在其他在建项目中任施工单位项目负责人。</w:t>
      </w:r>
    </w:p>
    <w:p w14:paraId="33C39616">
      <w:pPr>
        <w:pStyle w:val="28"/>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040BBA">
      <w:pPr>
        <w:pStyle w:val="28"/>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44F8575">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七</w:t>
      </w:r>
      <w:r>
        <w:rPr>
          <w:rFonts w:hint="eastAsia" w:asciiTheme="minorEastAsia" w:hAnsiTheme="minorEastAsia" w:eastAsiaTheme="minorEastAsia" w:cstheme="minorEastAsia"/>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52372C">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八、</w:t>
      </w:r>
      <w:r>
        <w:rPr>
          <w:rFonts w:hint="eastAsia" w:asciiTheme="minorEastAsia" w:hAnsiTheme="minorEastAsia" w:eastAsiaTheme="minorEastAsia" w:cstheme="minorEastAsia"/>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162366C9">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九、</w:t>
      </w:r>
      <w:r>
        <w:rPr>
          <w:rFonts w:hint="eastAsia" w:asciiTheme="minorEastAsia" w:hAnsiTheme="minorEastAsia" w:eastAsiaTheme="minorEastAsia" w:cstheme="minorEastAsia"/>
          <w:color w:val="auto"/>
          <w:sz w:val="21"/>
          <w:szCs w:val="21"/>
          <w:highlight w:val="none"/>
        </w:rPr>
        <w:t>与本公司单位负责人为同一人或者与本公司存在控股、管理关系的其他单位包括：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。（注：本条由投标人如实填写，如有，应列出全部满足招标公告资质要求的相关单位的名称；如无，则填写“无”。）</w:t>
      </w:r>
    </w:p>
    <w:p w14:paraId="3DC1E7E8">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w:t>
      </w:r>
      <w:r>
        <w:rPr>
          <w:rFonts w:hint="eastAsia" w:asciiTheme="minorEastAsia" w:hAnsiTheme="minorEastAsia" w:eastAsiaTheme="minorEastAsia" w:cstheme="minorEastAsia"/>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669D6255">
      <w:pPr>
        <w:pStyle w:val="28"/>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十一</w:t>
      </w:r>
      <w:r>
        <w:rPr>
          <w:rFonts w:hint="eastAsia" w:asciiTheme="minorEastAsia" w:hAnsiTheme="minorEastAsia" w:eastAsiaTheme="minorEastAsia" w:cstheme="minorEastAsia"/>
          <w:color w:val="auto"/>
          <w:sz w:val="21"/>
          <w:szCs w:val="21"/>
          <w:highlight w:val="none"/>
        </w:rPr>
        <w:t>、本公司承诺，中标后将按招标人要求，积极响应广州市关于投身“百千万工程”的号召，主动参与建筑业结对帮扶。</w:t>
      </w:r>
    </w:p>
    <w:p w14:paraId="41586673">
      <w:pPr>
        <w:pStyle w:val="28"/>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十二、</w:t>
      </w:r>
      <w:r>
        <w:rPr>
          <w:rFonts w:hint="eastAsia" w:asciiTheme="minorEastAsia" w:hAnsiTheme="minorEastAsia" w:eastAsiaTheme="minorEastAsia" w:cstheme="minorEastAsia"/>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40729DD">
      <w:pPr>
        <w:pStyle w:val="28"/>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十三、</w:t>
      </w:r>
      <w:r>
        <w:rPr>
          <w:rFonts w:hint="eastAsia" w:asciiTheme="minorEastAsia" w:hAnsiTheme="minorEastAsia" w:eastAsiaTheme="minorEastAsia" w:cstheme="minorEastAsia"/>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985D2E7">
      <w:pPr>
        <w:pStyle w:val="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特此声明。</w:t>
      </w:r>
    </w:p>
    <w:p w14:paraId="0C3462DE">
      <w:pPr>
        <w:pStyle w:val="29"/>
        <w:spacing w:line="36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0A52127F">
      <w:pPr>
        <w:pStyle w:val="28"/>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553F51D5">
      <w:pPr>
        <w:pStyle w:val="28"/>
        <w:spacing w:line="360" w:lineRule="auto"/>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1BDEFE5A">
      <w:pPr>
        <w:pStyle w:val="28"/>
        <w:spacing w:line="360" w:lineRule="auto"/>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6C49A7ED">
      <w:pPr>
        <w:widowControl/>
        <w:snapToGrid w:val="0"/>
        <w:spacing w:line="36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14:paraId="08990F69">
      <w:pPr>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4BC91E">
      <w:pPr>
        <w:spacing w:line="360" w:lineRule="auto"/>
        <w:rPr>
          <w:rFonts w:ascii="宋体" w:hAnsi="宋体" w:cs="宋体"/>
          <w:color w:val="auto"/>
          <w:sz w:val="24"/>
          <w:highlight w:val="none"/>
        </w:rPr>
      </w:pPr>
      <w:r>
        <w:rPr>
          <w:rFonts w:hint="eastAsia" w:ascii="宋体" w:hAnsi="宋体" w:cs="宋体"/>
          <w:color w:val="auto"/>
          <w:sz w:val="24"/>
          <w:highlight w:val="none"/>
        </w:rPr>
        <w:t>附件二：</w:t>
      </w:r>
    </w:p>
    <w:p w14:paraId="00A7F53B">
      <w:pPr>
        <w:snapToGrid w:val="0"/>
        <w:spacing w:afterLines="25" w:line="360" w:lineRule="auto"/>
        <w:ind w:firstLine="629"/>
        <w:rPr>
          <w:rFonts w:ascii="宋体" w:hAnsi="宋体"/>
          <w:color w:val="auto"/>
          <w:kern w:val="0"/>
          <w:szCs w:val="21"/>
          <w:highlight w:val="none"/>
        </w:rPr>
      </w:pPr>
    </w:p>
    <w:p w14:paraId="13196AC5">
      <w:pPr>
        <w:snapToGrid w:val="0"/>
        <w:spacing w:afterLines="25"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21"/>
        <w:tblW w:w="4998" w:type="pct"/>
        <w:jc w:val="center"/>
        <w:tblLayout w:type="autofit"/>
        <w:tblCellMar>
          <w:top w:w="0" w:type="dxa"/>
          <w:left w:w="108" w:type="dxa"/>
          <w:bottom w:w="0" w:type="dxa"/>
          <w:right w:w="108" w:type="dxa"/>
        </w:tblCellMar>
      </w:tblPr>
      <w:tblGrid>
        <w:gridCol w:w="915"/>
        <w:gridCol w:w="962"/>
        <w:gridCol w:w="2033"/>
        <w:gridCol w:w="1862"/>
        <w:gridCol w:w="2945"/>
      </w:tblGrid>
      <w:tr w14:paraId="04940A50">
        <w:tblPrEx>
          <w:tblCellMar>
            <w:top w:w="0" w:type="dxa"/>
            <w:left w:w="108" w:type="dxa"/>
            <w:bottom w:w="0" w:type="dxa"/>
            <w:right w:w="108" w:type="dxa"/>
          </w:tblCellMar>
        </w:tblPrEx>
        <w:trPr>
          <w:trHeight w:val="482"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14:paraId="3AE25147">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52" w:type="pct"/>
            <w:tcBorders>
              <w:top w:val="single" w:color="auto" w:sz="4" w:space="0"/>
              <w:left w:val="nil"/>
              <w:bottom w:val="single" w:color="auto" w:sz="4" w:space="0"/>
              <w:right w:val="single" w:color="auto" w:sz="4" w:space="0"/>
            </w:tcBorders>
            <w:vAlign w:val="center"/>
          </w:tcPr>
          <w:p w14:paraId="5E27861E">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1166" w:type="pct"/>
            <w:tcBorders>
              <w:top w:val="single" w:color="auto" w:sz="4" w:space="0"/>
              <w:left w:val="nil"/>
              <w:bottom w:val="single" w:color="auto" w:sz="4" w:space="0"/>
              <w:right w:val="single" w:color="auto" w:sz="4" w:space="0"/>
            </w:tcBorders>
            <w:vAlign w:val="center"/>
          </w:tcPr>
          <w:p w14:paraId="31428189">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068" w:type="pct"/>
            <w:tcBorders>
              <w:top w:val="single" w:color="auto" w:sz="4" w:space="0"/>
              <w:left w:val="nil"/>
              <w:bottom w:val="single" w:color="auto" w:sz="4" w:space="0"/>
              <w:right w:val="single" w:color="auto" w:sz="4" w:space="0"/>
            </w:tcBorders>
            <w:vAlign w:val="center"/>
          </w:tcPr>
          <w:p w14:paraId="55CF5319">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1687" w:type="pct"/>
            <w:tcBorders>
              <w:top w:val="single" w:color="auto" w:sz="4" w:space="0"/>
              <w:left w:val="nil"/>
              <w:bottom w:val="single" w:color="auto" w:sz="4" w:space="0"/>
              <w:right w:val="single" w:color="auto" w:sz="4" w:space="0"/>
            </w:tcBorders>
            <w:vAlign w:val="center"/>
          </w:tcPr>
          <w:p w14:paraId="212CD800">
            <w:pPr>
              <w:snapToGrid w:val="0"/>
              <w:spacing w:line="240" w:lineRule="auto"/>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14:paraId="028D920E">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14:paraId="3845112B">
            <w:pPr>
              <w:snapToGrid w:val="0"/>
              <w:spacing w:line="240" w:lineRule="auto"/>
              <w:ind w:left="0" w:leftChars="0" w:right="0" w:rightChars="0"/>
              <w:jc w:val="center"/>
              <w:rPr>
                <w:rFonts w:ascii="宋体" w:hAnsi="宋体" w:cs="宋体"/>
                <w:bCs/>
                <w:color w:val="auto"/>
                <w:szCs w:val="21"/>
                <w:highlight w:val="none"/>
              </w:rPr>
            </w:pPr>
            <w:r>
              <w:rPr>
                <w:rFonts w:ascii="宋体" w:hAnsi="宋体" w:cs="宋体"/>
                <w:bCs/>
                <w:color w:val="auto"/>
                <w:szCs w:val="21"/>
                <w:highlight w:val="none"/>
              </w:rPr>
              <w:t>1</w:t>
            </w:r>
          </w:p>
        </w:tc>
        <w:tc>
          <w:tcPr>
            <w:tcW w:w="552" w:type="pct"/>
            <w:tcBorders>
              <w:top w:val="single" w:color="auto" w:sz="4" w:space="0"/>
              <w:left w:val="nil"/>
              <w:bottom w:val="single" w:color="auto" w:sz="4" w:space="0"/>
              <w:right w:val="single" w:color="auto" w:sz="4" w:space="0"/>
            </w:tcBorders>
            <w:vAlign w:val="center"/>
          </w:tcPr>
          <w:p w14:paraId="18FC4251">
            <w:pPr>
              <w:snapToGrid w:val="0"/>
              <w:spacing w:line="240" w:lineRule="auto"/>
              <w:ind w:left="0" w:leftChars="0" w:right="0" w:rightChars="0"/>
              <w:jc w:val="center"/>
              <w:rPr>
                <w:rFonts w:ascii="宋体" w:hAnsi="宋体" w:cs="宋体"/>
                <w:bCs/>
                <w:color w:val="auto"/>
                <w:szCs w:val="21"/>
                <w:highlight w:val="none"/>
              </w:rPr>
            </w:pPr>
          </w:p>
        </w:tc>
        <w:tc>
          <w:tcPr>
            <w:tcW w:w="1166" w:type="pct"/>
            <w:tcBorders>
              <w:top w:val="single" w:color="auto" w:sz="4" w:space="0"/>
              <w:left w:val="nil"/>
              <w:bottom w:val="single" w:color="auto" w:sz="4" w:space="0"/>
              <w:right w:val="single" w:color="auto" w:sz="4" w:space="0"/>
            </w:tcBorders>
            <w:shd w:val="clear" w:color="auto" w:fill="auto"/>
            <w:vAlign w:val="center"/>
          </w:tcPr>
          <w:p w14:paraId="7F7738F0">
            <w:pPr>
              <w:snapToGrid w:val="0"/>
              <w:spacing w:line="240" w:lineRule="auto"/>
              <w:ind w:firstLine="0" w:firstLineChars="0"/>
              <w:jc w:val="center"/>
              <w:rPr>
                <w:rFonts w:hint="default" w:ascii="宋体" w:hAnsi="宋体"/>
                <w:color w:val="auto"/>
                <w:spacing w:val="-2"/>
                <w:kern w:val="0"/>
                <w:szCs w:val="21"/>
                <w:highlight w:val="none"/>
                <w:lang w:val="en-US" w:eastAsia="zh-CN"/>
              </w:rPr>
            </w:pPr>
            <w:r>
              <w:rPr>
                <w:rFonts w:hint="eastAsia"/>
                <w:color w:val="auto"/>
                <w:spacing w:val="-2"/>
                <w:kern w:val="0"/>
                <w:szCs w:val="21"/>
                <w:highlight w:val="none"/>
                <w:lang w:val="en-US" w:eastAsia="zh-CN"/>
              </w:rPr>
              <w:t>技术负责人</w:t>
            </w:r>
          </w:p>
        </w:tc>
        <w:tc>
          <w:tcPr>
            <w:tcW w:w="1068" w:type="pct"/>
            <w:tcBorders>
              <w:top w:val="single" w:color="auto" w:sz="4" w:space="0"/>
              <w:left w:val="nil"/>
              <w:bottom w:val="single" w:color="auto" w:sz="4" w:space="0"/>
              <w:right w:val="single" w:color="auto" w:sz="4" w:space="0"/>
            </w:tcBorders>
            <w:vAlign w:val="center"/>
          </w:tcPr>
          <w:p w14:paraId="0E3B96DF">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14:paraId="0928252B">
            <w:pPr>
              <w:snapToGrid w:val="0"/>
              <w:spacing w:line="240" w:lineRule="auto"/>
              <w:ind w:left="0" w:leftChars="0" w:right="0" w:rightChars="0"/>
              <w:jc w:val="center"/>
              <w:rPr>
                <w:rFonts w:ascii="宋体" w:hAnsi="宋体" w:cs="宋体"/>
                <w:bCs/>
                <w:color w:val="auto"/>
                <w:szCs w:val="21"/>
                <w:highlight w:val="none"/>
              </w:rPr>
            </w:pPr>
          </w:p>
        </w:tc>
      </w:tr>
      <w:tr w14:paraId="6DCE95F6">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14:paraId="7FC9C688">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2</w:t>
            </w:r>
          </w:p>
        </w:tc>
        <w:tc>
          <w:tcPr>
            <w:tcW w:w="552" w:type="pct"/>
            <w:tcBorders>
              <w:top w:val="single" w:color="auto" w:sz="4" w:space="0"/>
              <w:left w:val="nil"/>
              <w:bottom w:val="single" w:color="auto" w:sz="4" w:space="0"/>
              <w:right w:val="single" w:color="auto" w:sz="4" w:space="0"/>
            </w:tcBorders>
            <w:vAlign w:val="center"/>
          </w:tcPr>
          <w:p w14:paraId="1ACC82DA">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14:paraId="7E3D0AF9">
            <w:pPr>
              <w:snapToGrid w:val="0"/>
              <w:jc w:val="center"/>
              <w:rPr>
                <w:rFonts w:hint="default" w:ascii="宋体" w:hAnsi="宋体" w:eastAsia="宋体" w:cs="Times New Roman"/>
                <w:color w:val="auto"/>
                <w:spacing w:val="-2"/>
                <w:kern w:val="0"/>
                <w:szCs w:val="21"/>
                <w:highlight w:val="none"/>
                <w:lang w:val="en-US" w:eastAsia="zh-CN"/>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14:paraId="2A05CA3B">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14:paraId="17EAA104">
            <w:pPr>
              <w:snapToGrid w:val="0"/>
              <w:spacing w:line="240" w:lineRule="auto"/>
              <w:ind w:left="0" w:leftChars="0" w:right="0" w:rightChars="0"/>
              <w:jc w:val="center"/>
              <w:rPr>
                <w:rFonts w:ascii="宋体" w:hAnsi="宋体" w:cs="宋体"/>
                <w:bCs/>
                <w:color w:val="auto"/>
                <w:szCs w:val="21"/>
                <w:highlight w:val="none"/>
              </w:rPr>
            </w:pPr>
          </w:p>
        </w:tc>
      </w:tr>
      <w:tr w14:paraId="3002A7DC">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14:paraId="59EF9F52">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3</w:t>
            </w:r>
          </w:p>
        </w:tc>
        <w:tc>
          <w:tcPr>
            <w:tcW w:w="552" w:type="pct"/>
            <w:tcBorders>
              <w:top w:val="single" w:color="auto" w:sz="4" w:space="0"/>
              <w:left w:val="nil"/>
              <w:bottom w:val="single" w:color="auto" w:sz="4" w:space="0"/>
              <w:right w:val="single" w:color="auto" w:sz="4" w:space="0"/>
            </w:tcBorders>
            <w:vAlign w:val="center"/>
          </w:tcPr>
          <w:p w14:paraId="17891223">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14:paraId="5ED65655">
            <w:pPr>
              <w:snapToGrid w:val="0"/>
              <w:jc w:val="center"/>
              <w:rPr>
                <w:rFonts w:hint="eastAsia" w:ascii="宋体" w:hAnsi="宋体" w:eastAsia="宋体" w:cs="Times New Roman"/>
                <w:color w:val="auto"/>
                <w:spacing w:val="-2"/>
                <w:kern w:val="0"/>
                <w:szCs w:val="21"/>
                <w:highlight w:val="none"/>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14:paraId="65889B17">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14:paraId="75498D06">
            <w:pPr>
              <w:snapToGrid w:val="0"/>
              <w:spacing w:line="240" w:lineRule="auto"/>
              <w:ind w:left="0" w:leftChars="0" w:right="0" w:rightChars="0"/>
              <w:jc w:val="center"/>
              <w:rPr>
                <w:rFonts w:ascii="宋体" w:hAnsi="宋体" w:cs="宋体"/>
                <w:bCs/>
                <w:color w:val="auto"/>
                <w:szCs w:val="21"/>
                <w:highlight w:val="none"/>
              </w:rPr>
            </w:pPr>
          </w:p>
        </w:tc>
      </w:tr>
      <w:tr w14:paraId="4A25D3D1">
        <w:tblPrEx>
          <w:tblCellMar>
            <w:top w:w="0" w:type="dxa"/>
            <w:left w:w="108" w:type="dxa"/>
            <w:bottom w:w="0" w:type="dxa"/>
            <w:right w:w="108" w:type="dxa"/>
          </w:tblCellMar>
        </w:tblPrEx>
        <w:trPr>
          <w:trHeight w:val="454"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14:paraId="19C59DD8">
            <w:pPr>
              <w:snapToGrid w:val="0"/>
              <w:spacing w:line="240" w:lineRule="auto"/>
              <w:ind w:left="0" w:leftChars="0" w:right="0" w:rightChars="0"/>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4</w:t>
            </w:r>
          </w:p>
        </w:tc>
        <w:tc>
          <w:tcPr>
            <w:tcW w:w="552" w:type="pct"/>
            <w:tcBorders>
              <w:top w:val="single" w:color="auto" w:sz="4" w:space="0"/>
              <w:left w:val="nil"/>
              <w:bottom w:val="single" w:color="auto" w:sz="4" w:space="0"/>
              <w:right w:val="single" w:color="auto" w:sz="4" w:space="0"/>
            </w:tcBorders>
            <w:vAlign w:val="center"/>
          </w:tcPr>
          <w:p w14:paraId="6700C3F6">
            <w:pPr>
              <w:snapToGrid w:val="0"/>
              <w:spacing w:line="240" w:lineRule="auto"/>
              <w:ind w:left="0" w:leftChars="0" w:right="0" w:rightChars="0"/>
              <w:jc w:val="center"/>
              <w:rPr>
                <w:rFonts w:ascii="宋体" w:hAnsi="宋体" w:cs="宋体"/>
                <w:bCs/>
                <w:color w:val="auto"/>
                <w:szCs w:val="21"/>
                <w:highlight w:val="none"/>
              </w:rPr>
            </w:pPr>
          </w:p>
        </w:tc>
        <w:tc>
          <w:tcPr>
            <w:tcW w:w="2033" w:type="dxa"/>
            <w:tcBorders>
              <w:top w:val="single" w:color="auto" w:sz="4" w:space="0"/>
              <w:left w:val="nil"/>
              <w:bottom w:val="single" w:color="auto" w:sz="4" w:space="0"/>
              <w:right w:val="single" w:color="auto" w:sz="4" w:space="0"/>
            </w:tcBorders>
            <w:shd w:val="clear" w:color="auto" w:fill="auto"/>
            <w:vAlign w:val="center"/>
          </w:tcPr>
          <w:p w14:paraId="74F7529E">
            <w:pPr>
              <w:snapToGrid w:val="0"/>
              <w:jc w:val="center"/>
              <w:rPr>
                <w:rFonts w:hint="eastAsia" w:ascii="宋体" w:hAnsi="宋体" w:eastAsia="宋体" w:cs="Times New Roman"/>
                <w:color w:val="auto"/>
                <w:spacing w:val="-2"/>
                <w:kern w:val="0"/>
                <w:szCs w:val="21"/>
                <w:highlight w:val="none"/>
              </w:rPr>
            </w:pPr>
            <w:r>
              <w:rPr>
                <w:rFonts w:hint="eastAsia" w:cs="Times New Roman"/>
                <w:color w:val="auto"/>
                <w:spacing w:val="-2"/>
                <w:kern w:val="0"/>
                <w:sz w:val="21"/>
                <w:szCs w:val="21"/>
                <w:highlight w:val="none"/>
                <w:lang w:val="en-US" w:eastAsia="zh-CN"/>
              </w:rPr>
              <w:t>...</w:t>
            </w:r>
          </w:p>
        </w:tc>
        <w:tc>
          <w:tcPr>
            <w:tcW w:w="1068" w:type="pct"/>
            <w:tcBorders>
              <w:top w:val="single" w:color="auto" w:sz="4" w:space="0"/>
              <w:left w:val="nil"/>
              <w:bottom w:val="single" w:color="auto" w:sz="4" w:space="0"/>
              <w:right w:val="single" w:color="auto" w:sz="4" w:space="0"/>
            </w:tcBorders>
            <w:vAlign w:val="center"/>
          </w:tcPr>
          <w:p w14:paraId="01647E88">
            <w:pPr>
              <w:widowControl/>
              <w:spacing w:line="240" w:lineRule="auto"/>
              <w:jc w:val="center"/>
              <w:rPr>
                <w:rFonts w:ascii="宋体" w:hAnsi="宋体" w:cs="宋体"/>
                <w:bCs/>
                <w:color w:val="auto"/>
                <w:szCs w:val="21"/>
                <w:highlight w:val="none"/>
              </w:rPr>
            </w:pPr>
          </w:p>
        </w:tc>
        <w:tc>
          <w:tcPr>
            <w:tcW w:w="1687" w:type="pct"/>
            <w:tcBorders>
              <w:top w:val="single" w:color="auto" w:sz="4" w:space="0"/>
              <w:left w:val="nil"/>
              <w:bottom w:val="single" w:color="auto" w:sz="4" w:space="0"/>
              <w:right w:val="single" w:color="auto" w:sz="4" w:space="0"/>
            </w:tcBorders>
            <w:vAlign w:val="center"/>
          </w:tcPr>
          <w:p w14:paraId="73D5B307">
            <w:pPr>
              <w:snapToGrid w:val="0"/>
              <w:spacing w:line="240" w:lineRule="auto"/>
              <w:ind w:left="0" w:leftChars="0" w:right="0" w:rightChars="0"/>
              <w:jc w:val="center"/>
              <w:rPr>
                <w:rFonts w:ascii="宋体" w:hAnsi="宋体" w:cs="宋体"/>
                <w:bCs/>
                <w:color w:val="auto"/>
                <w:szCs w:val="21"/>
                <w:highlight w:val="none"/>
              </w:rPr>
            </w:pPr>
          </w:p>
        </w:tc>
      </w:tr>
      <w:tr w14:paraId="1D746EB7">
        <w:tblPrEx>
          <w:tblCellMar>
            <w:top w:w="0" w:type="dxa"/>
            <w:left w:w="108" w:type="dxa"/>
            <w:bottom w:w="0" w:type="dxa"/>
            <w:right w:w="108" w:type="dxa"/>
          </w:tblCellMar>
        </w:tblPrEx>
        <w:trPr>
          <w:trHeight w:val="348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8788D73">
            <w:pPr>
              <w:snapToGrid w:val="0"/>
              <w:spacing w:line="240" w:lineRule="auto"/>
              <w:rPr>
                <w:rFonts w:ascii="宋体" w:hAnsi="宋体"/>
                <w:color w:val="auto"/>
                <w:kern w:val="0"/>
                <w:szCs w:val="21"/>
                <w:highlight w:val="none"/>
              </w:rPr>
            </w:pPr>
            <w:r>
              <w:rPr>
                <w:rFonts w:hint="eastAsia" w:ascii="宋体" w:hAnsi="宋体"/>
                <w:color w:val="auto"/>
                <w:kern w:val="0"/>
                <w:szCs w:val="21"/>
                <w:highlight w:val="none"/>
              </w:rPr>
              <w:t>备注：</w:t>
            </w:r>
          </w:p>
          <w:p w14:paraId="75F50431">
            <w:pPr>
              <w:snapToGrid w:val="0"/>
              <w:spacing w:line="240" w:lineRule="auto"/>
              <w:ind w:firstLine="0" w:firstLineChars="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kern w:val="0"/>
                <w:szCs w:val="21"/>
                <w:highlight w:val="none"/>
                <w:u w:val="single"/>
              </w:rPr>
              <w:t>“岗</w:t>
            </w:r>
            <w:r>
              <w:rPr>
                <w:rFonts w:hint="eastAsia" w:ascii="宋体" w:hAnsi="宋体"/>
                <w:color w:val="auto"/>
                <w:spacing w:val="-2"/>
                <w:kern w:val="0"/>
                <w:szCs w:val="21"/>
                <w:highlight w:val="none"/>
                <w:u w:val="single"/>
              </w:rPr>
              <w:t>位”要求（除项目负责人</w:t>
            </w:r>
            <w:r>
              <w:rPr>
                <w:rFonts w:hint="eastAsia"/>
                <w:color w:val="auto"/>
                <w:spacing w:val="-2"/>
                <w:kern w:val="0"/>
                <w:szCs w:val="21"/>
                <w:highlight w:val="none"/>
                <w:u w:val="single"/>
                <w:lang w:val="en-US" w:eastAsia="zh-CN"/>
              </w:rPr>
              <w:t>和专职安全员</w:t>
            </w:r>
            <w:r>
              <w:rPr>
                <w:rFonts w:hint="eastAsia" w:ascii="宋体" w:hAnsi="宋体"/>
                <w:color w:val="auto"/>
                <w:spacing w:val="-2"/>
                <w:kern w:val="0"/>
                <w:szCs w:val="21"/>
                <w:highlight w:val="none"/>
                <w:u w:val="single"/>
              </w:rPr>
              <w:t>外）：拟派驻施工现场的技术负责人</w:t>
            </w:r>
            <w:r>
              <w:rPr>
                <w:rFonts w:hint="eastAsia" w:ascii="宋体" w:hAnsi="宋体"/>
                <w:color w:val="auto"/>
                <w:spacing w:val="-2"/>
                <w:kern w:val="0"/>
                <w:szCs w:val="21"/>
                <w:highlight w:val="none"/>
                <w:u w:val="single"/>
                <w:lang w:val="en-US" w:eastAsia="zh-CN"/>
              </w:rPr>
              <w:t>等</w:t>
            </w:r>
            <w:r>
              <w:rPr>
                <w:rFonts w:hint="eastAsia" w:ascii="宋体" w:hAnsi="宋体"/>
                <w:color w:val="auto"/>
                <w:spacing w:val="-2"/>
                <w:kern w:val="0"/>
                <w:szCs w:val="21"/>
                <w:highlight w:val="none"/>
              </w:rPr>
              <w:t>。以上项目管理团队人员信息将由交易系统提取后供各相关单位在履约时比对、查核</w:t>
            </w:r>
            <w:r>
              <w:rPr>
                <w:rFonts w:hint="eastAsia" w:ascii="宋体" w:hAnsi="宋体"/>
                <w:color w:val="auto"/>
                <w:kern w:val="0"/>
                <w:szCs w:val="21"/>
                <w:highlight w:val="none"/>
              </w:rPr>
              <w:t>。</w:t>
            </w:r>
          </w:p>
          <w:p w14:paraId="66C7CD73">
            <w:pPr>
              <w:snapToGrid w:val="0"/>
              <w:spacing w:line="240" w:lineRule="auto"/>
              <w:ind w:firstLine="0" w:firstLineChars="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14:paraId="07D2A5E6">
            <w:pPr>
              <w:snapToGrid w:val="0"/>
              <w:spacing w:line="240" w:lineRule="auto"/>
              <w:ind w:firstLine="0" w:firstLineChars="0"/>
              <w:rPr>
                <w:rFonts w:ascii="宋体" w:hAnsi="宋体"/>
                <w:color w:val="auto"/>
                <w:kern w:val="0"/>
                <w:szCs w:val="21"/>
                <w:highlight w:val="none"/>
              </w:rPr>
            </w:pPr>
            <w:r>
              <w:rPr>
                <w:rFonts w:ascii="宋体" w:hAnsi="宋体"/>
                <w:b w:val="0"/>
                <w:bCs w:val="0"/>
                <w:color w:val="auto"/>
                <w:kern w:val="0"/>
                <w:szCs w:val="21"/>
                <w:highlight w:val="none"/>
              </w:rPr>
              <w:t>3</w:t>
            </w:r>
            <w:r>
              <w:rPr>
                <w:rFonts w:hint="eastAsia" w:ascii="宋体" w:hAnsi="宋体"/>
                <w:b w:val="0"/>
                <w:bCs w:val="0"/>
                <w:color w:val="auto"/>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0BA71CE">
      <w:pPr>
        <w:spacing w:line="360" w:lineRule="auto"/>
        <w:rPr>
          <w:rFonts w:hint="eastAsia" w:eastAsia="宋体"/>
          <w:color w:val="auto"/>
          <w:highlight w:val="none"/>
          <w:lang w:eastAsia="zh-CN"/>
        </w:rPr>
      </w:pPr>
    </w:p>
    <w:p w14:paraId="5372A8D7">
      <w:pPr>
        <w:ind w:right="1449"/>
        <w:jc w:val="both"/>
        <w:rPr>
          <w:rFonts w:hint="eastAsia" w:ascii="宋体" w:hAnsi="宋体" w:eastAsia="宋体" w:cs="宋体"/>
          <w:color w:val="auto"/>
          <w:sz w:val="24"/>
          <w:szCs w:val="24"/>
          <w:highlight w:val="none"/>
        </w:rPr>
      </w:pPr>
    </w:p>
    <w:sectPr>
      <w:footerReference r:id="rId3" w:type="default"/>
      <w:pgSz w:w="11906" w:h="16838"/>
      <w:pgMar w:top="1440" w:right="1701" w:bottom="1440"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446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0D1DD">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100D1DD">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00172A27"/>
    <w:rsid w:val="0046160B"/>
    <w:rsid w:val="007117E3"/>
    <w:rsid w:val="007D2D16"/>
    <w:rsid w:val="00C208F2"/>
    <w:rsid w:val="00D6581C"/>
    <w:rsid w:val="00F06BC4"/>
    <w:rsid w:val="01391284"/>
    <w:rsid w:val="014337F8"/>
    <w:rsid w:val="029307AF"/>
    <w:rsid w:val="036E6D37"/>
    <w:rsid w:val="03810BDB"/>
    <w:rsid w:val="03B870CA"/>
    <w:rsid w:val="042030B6"/>
    <w:rsid w:val="04243786"/>
    <w:rsid w:val="0459529B"/>
    <w:rsid w:val="04B862AB"/>
    <w:rsid w:val="051A37F7"/>
    <w:rsid w:val="062F6A41"/>
    <w:rsid w:val="067D49A1"/>
    <w:rsid w:val="07B2792A"/>
    <w:rsid w:val="086C348B"/>
    <w:rsid w:val="08D33D2E"/>
    <w:rsid w:val="09306D58"/>
    <w:rsid w:val="09864E57"/>
    <w:rsid w:val="09954E16"/>
    <w:rsid w:val="09AC2FB6"/>
    <w:rsid w:val="0A1C32E6"/>
    <w:rsid w:val="0A3170D2"/>
    <w:rsid w:val="0A712983"/>
    <w:rsid w:val="0AAE001A"/>
    <w:rsid w:val="0B9461EA"/>
    <w:rsid w:val="0BF26547"/>
    <w:rsid w:val="0D805C04"/>
    <w:rsid w:val="0E097D32"/>
    <w:rsid w:val="0E7476E7"/>
    <w:rsid w:val="0F294AA4"/>
    <w:rsid w:val="0FF30ADF"/>
    <w:rsid w:val="10AA1CBB"/>
    <w:rsid w:val="113F6507"/>
    <w:rsid w:val="13362F9F"/>
    <w:rsid w:val="136B1159"/>
    <w:rsid w:val="13821CB4"/>
    <w:rsid w:val="13A363CE"/>
    <w:rsid w:val="14BD1CD7"/>
    <w:rsid w:val="14C30A80"/>
    <w:rsid w:val="15026859"/>
    <w:rsid w:val="150D079C"/>
    <w:rsid w:val="15595889"/>
    <w:rsid w:val="156A1662"/>
    <w:rsid w:val="157306F8"/>
    <w:rsid w:val="15A05265"/>
    <w:rsid w:val="15C52F2D"/>
    <w:rsid w:val="16BB4CBA"/>
    <w:rsid w:val="16CC6FED"/>
    <w:rsid w:val="17014AE8"/>
    <w:rsid w:val="17CF3BE0"/>
    <w:rsid w:val="185365BF"/>
    <w:rsid w:val="18CC27D8"/>
    <w:rsid w:val="19894A37"/>
    <w:rsid w:val="198A69FB"/>
    <w:rsid w:val="1A8F0224"/>
    <w:rsid w:val="1ADA2FC8"/>
    <w:rsid w:val="1B277D2C"/>
    <w:rsid w:val="1B917B2A"/>
    <w:rsid w:val="1C580C91"/>
    <w:rsid w:val="1C597CAD"/>
    <w:rsid w:val="1CC23D13"/>
    <w:rsid w:val="1D3F64F1"/>
    <w:rsid w:val="1D97597A"/>
    <w:rsid w:val="1D9D1228"/>
    <w:rsid w:val="1DAD1DBD"/>
    <w:rsid w:val="1ED235A6"/>
    <w:rsid w:val="1F15637C"/>
    <w:rsid w:val="20670AF3"/>
    <w:rsid w:val="20CE0ED9"/>
    <w:rsid w:val="21042B4C"/>
    <w:rsid w:val="21457ACA"/>
    <w:rsid w:val="2208666C"/>
    <w:rsid w:val="22467D8B"/>
    <w:rsid w:val="23132B27"/>
    <w:rsid w:val="232A43C0"/>
    <w:rsid w:val="236E1532"/>
    <w:rsid w:val="241E3F25"/>
    <w:rsid w:val="245C61AD"/>
    <w:rsid w:val="265012C9"/>
    <w:rsid w:val="267C1FBF"/>
    <w:rsid w:val="26CC64FC"/>
    <w:rsid w:val="271D04B9"/>
    <w:rsid w:val="273E0DB7"/>
    <w:rsid w:val="276E2ACE"/>
    <w:rsid w:val="279231C2"/>
    <w:rsid w:val="27FC723C"/>
    <w:rsid w:val="2847771B"/>
    <w:rsid w:val="28940F72"/>
    <w:rsid w:val="29385D73"/>
    <w:rsid w:val="295F6EE0"/>
    <w:rsid w:val="29C941B3"/>
    <w:rsid w:val="2A7632B4"/>
    <w:rsid w:val="2A7E571E"/>
    <w:rsid w:val="2C7C47B6"/>
    <w:rsid w:val="2C8927F9"/>
    <w:rsid w:val="2D0D29D1"/>
    <w:rsid w:val="2D390D14"/>
    <w:rsid w:val="2D6F75A0"/>
    <w:rsid w:val="2DB86500"/>
    <w:rsid w:val="2DCF0010"/>
    <w:rsid w:val="2E1B14D5"/>
    <w:rsid w:val="2E5549E7"/>
    <w:rsid w:val="2F347BE9"/>
    <w:rsid w:val="2F463931"/>
    <w:rsid w:val="2F920D65"/>
    <w:rsid w:val="304C5976"/>
    <w:rsid w:val="30AA08EF"/>
    <w:rsid w:val="3106021B"/>
    <w:rsid w:val="3129226C"/>
    <w:rsid w:val="3180558D"/>
    <w:rsid w:val="322A02EE"/>
    <w:rsid w:val="32A11E88"/>
    <w:rsid w:val="32F4451B"/>
    <w:rsid w:val="334D7189"/>
    <w:rsid w:val="33B43F5E"/>
    <w:rsid w:val="33BA709B"/>
    <w:rsid w:val="340353F4"/>
    <w:rsid w:val="345C595F"/>
    <w:rsid w:val="34695D5B"/>
    <w:rsid w:val="34FE741B"/>
    <w:rsid w:val="35C015BF"/>
    <w:rsid w:val="3618333E"/>
    <w:rsid w:val="385041ED"/>
    <w:rsid w:val="387709D1"/>
    <w:rsid w:val="397C3770"/>
    <w:rsid w:val="39D51CAD"/>
    <w:rsid w:val="39F904EA"/>
    <w:rsid w:val="3A06303A"/>
    <w:rsid w:val="3C0E61D6"/>
    <w:rsid w:val="3C384E8C"/>
    <w:rsid w:val="3C4B35E8"/>
    <w:rsid w:val="3C5F6A31"/>
    <w:rsid w:val="3DAF5796"/>
    <w:rsid w:val="3E684DF2"/>
    <w:rsid w:val="3E9B4BD8"/>
    <w:rsid w:val="3ED537F8"/>
    <w:rsid w:val="3F0D09C6"/>
    <w:rsid w:val="3F45359C"/>
    <w:rsid w:val="40381A73"/>
    <w:rsid w:val="40825A4A"/>
    <w:rsid w:val="40A9471F"/>
    <w:rsid w:val="41140732"/>
    <w:rsid w:val="41995432"/>
    <w:rsid w:val="41E9571B"/>
    <w:rsid w:val="425E5D9B"/>
    <w:rsid w:val="42E44134"/>
    <w:rsid w:val="4321621B"/>
    <w:rsid w:val="433E3604"/>
    <w:rsid w:val="437D25BE"/>
    <w:rsid w:val="43A62DC6"/>
    <w:rsid w:val="43B26AD4"/>
    <w:rsid w:val="440F4D46"/>
    <w:rsid w:val="44CA0639"/>
    <w:rsid w:val="451E1B7F"/>
    <w:rsid w:val="45CD16D9"/>
    <w:rsid w:val="45E16245"/>
    <w:rsid w:val="460B579F"/>
    <w:rsid w:val="463950A3"/>
    <w:rsid w:val="46987ACC"/>
    <w:rsid w:val="472A2740"/>
    <w:rsid w:val="48C055EE"/>
    <w:rsid w:val="4906547B"/>
    <w:rsid w:val="492D1DBC"/>
    <w:rsid w:val="497918E8"/>
    <w:rsid w:val="4A49297A"/>
    <w:rsid w:val="4A7E27C2"/>
    <w:rsid w:val="4ABF0D28"/>
    <w:rsid w:val="4AEE5B50"/>
    <w:rsid w:val="4BCC518A"/>
    <w:rsid w:val="4C3D536D"/>
    <w:rsid w:val="4CC4300C"/>
    <w:rsid w:val="4D4E0B28"/>
    <w:rsid w:val="4E0A5DA9"/>
    <w:rsid w:val="4E411AA6"/>
    <w:rsid w:val="4ED76539"/>
    <w:rsid w:val="4EDF237F"/>
    <w:rsid w:val="4F1B342E"/>
    <w:rsid w:val="4F604F02"/>
    <w:rsid w:val="4F7D17DC"/>
    <w:rsid w:val="4FD45FC8"/>
    <w:rsid w:val="500B7261"/>
    <w:rsid w:val="50355FCF"/>
    <w:rsid w:val="50813947"/>
    <w:rsid w:val="50DF1FDF"/>
    <w:rsid w:val="51922AAE"/>
    <w:rsid w:val="51DC7E87"/>
    <w:rsid w:val="52373CC7"/>
    <w:rsid w:val="528B680B"/>
    <w:rsid w:val="52AA344D"/>
    <w:rsid w:val="54E66898"/>
    <w:rsid w:val="555C6C58"/>
    <w:rsid w:val="559A3FB2"/>
    <w:rsid w:val="55C17C8C"/>
    <w:rsid w:val="55D94864"/>
    <w:rsid w:val="55F12998"/>
    <w:rsid w:val="561E1F66"/>
    <w:rsid w:val="563A4230"/>
    <w:rsid w:val="56B91708"/>
    <w:rsid w:val="57201787"/>
    <w:rsid w:val="57241FEB"/>
    <w:rsid w:val="58337EAA"/>
    <w:rsid w:val="59C834B0"/>
    <w:rsid w:val="5A3115B5"/>
    <w:rsid w:val="5AB75F5E"/>
    <w:rsid w:val="5AF45F17"/>
    <w:rsid w:val="5BEE09D6"/>
    <w:rsid w:val="5D98699A"/>
    <w:rsid w:val="5DAD53F7"/>
    <w:rsid w:val="5DC866D4"/>
    <w:rsid w:val="5E08087F"/>
    <w:rsid w:val="5E203186"/>
    <w:rsid w:val="5E271BAC"/>
    <w:rsid w:val="5E5B480C"/>
    <w:rsid w:val="5ED25B44"/>
    <w:rsid w:val="5F27114E"/>
    <w:rsid w:val="5F5715BB"/>
    <w:rsid w:val="5F6A244E"/>
    <w:rsid w:val="5FD35DD0"/>
    <w:rsid w:val="600D09AF"/>
    <w:rsid w:val="60151855"/>
    <w:rsid w:val="60275934"/>
    <w:rsid w:val="60FF5C09"/>
    <w:rsid w:val="614E0C9F"/>
    <w:rsid w:val="627D2820"/>
    <w:rsid w:val="62832BCA"/>
    <w:rsid w:val="62A36DC8"/>
    <w:rsid w:val="62D04B3C"/>
    <w:rsid w:val="62EE32A2"/>
    <w:rsid w:val="633811C8"/>
    <w:rsid w:val="637846F9"/>
    <w:rsid w:val="637C4FE4"/>
    <w:rsid w:val="63DD067A"/>
    <w:rsid w:val="65100178"/>
    <w:rsid w:val="65845E98"/>
    <w:rsid w:val="65EB2A34"/>
    <w:rsid w:val="65EC0A86"/>
    <w:rsid w:val="66456B14"/>
    <w:rsid w:val="669F6DA2"/>
    <w:rsid w:val="66A05546"/>
    <w:rsid w:val="66BC6284"/>
    <w:rsid w:val="66C135F2"/>
    <w:rsid w:val="67112E9A"/>
    <w:rsid w:val="67654F94"/>
    <w:rsid w:val="678278F4"/>
    <w:rsid w:val="6818121D"/>
    <w:rsid w:val="68282249"/>
    <w:rsid w:val="683F6073"/>
    <w:rsid w:val="687B5341"/>
    <w:rsid w:val="68954920"/>
    <w:rsid w:val="68D6528D"/>
    <w:rsid w:val="69965EE0"/>
    <w:rsid w:val="69D02B99"/>
    <w:rsid w:val="69F55F1F"/>
    <w:rsid w:val="6A45689E"/>
    <w:rsid w:val="6A99742E"/>
    <w:rsid w:val="6B8040D7"/>
    <w:rsid w:val="6BEC4747"/>
    <w:rsid w:val="6BF9506C"/>
    <w:rsid w:val="6CD2210D"/>
    <w:rsid w:val="6D3F3B91"/>
    <w:rsid w:val="6D4B1FC8"/>
    <w:rsid w:val="6D7147B1"/>
    <w:rsid w:val="6DC12352"/>
    <w:rsid w:val="6DCA7C5B"/>
    <w:rsid w:val="6E091F66"/>
    <w:rsid w:val="6E551FDE"/>
    <w:rsid w:val="6E5E3C4F"/>
    <w:rsid w:val="6E74363E"/>
    <w:rsid w:val="6EA840E4"/>
    <w:rsid w:val="6EF74724"/>
    <w:rsid w:val="6FA63143"/>
    <w:rsid w:val="6FCB1C46"/>
    <w:rsid w:val="6FCF65B1"/>
    <w:rsid w:val="70192403"/>
    <w:rsid w:val="704C6C14"/>
    <w:rsid w:val="7198719C"/>
    <w:rsid w:val="71CB202B"/>
    <w:rsid w:val="724B72F7"/>
    <w:rsid w:val="73C95DAB"/>
    <w:rsid w:val="740022CC"/>
    <w:rsid w:val="746B4C90"/>
    <w:rsid w:val="74D379E1"/>
    <w:rsid w:val="75A304E5"/>
    <w:rsid w:val="76DA7097"/>
    <w:rsid w:val="77D31B2E"/>
    <w:rsid w:val="78886D34"/>
    <w:rsid w:val="78BA12BC"/>
    <w:rsid w:val="791C342D"/>
    <w:rsid w:val="792E168A"/>
    <w:rsid w:val="79D42231"/>
    <w:rsid w:val="79D7762B"/>
    <w:rsid w:val="79E216FF"/>
    <w:rsid w:val="79EB4B64"/>
    <w:rsid w:val="7A6B2BDD"/>
    <w:rsid w:val="7AD005B4"/>
    <w:rsid w:val="7B157B32"/>
    <w:rsid w:val="7B1E06C1"/>
    <w:rsid w:val="7B827A6B"/>
    <w:rsid w:val="7BCB1412"/>
    <w:rsid w:val="7C1F3112"/>
    <w:rsid w:val="7C8579EB"/>
    <w:rsid w:val="7CEF38D2"/>
    <w:rsid w:val="7D456DF1"/>
    <w:rsid w:val="7D546B02"/>
    <w:rsid w:val="7DD87E16"/>
    <w:rsid w:val="7EBE700C"/>
    <w:rsid w:val="7FB40458"/>
    <w:rsid w:val="7FD60385"/>
    <w:rsid w:val="7FEB1DA5"/>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Normal Indent"/>
    <w:basedOn w:val="1"/>
    <w:next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1"/>
    <w:qFormat/>
    <w:uiPriority w:val="0"/>
    <w:pPr>
      <w:spacing w:after="120"/>
    </w:pPr>
    <w:rPr>
      <w:rFonts w:ascii="Calibri" w:hAnsi="Calibri"/>
    </w:rPr>
  </w:style>
  <w:style w:type="paragraph" w:styleId="9">
    <w:name w:val="Body Text Indent"/>
    <w:basedOn w:val="1"/>
    <w:next w:val="10"/>
    <w:qFormat/>
    <w:uiPriority w:val="0"/>
    <w:pPr>
      <w:ind w:firstLine="570"/>
    </w:pPr>
    <w:rPr>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Plain Text"/>
    <w:basedOn w:val="1"/>
    <w:qFormat/>
    <w:uiPriority w:val="0"/>
    <w:rPr>
      <w:rFonts w:hAnsi="Courier New"/>
      <w:szCs w:val="20"/>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6">
    <w:name w:val="Body Text 2"/>
    <w:basedOn w:val="1"/>
    <w:qFormat/>
    <w:uiPriority w:val="0"/>
    <w:rPr>
      <w:kern w:val="0"/>
      <w:sz w:val="20"/>
      <w:szCs w:val="24"/>
      <w:u w:val="single"/>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3"/>
    <w:qFormat/>
    <w:uiPriority w:val="0"/>
    <w:rPr>
      <w:b/>
      <w:bCs/>
    </w:rPr>
  </w:style>
  <w:style w:type="paragraph" w:styleId="19">
    <w:name w:val="Body Text First Indent"/>
    <w:basedOn w:val="8"/>
    <w:qFormat/>
    <w:uiPriority w:val="0"/>
    <w:pPr>
      <w:ind w:firstLine="420"/>
    </w:pPr>
    <w:rPr>
      <w:rFonts w:ascii="Times New Roman" w:hAnsi="Times New Roman"/>
      <w:kern w:val="0"/>
      <w:sz w:val="20"/>
      <w:szCs w:val="20"/>
      <w:lang w:val="zh-CN"/>
    </w:rPr>
  </w:style>
  <w:style w:type="paragraph" w:styleId="20">
    <w:name w:val="Body Text First Indent 2"/>
    <w:basedOn w:val="9"/>
    <w:qFormat/>
    <w:uiPriority w:val="0"/>
    <w:pPr>
      <w:spacing w:after="120" w:afterLines="0"/>
      <w:ind w:left="420" w:leftChars="200" w:firstLine="420" w:firstLineChars="200"/>
    </w:pPr>
    <w:rPr>
      <w:rFonts w:ascii="Calibri" w:hAnsi="Calibri"/>
      <w:sz w:val="20"/>
      <w:szCs w:val="24"/>
    </w:rPr>
  </w:style>
  <w:style w:type="character" w:styleId="23">
    <w:name w:val="Strong"/>
    <w:basedOn w:val="22"/>
    <w:qFormat/>
    <w:uiPriority w:val="0"/>
    <w:rPr>
      <w:b/>
    </w:rPr>
  </w:style>
  <w:style w:type="character" w:styleId="24">
    <w:name w:val="page number"/>
    <w:qFormat/>
    <w:uiPriority w:val="0"/>
    <w:rPr>
      <w:rFonts w:cs="Times New Roman"/>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1"/>
    <w:basedOn w:val="3"/>
    <w:qFormat/>
    <w:uiPriority w:val="0"/>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character" w:customStyle="1" w:styleId="30">
    <w:name w:val="font01"/>
    <w:qFormat/>
    <w:uiPriority w:val="0"/>
    <w:rPr>
      <w:rFonts w:hint="eastAsia" w:ascii="仿宋" w:hAnsi="仿宋" w:eastAsia="仿宋" w:cs="仿宋"/>
      <w:color w:val="000000"/>
      <w:sz w:val="28"/>
      <w:szCs w:val="28"/>
      <w:u w:val="none"/>
    </w:rPr>
  </w:style>
  <w:style w:type="character" w:customStyle="1" w:styleId="31">
    <w:name w:val="font11"/>
    <w:qFormat/>
    <w:uiPriority w:val="0"/>
    <w:rPr>
      <w:rFonts w:hint="eastAsia" w:ascii="仿宋" w:hAnsi="仿宋" w:eastAsia="仿宋" w:cs="仿宋"/>
      <w:b/>
      <w:color w:val="000000"/>
      <w:sz w:val="28"/>
      <w:szCs w:val="28"/>
      <w:u w:val="none"/>
    </w:rPr>
  </w:style>
  <w:style w:type="character" w:customStyle="1" w:styleId="32">
    <w:name w:val="批注文字 字符"/>
    <w:basedOn w:val="22"/>
    <w:link w:val="7"/>
    <w:qFormat/>
    <w:uiPriority w:val="0"/>
    <w:rPr>
      <w:rFonts w:ascii="宋体" w:hAnsi="宋体"/>
      <w:kern w:val="2"/>
      <w:sz w:val="21"/>
      <w:szCs w:val="22"/>
    </w:rPr>
  </w:style>
  <w:style w:type="character" w:customStyle="1" w:styleId="33">
    <w:name w:val="批注主题 字符"/>
    <w:basedOn w:val="32"/>
    <w:link w:val="18"/>
    <w:qFormat/>
    <w:uiPriority w:val="0"/>
    <w:rPr>
      <w:rFonts w:ascii="宋体" w:hAnsi="宋体"/>
      <w:b/>
      <w:bCs/>
      <w:kern w:val="2"/>
      <w:sz w:val="21"/>
      <w:szCs w:val="22"/>
    </w:rPr>
  </w:style>
  <w:style w:type="character" w:customStyle="1" w:styleId="34">
    <w:name w:val="批注框文本 字符"/>
    <w:basedOn w:val="22"/>
    <w:link w:val="12"/>
    <w:qFormat/>
    <w:uiPriority w:val="0"/>
    <w:rPr>
      <w:rFonts w:ascii="宋体" w:hAnsi="宋体"/>
      <w:kern w:val="2"/>
      <w:sz w:val="18"/>
      <w:szCs w:val="18"/>
    </w:rPr>
  </w:style>
  <w:style w:type="paragraph" w:customStyle="1" w:styleId="35">
    <w:name w:val="普通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7999</Words>
  <Characters>8365</Characters>
  <Lines>55</Lines>
  <Paragraphs>15</Paragraphs>
  <TotalTime>1</TotalTime>
  <ScaleCrop>false</ScaleCrop>
  <LinksUpToDate>false</LinksUpToDate>
  <CharactersWithSpaces>8539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2021-07-16T06:09:00Z</dcterms:created>
  <dc:creator>GX</dc:creator>
  <cp:lastModifiedBy>崔帅</cp:lastModifiedBy>
  <dcterms:modified xsi:type="dcterms:W3CDTF">2025-12-09T03:44:12Z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101D8913C14543D498F67BF1EEF083AA_13</vt:lpwstr>
  </property>
  <property fmtid="{D5CDD505-2E9C-101B-9397-08002B2CF9AE}" pid="4" name="KSOTemplateDocerSaveRecord">
    <vt:lpwstr>eyJoZGlkIjoiYjk5ODM0YmMxOWJiYWQyNDU4MGIzYWRmYTA0ZmI5NDciLCJ1c2VySWQiOiIxNTY4OTA2ODQzIn0=</vt:lpwstr>
  </property>
</Properties>
</file>