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36D3C">
      <w:pPr>
        <w:jc w:val="left"/>
        <w:rPr>
          <w:rFonts w:ascii="仿宋_GB2312" w:eastAsia="仿宋_GB2312"/>
          <w:b/>
          <w:sz w:val="24"/>
          <w:szCs w:val="24"/>
          <w:highlight w:val="none"/>
        </w:rPr>
      </w:pPr>
      <w:bookmarkStart w:id="89" w:name="_GoBack"/>
      <w:bookmarkEnd w:id="89"/>
    </w:p>
    <w:p w14:paraId="2194D27B">
      <w:pPr>
        <w:spacing w:line="360" w:lineRule="auto"/>
        <w:ind w:firstLine="883" w:firstLineChars="200"/>
        <w:rPr>
          <w:rFonts w:hint="eastAsia" w:ascii="仿宋_GB2312" w:hAnsi="仿宋_GB2312" w:eastAsia="仿宋_GB2312" w:cs="仿宋_GB2312"/>
          <w:b/>
          <w:bCs/>
          <w:sz w:val="44"/>
          <w:szCs w:val="44"/>
          <w:highlight w:val="none"/>
        </w:rPr>
      </w:pPr>
    </w:p>
    <w:p w14:paraId="435C18D2">
      <w:pPr>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琴澳创新产业园一期主体工程</w:t>
      </w:r>
    </w:p>
    <w:p w14:paraId="603B7B5E">
      <w:pPr>
        <w:spacing w:line="360" w:lineRule="auto"/>
        <w:jc w:val="center"/>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lang w:eastAsia="zh-CN"/>
        </w:rPr>
        <w:t>泛光照明工程</w:t>
      </w:r>
    </w:p>
    <w:p w14:paraId="0170C6AD">
      <w:pPr>
        <w:spacing w:line="360" w:lineRule="auto"/>
        <w:rPr>
          <w:rFonts w:ascii="仿宋_GB2312" w:hAnsi="仿宋_GB2312" w:eastAsia="仿宋_GB2312" w:cs="仿宋_GB2312"/>
          <w:bCs/>
          <w:color w:val="auto"/>
          <w:sz w:val="44"/>
          <w:szCs w:val="44"/>
          <w:highlight w:val="none"/>
        </w:rPr>
      </w:pPr>
    </w:p>
    <w:p w14:paraId="1D2BF7DE">
      <w:pPr>
        <w:spacing w:line="360" w:lineRule="auto"/>
        <w:rPr>
          <w:rFonts w:ascii="仿宋_GB2312" w:hAnsi="仿宋_GB2312" w:eastAsia="仿宋_GB2312" w:cs="仿宋_GB2312"/>
          <w:bCs/>
          <w:color w:val="auto"/>
          <w:sz w:val="44"/>
          <w:szCs w:val="44"/>
          <w:highlight w:val="none"/>
        </w:rPr>
      </w:pPr>
    </w:p>
    <w:p w14:paraId="67877A3A">
      <w:pPr>
        <w:spacing w:line="360" w:lineRule="auto"/>
        <w:rPr>
          <w:rFonts w:ascii="仿宋_GB2312" w:hAnsi="仿宋_GB2312" w:eastAsia="仿宋_GB2312" w:cs="仿宋_GB2312"/>
          <w:bCs/>
          <w:color w:val="auto"/>
          <w:sz w:val="44"/>
          <w:szCs w:val="44"/>
          <w:highlight w:val="none"/>
        </w:rPr>
      </w:pPr>
    </w:p>
    <w:p w14:paraId="68F72345">
      <w:pPr>
        <w:spacing w:line="360" w:lineRule="auto"/>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工程量清单计价说明</w:t>
      </w:r>
    </w:p>
    <w:p w14:paraId="6BDEACFC">
      <w:pPr>
        <w:spacing w:line="360" w:lineRule="auto"/>
        <w:ind w:firstLine="640"/>
        <w:jc w:val="center"/>
        <w:rPr>
          <w:rFonts w:ascii="仿宋_GB2312" w:hAnsi="仿宋_GB2312" w:eastAsia="仿宋_GB2312" w:cs="仿宋_GB2312"/>
          <w:color w:val="auto"/>
          <w:sz w:val="32"/>
          <w:highlight w:val="none"/>
        </w:rPr>
      </w:pPr>
    </w:p>
    <w:p w14:paraId="4218D3E6">
      <w:pPr>
        <w:spacing w:line="360" w:lineRule="auto"/>
        <w:ind w:firstLine="640"/>
        <w:jc w:val="center"/>
        <w:rPr>
          <w:rFonts w:ascii="仿宋_GB2312" w:hAnsi="仿宋_GB2312" w:eastAsia="仿宋_GB2312" w:cs="仿宋_GB2312"/>
          <w:color w:val="auto"/>
          <w:sz w:val="32"/>
          <w:highlight w:val="none"/>
        </w:rPr>
      </w:pPr>
    </w:p>
    <w:p w14:paraId="5B417B3A">
      <w:pPr>
        <w:spacing w:line="360" w:lineRule="auto"/>
        <w:ind w:firstLine="640"/>
        <w:jc w:val="center"/>
        <w:rPr>
          <w:rFonts w:ascii="仿宋_GB2312" w:hAnsi="仿宋_GB2312" w:eastAsia="仿宋_GB2312" w:cs="仿宋_GB2312"/>
          <w:color w:val="auto"/>
          <w:sz w:val="32"/>
          <w:highlight w:val="none"/>
        </w:rPr>
      </w:pPr>
    </w:p>
    <w:p w14:paraId="10589369">
      <w:pPr>
        <w:spacing w:line="360" w:lineRule="auto"/>
        <w:ind w:firstLine="880"/>
        <w:jc w:val="center"/>
        <w:rPr>
          <w:rFonts w:ascii="仿宋_GB2312" w:hAnsi="仿宋_GB2312" w:eastAsia="仿宋_GB2312" w:cs="仿宋_GB2312"/>
          <w:bCs/>
          <w:color w:val="auto"/>
          <w:sz w:val="44"/>
          <w:szCs w:val="44"/>
          <w:highlight w:val="none"/>
        </w:rPr>
      </w:pPr>
    </w:p>
    <w:p w14:paraId="682F54A8">
      <w:pPr>
        <w:spacing w:line="360" w:lineRule="auto"/>
        <w:rPr>
          <w:rFonts w:ascii="仿宋_GB2312" w:hAnsi="仿宋_GB2312" w:eastAsia="仿宋_GB2312" w:cs="仿宋_GB2312"/>
          <w:bCs/>
          <w:color w:val="auto"/>
          <w:sz w:val="44"/>
          <w:szCs w:val="44"/>
          <w:highlight w:val="none"/>
        </w:rPr>
      </w:pPr>
    </w:p>
    <w:p w14:paraId="77066FB2">
      <w:pPr>
        <w:spacing w:line="360" w:lineRule="auto"/>
        <w:rPr>
          <w:rFonts w:ascii="仿宋_GB2312" w:hAnsi="仿宋_GB2312" w:eastAsia="仿宋_GB2312" w:cs="仿宋_GB2312"/>
          <w:bCs/>
          <w:color w:val="auto"/>
          <w:sz w:val="44"/>
          <w:szCs w:val="44"/>
          <w:highlight w:val="none"/>
        </w:rPr>
      </w:pPr>
    </w:p>
    <w:p w14:paraId="6D03CDCB">
      <w:pPr>
        <w:spacing w:line="360" w:lineRule="auto"/>
        <w:rPr>
          <w:rFonts w:ascii="仿宋_GB2312" w:hAnsi="仿宋_GB2312" w:eastAsia="仿宋_GB2312" w:cs="仿宋_GB2312"/>
          <w:bCs/>
          <w:color w:val="auto"/>
          <w:sz w:val="44"/>
          <w:szCs w:val="44"/>
          <w:highlight w:val="none"/>
        </w:rPr>
      </w:pPr>
    </w:p>
    <w:p w14:paraId="513A5F3C">
      <w:pPr>
        <w:spacing w:line="360" w:lineRule="auto"/>
        <w:rPr>
          <w:rFonts w:ascii="仿宋_GB2312" w:hAnsi="仿宋_GB2312" w:eastAsia="仿宋_GB2312" w:cs="仿宋_GB2312"/>
          <w:bCs/>
          <w:color w:val="auto"/>
          <w:sz w:val="44"/>
          <w:szCs w:val="44"/>
          <w:highlight w:val="none"/>
        </w:rPr>
      </w:pPr>
    </w:p>
    <w:p w14:paraId="47346E4A">
      <w:pPr>
        <w:spacing w:line="360" w:lineRule="auto"/>
        <w:rPr>
          <w:rFonts w:ascii="仿宋_GB2312" w:hAnsi="仿宋_GB2312" w:eastAsia="仿宋_GB2312" w:cs="仿宋_GB2312"/>
          <w:bCs/>
          <w:color w:val="auto"/>
          <w:sz w:val="44"/>
          <w:szCs w:val="44"/>
          <w:highlight w:val="none"/>
        </w:rPr>
      </w:pPr>
    </w:p>
    <w:p w14:paraId="63DF8583">
      <w:pPr>
        <w:spacing w:line="360" w:lineRule="auto"/>
        <w:ind w:firstLine="640"/>
        <w:rPr>
          <w:rFonts w:ascii="Calibri" w:hAnsi="Calibri" w:eastAsia="仿宋_GB2312" w:cs="仿宋_GB2312"/>
          <w:bCs/>
          <w:color w:val="auto"/>
          <w:sz w:val="32"/>
          <w:highlight w:val="none"/>
        </w:rPr>
      </w:pPr>
      <w:r>
        <w:rPr>
          <w:rFonts w:hint="eastAsia" w:ascii="仿宋_GB2312" w:hAnsi="仿宋_GB2312" w:eastAsia="仿宋_GB2312" w:cs="仿宋_GB2312"/>
          <w:bCs/>
          <w:color w:val="auto"/>
          <w:sz w:val="32"/>
          <w:highlight w:val="none"/>
        </w:rPr>
        <w:t>招标人：</w:t>
      </w:r>
      <w:r>
        <w:rPr>
          <w:rFonts w:hint="eastAsia" w:eastAsia="仿宋_GB2312" w:cs="仿宋_GB2312"/>
          <w:bCs/>
          <w:color w:val="auto"/>
          <w:sz w:val="32"/>
        </w:rPr>
        <w:t>横琴琴澳创新产业园开发建设有限公司</w:t>
      </w:r>
    </w:p>
    <w:p w14:paraId="1FF1B717">
      <w:pPr>
        <w:spacing w:line="360" w:lineRule="auto"/>
        <w:ind w:firstLine="640"/>
        <w:rPr>
          <w:rFonts w:ascii="仿宋_GB2312" w:hAnsi="仿宋_GB2312" w:eastAsia="仿宋_GB2312" w:cs="仿宋_GB2312"/>
          <w:bCs/>
          <w:color w:val="auto"/>
          <w:sz w:val="32"/>
          <w:highlight w:val="none"/>
        </w:rPr>
      </w:pPr>
      <w:r>
        <w:rPr>
          <w:rFonts w:hint="eastAsia" w:ascii="仿宋_GB2312" w:hAnsi="仿宋_GB2312" w:eastAsia="仿宋_GB2312" w:cs="仿宋_GB2312"/>
          <w:bCs/>
          <w:color w:val="auto"/>
          <w:sz w:val="32"/>
          <w:highlight w:val="none"/>
        </w:rPr>
        <w:t>编制人：</w:t>
      </w:r>
    </w:p>
    <w:p w14:paraId="055D098C">
      <w:pPr>
        <w:spacing w:line="360" w:lineRule="auto"/>
        <w:ind w:firstLine="640"/>
        <w:rPr>
          <w:rFonts w:hint="default" w:ascii="仿宋_GB2312" w:hAnsi="仿宋_GB2312" w:eastAsia="仿宋_GB2312" w:cs="仿宋_GB2312"/>
          <w:b/>
          <w:bCs/>
          <w:color w:val="auto"/>
          <w:sz w:val="44"/>
          <w:szCs w:val="44"/>
          <w:highlight w:val="none"/>
          <w:lang w:val="en-US"/>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Cs/>
          <w:color w:val="auto"/>
          <w:sz w:val="32"/>
          <w:highlight w:val="none"/>
        </w:rPr>
        <w:t>日期：202</w:t>
      </w:r>
      <w:r>
        <w:rPr>
          <w:rFonts w:hint="eastAsia" w:ascii="仿宋_GB2312" w:hAnsi="仿宋_GB2312" w:eastAsia="仿宋_GB2312" w:cs="仿宋_GB2312"/>
          <w:bCs/>
          <w:color w:val="auto"/>
          <w:sz w:val="32"/>
          <w:highlight w:val="none"/>
          <w:lang w:val="en-US" w:eastAsia="zh-CN"/>
        </w:rPr>
        <w:t>5</w:t>
      </w:r>
      <w:r>
        <w:rPr>
          <w:rFonts w:hint="eastAsia" w:ascii="仿宋_GB2312" w:hAnsi="仿宋_GB2312" w:eastAsia="仿宋_GB2312" w:cs="仿宋_GB2312"/>
          <w:bCs/>
          <w:color w:val="auto"/>
          <w:sz w:val="32"/>
          <w:highlight w:val="none"/>
        </w:rPr>
        <w:t>年</w:t>
      </w:r>
      <w:r>
        <w:rPr>
          <w:rFonts w:hint="eastAsia" w:ascii="仿宋_GB2312" w:hAnsi="仿宋_GB2312" w:eastAsia="仿宋_GB2312" w:cs="仿宋_GB2312"/>
          <w:bCs/>
          <w:color w:val="auto"/>
          <w:sz w:val="32"/>
          <w:highlight w:val="none"/>
          <w:lang w:val="en-US" w:eastAsia="zh-CN"/>
        </w:rPr>
        <w:t>9月</w:t>
      </w:r>
    </w:p>
    <w:p w14:paraId="4E7B8C7F">
      <w:pPr>
        <w:pStyle w:val="4"/>
        <w:spacing w:line="360" w:lineRule="auto"/>
        <w:ind w:firstLine="643"/>
        <w:jc w:val="center"/>
        <w:rPr>
          <w:rFonts w:ascii="仿宋_GB2312" w:hAnsi="仿宋_GB2312" w:cs="仿宋_GB2312"/>
          <w:color w:val="auto"/>
          <w:highlight w:val="none"/>
        </w:rPr>
      </w:pPr>
      <w:bookmarkStart w:id="0" w:name="_Toc3677"/>
      <w:bookmarkStart w:id="1" w:name="_Toc19181"/>
      <w:bookmarkStart w:id="2" w:name="_Toc452295619"/>
      <w:bookmarkStart w:id="3" w:name="_Toc25977"/>
      <w:bookmarkStart w:id="4" w:name="_Toc416250234"/>
      <w:bookmarkStart w:id="5" w:name="_Toc21704"/>
      <w:bookmarkStart w:id="6" w:name="_Toc430873078"/>
      <w:bookmarkStart w:id="7" w:name="_Toc230"/>
      <w:bookmarkStart w:id="8" w:name="_Toc6522"/>
      <w:bookmarkStart w:id="9" w:name="_Toc7950"/>
      <w:bookmarkStart w:id="10" w:name="_Toc7030002"/>
      <w:bookmarkStart w:id="11" w:name="_Toc17866"/>
      <w:bookmarkStart w:id="12" w:name="_Toc7308"/>
      <w:bookmarkStart w:id="13" w:name="_Toc416250235"/>
      <w:bookmarkStart w:id="14" w:name="_Toc452295620"/>
      <w:bookmarkStart w:id="15" w:name="_Toc19344"/>
      <w:bookmarkStart w:id="16" w:name="_Toc12256"/>
      <w:bookmarkStart w:id="17" w:name="_Toc430873079"/>
      <w:bookmarkStart w:id="18" w:name="_Toc10375"/>
      <w:r>
        <w:rPr>
          <w:rFonts w:hint="eastAsia" w:ascii="仿宋_GB2312" w:hAnsi="仿宋_GB2312" w:cs="仿宋_GB2312"/>
          <w:color w:val="auto"/>
          <w:highlight w:val="none"/>
        </w:rPr>
        <w:t>第一节工程量清单计价总说明</w:t>
      </w:r>
      <w:bookmarkEnd w:id="0"/>
      <w:bookmarkEnd w:id="1"/>
      <w:bookmarkEnd w:id="2"/>
      <w:bookmarkEnd w:id="3"/>
      <w:bookmarkEnd w:id="4"/>
      <w:bookmarkEnd w:id="5"/>
      <w:bookmarkEnd w:id="6"/>
      <w:bookmarkEnd w:id="7"/>
      <w:bookmarkEnd w:id="8"/>
      <w:bookmarkEnd w:id="9"/>
      <w:bookmarkEnd w:id="10"/>
    </w:p>
    <w:p w14:paraId="3D657A56">
      <w:pPr>
        <w:pStyle w:val="43"/>
        <w:spacing w:before="156"/>
        <w:rPr>
          <w:color w:val="auto"/>
          <w:highlight w:val="none"/>
        </w:rPr>
      </w:pPr>
      <w:r>
        <w:rPr>
          <w:rFonts w:hint="eastAsia"/>
          <w:color w:val="auto"/>
          <w:highlight w:val="none"/>
        </w:rPr>
        <w:t>一、凡在本“工程量清单计价说明”（以下简称“本说明”）中已明确的须按“本说明”执行；在“本说明”中未明确的则按《建设工程工程量清单计价标准》GB/T50500-2024的规定执行；在“本说明”及《建设工程工程量清单计价标准》GB/T50500-2024中均未明确的，按以下顺序依次执行：</w:t>
      </w:r>
      <w:r>
        <w:rPr>
          <w:rFonts w:hint="eastAsia"/>
          <w:highlight w:val="none"/>
          <w:shd w:val="clear" w:color="auto" w:fill="FFFFFF"/>
        </w:rPr>
        <w:t>《广东省住房和城乡建设厅关于贯彻实施〈建设工程工程量清单计价标准〉及九项专业工程工程量计算标准的通知》（粤建市〔2025〕196号）</w:t>
      </w:r>
      <w:r>
        <w:rPr>
          <w:highlight w:val="none"/>
          <w:shd w:val="clear" w:color="auto" w:fill="FFFFFF"/>
        </w:rPr>
        <w:t>的规定</w:t>
      </w:r>
      <w:r>
        <w:rPr>
          <w:rFonts w:hint="eastAsia"/>
          <w:highlight w:val="none"/>
          <w:shd w:val="clear" w:color="auto" w:fill="FFFFFF"/>
          <w:lang w:eastAsia="zh-CN"/>
        </w:rPr>
        <w:t>、</w:t>
      </w:r>
      <w:r>
        <w:rPr>
          <w:rFonts w:hint="eastAsia"/>
          <w:color w:val="auto"/>
          <w:highlight w:val="none"/>
        </w:rPr>
        <w:t>《</w:t>
      </w:r>
      <w:r>
        <w:rPr>
          <w:rFonts w:hint="eastAsia"/>
          <w:color w:val="auto"/>
          <w:kern w:val="0"/>
          <w:highlight w:val="none"/>
        </w:rPr>
        <w:t>广东省建设工程计价依据(2018)</w:t>
      </w:r>
      <w:r>
        <w:rPr>
          <w:rFonts w:hint="eastAsia"/>
          <w:color w:val="auto"/>
          <w:highlight w:val="none"/>
        </w:rPr>
        <w:t>》</w:t>
      </w:r>
      <w:r>
        <w:rPr>
          <w:rFonts w:hint="eastAsia"/>
          <w:color w:val="auto"/>
          <w:highlight w:val="none"/>
          <w:lang w:eastAsia="zh-CN"/>
        </w:rPr>
        <w:t>、关于调整《广东省建设工程计价依据2018》 计价规则的通知及广东省政府有关部门颁布的建设工程造价相关的</w:t>
      </w:r>
      <w:r>
        <w:rPr>
          <w:rFonts w:hint="eastAsia"/>
          <w:color w:val="auto"/>
          <w:highlight w:val="none"/>
        </w:rPr>
        <w:t>规定执行。</w:t>
      </w:r>
    </w:p>
    <w:p w14:paraId="536B6F89">
      <w:pPr>
        <w:pStyle w:val="43"/>
        <w:spacing w:before="156"/>
        <w:rPr>
          <w:rFonts w:hint="eastAsia" w:hAnsi="仿宋_GB2312" w:cs="仿宋_GB2312"/>
          <w:color w:val="auto"/>
          <w:highlight w:val="none"/>
        </w:rPr>
      </w:pPr>
      <w:r>
        <w:rPr>
          <w:rFonts w:hint="eastAsia"/>
          <w:color w:val="auto"/>
          <w:highlight w:val="none"/>
        </w:rPr>
        <w:t>二、</w:t>
      </w:r>
      <w:r>
        <w:rPr>
          <w:rFonts w:hint="eastAsia" w:hAnsi="仿宋_GB2312" w:cs="仿宋_GB2312"/>
          <w:color w:val="auto"/>
          <w:highlight w:val="none"/>
        </w:rPr>
        <w:t>本工程计价方式采用</w:t>
      </w:r>
      <w:r>
        <w:rPr>
          <w:rFonts w:hint="eastAsia" w:hAnsi="仿宋_GB2312" w:cs="仿宋_GB2312"/>
          <w:color w:val="auto"/>
          <w:highlight w:val="none"/>
          <w:lang w:val="en-US" w:eastAsia="zh-CN"/>
        </w:rPr>
        <w:t>固定总价包干</w:t>
      </w:r>
      <w:r>
        <w:rPr>
          <w:rFonts w:hint="eastAsia" w:hAnsi="仿宋_GB2312" w:cs="仿宋_GB2312"/>
          <w:color w:val="auto"/>
          <w:highlight w:val="none"/>
        </w:rPr>
        <w:t>（含分部分项工程量清单、措施项目清单、其他项目清单</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增值税</w:t>
      </w:r>
      <w:r>
        <w:rPr>
          <w:rFonts w:hint="eastAsia" w:hAnsi="仿宋_GB2312" w:cs="仿宋_GB2312"/>
          <w:color w:val="auto"/>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即按招标的施工图及招标范围全部完成且竣工验收符合合同约定质量标准。</w:t>
      </w:r>
      <w:r>
        <w:rPr>
          <w:rFonts w:hint="eastAsia" w:ascii="宋体" w:hAnsi="宋体"/>
          <w:strike w:val="0"/>
          <w:color w:val="auto"/>
          <w:szCs w:val="21"/>
          <w:highlight w:val="none"/>
          <w:lang w:val="en-US" w:eastAsia="zh-CN"/>
        </w:rPr>
        <w:t>且未出现承包人违约情形时，工程结算价应扣除暂列金额。</w:t>
      </w:r>
      <w:r>
        <w:rPr>
          <w:rFonts w:hint="eastAsia" w:hAnsi="仿宋_GB2312" w:cs="仿宋_GB2312"/>
          <w:color w:val="auto"/>
          <w:highlight w:val="none"/>
        </w:rPr>
        <w:t>分部分项</w:t>
      </w:r>
      <w:r>
        <w:rPr>
          <w:rFonts w:hint="eastAsia" w:hAnsi="仿宋_GB2312" w:cs="仿宋_GB2312"/>
          <w:color w:val="auto"/>
          <w:highlight w:val="none"/>
          <w:lang w:val="en-US" w:eastAsia="zh-CN"/>
        </w:rPr>
        <w:t>工程清单中的</w:t>
      </w:r>
      <w:r>
        <w:rPr>
          <w:rFonts w:hint="eastAsia" w:hAnsi="仿宋_GB2312" w:cs="仿宋_GB2312"/>
          <w:color w:val="auto"/>
          <w:highlight w:val="none"/>
        </w:rPr>
        <w:t>综合单价是指完成工程量清单项目中规定计量单位全部工作内容所需的人工费、材料费、施工机具费、管理费、利润等所有相关费用。措施项目清单、其他项目清单在满足本说明约定的情形下固定总价包干</w:t>
      </w:r>
      <w:r>
        <w:rPr>
          <w:rFonts w:hint="eastAsia" w:hAnsi="仿宋_GB2312" w:cs="仿宋_GB2312"/>
          <w:color w:val="auto"/>
          <w:highlight w:val="none"/>
          <w:lang w:eastAsia="zh-CN"/>
        </w:rPr>
        <w:t>，</w:t>
      </w:r>
      <w:r>
        <w:rPr>
          <w:rFonts w:hint="eastAsia" w:ascii="宋体" w:hAnsi="宋体"/>
          <w:color w:val="auto"/>
          <w:szCs w:val="21"/>
          <w:highlight w:val="none"/>
          <w:lang w:eastAsia="zh-CN"/>
        </w:rPr>
        <w:t>工程</w:t>
      </w:r>
      <w:r>
        <w:rPr>
          <w:rFonts w:hint="eastAsia" w:ascii="宋体" w:hAnsi="宋体"/>
          <w:color w:val="auto"/>
          <w:szCs w:val="21"/>
          <w:highlight w:val="none"/>
          <w:lang w:val="en-US" w:eastAsia="zh-CN"/>
        </w:rPr>
        <w:t>变更、计日工、返工工程</w:t>
      </w:r>
      <w:r>
        <w:rPr>
          <w:rFonts w:hint="eastAsia" w:ascii="宋体" w:hAnsi="宋体"/>
          <w:strike w:val="0"/>
          <w:color w:val="auto"/>
          <w:szCs w:val="21"/>
          <w:highlight w:val="none"/>
        </w:rPr>
        <w:t>及</w:t>
      </w:r>
      <w:r>
        <w:rPr>
          <w:rFonts w:hint="eastAsia" w:ascii="宋体" w:hAnsi="宋体"/>
          <w:strike w:val="0"/>
          <w:color w:val="auto"/>
          <w:szCs w:val="21"/>
          <w:highlight w:val="none"/>
          <w:lang w:val="en-US" w:eastAsia="zh-CN"/>
        </w:rPr>
        <w:t>新增工程</w:t>
      </w:r>
      <w:r>
        <w:rPr>
          <w:rFonts w:hint="eastAsia" w:ascii="宋体" w:hAnsi="宋体"/>
          <w:color w:val="auto"/>
          <w:szCs w:val="21"/>
          <w:highlight w:val="none"/>
        </w:rPr>
        <w:t>的</w:t>
      </w:r>
      <w:r>
        <w:rPr>
          <w:rFonts w:hint="eastAsia" w:ascii="宋体" w:hAnsi="宋体"/>
          <w:color w:val="auto"/>
          <w:szCs w:val="21"/>
          <w:highlight w:val="none"/>
          <w:lang w:val="en-US" w:eastAsia="zh-CN"/>
        </w:rPr>
        <w:t>相关</w:t>
      </w:r>
      <w:r>
        <w:rPr>
          <w:rFonts w:hint="eastAsia" w:ascii="宋体" w:hAnsi="宋体"/>
          <w:color w:val="auto"/>
          <w:szCs w:val="21"/>
          <w:highlight w:val="none"/>
        </w:rPr>
        <w:t>措施</w:t>
      </w:r>
      <w:r>
        <w:rPr>
          <w:rFonts w:hint="eastAsia" w:ascii="宋体" w:hAnsi="宋体"/>
          <w:color w:val="auto"/>
          <w:szCs w:val="21"/>
          <w:highlight w:val="none"/>
          <w:lang w:eastAsia="zh-CN"/>
        </w:rPr>
        <w:t>项目</w:t>
      </w:r>
      <w:r>
        <w:rPr>
          <w:rFonts w:hint="eastAsia" w:ascii="宋体" w:hAnsi="宋体"/>
          <w:color w:val="auto"/>
          <w:szCs w:val="21"/>
          <w:highlight w:val="none"/>
        </w:rPr>
        <w:t>费</w:t>
      </w:r>
      <w:r>
        <w:rPr>
          <w:rFonts w:hint="eastAsia" w:ascii="宋体" w:hAnsi="宋体"/>
          <w:color w:val="auto"/>
          <w:szCs w:val="21"/>
          <w:highlight w:val="none"/>
          <w:lang w:eastAsia="zh-CN"/>
        </w:rPr>
        <w:t>及其他项目费</w:t>
      </w:r>
      <w:r>
        <w:rPr>
          <w:rFonts w:hint="eastAsia" w:ascii="宋体" w:hAnsi="宋体"/>
          <w:color w:val="auto"/>
          <w:szCs w:val="21"/>
          <w:highlight w:val="none"/>
        </w:rPr>
        <w:t>已包含在合同价款中，结算时不予调整</w:t>
      </w:r>
      <w:r>
        <w:rPr>
          <w:rFonts w:hint="eastAsia" w:hAnsi="仿宋_GB2312" w:cs="仿宋_GB2312"/>
          <w:color w:val="auto"/>
          <w:highlight w:val="none"/>
        </w:rPr>
        <w:t>。</w:t>
      </w:r>
    </w:p>
    <w:p w14:paraId="4E703F1B">
      <w:pPr>
        <w:pStyle w:val="43"/>
        <w:spacing w:before="156"/>
        <w:rPr>
          <w:strike w:val="0"/>
          <w:color w:val="auto"/>
          <w:highlight w:val="none"/>
        </w:rPr>
      </w:pPr>
      <w:r>
        <w:rPr>
          <w:rFonts w:hint="eastAsia"/>
          <w:strike w:val="0"/>
          <w:color w:val="auto"/>
          <w:highlight w:val="none"/>
        </w:rPr>
        <w:t>1、</w:t>
      </w:r>
      <w:r>
        <w:rPr>
          <w:rFonts w:hint="eastAsia" w:hAnsi="仿宋_GB2312" w:cs="仿宋_GB2312"/>
          <w:strike w:val="0"/>
          <w:color w:val="auto"/>
          <w:highlight w:val="none"/>
        </w:rPr>
        <w:t>人工费：直接从事工程施工作业的生产工人的薪酬，包括工资性收入、社会保险费（基本养老保险费、基本医疗保险费、失业保险费、工伤保险费、生育保险费）、住房公积金、工会经费、职工教育经费、职工福利费及特殊情况下支付的工资等；</w:t>
      </w:r>
    </w:p>
    <w:p w14:paraId="4BDE5E6F">
      <w:pPr>
        <w:pStyle w:val="43"/>
        <w:spacing w:before="156"/>
        <w:rPr>
          <w:rFonts w:hAnsi="仿宋_GB2312" w:cs="仿宋_GB2312"/>
          <w:strike w:val="0"/>
          <w:color w:val="auto"/>
          <w:highlight w:val="none"/>
        </w:rPr>
      </w:pPr>
      <w:r>
        <w:rPr>
          <w:rFonts w:hint="eastAsia" w:hAnsi="仿宋_GB2312" w:cs="仿宋_GB2312"/>
          <w:strike w:val="0"/>
          <w:color w:val="auto"/>
          <w:highlight w:val="none"/>
        </w:rPr>
        <w:t>2、材料费：指工程施工过程中耗费的的各种原材料、半成品、构配件的费用,包括材料原价、运杂费、运输损耗费和采购及保管费等；</w:t>
      </w:r>
    </w:p>
    <w:p w14:paraId="0CE2DFBB">
      <w:pPr>
        <w:pStyle w:val="43"/>
        <w:spacing w:before="156"/>
        <w:rPr>
          <w:rFonts w:hAnsi="仿宋_GB2312" w:cs="仿宋_GB2312"/>
          <w:strike w:val="0"/>
          <w:color w:val="auto"/>
          <w:highlight w:val="none"/>
        </w:rPr>
      </w:pPr>
      <w:r>
        <w:rPr>
          <w:rFonts w:hint="eastAsia" w:hAnsi="仿宋_GB2312" w:cs="仿宋_GB2312"/>
          <w:strike w:val="0"/>
          <w:color w:val="auto"/>
          <w:highlight w:val="none"/>
        </w:rPr>
        <w:t>3、施工机具费：指施工作业所发生的施工机械使用费和施工仪器仪表使用费等；</w:t>
      </w:r>
    </w:p>
    <w:p w14:paraId="1DDAA2F3">
      <w:pPr>
        <w:pStyle w:val="43"/>
        <w:spacing w:before="156"/>
        <w:rPr>
          <w:strike w:val="0"/>
          <w:color w:val="auto"/>
          <w:highlight w:val="none"/>
        </w:rPr>
      </w:pPr>
      <w:r>
        <w:rPr>
          <w:rFonts w:hint="eastAsia"/>
          <w:strike w:val="0"/>
          <w:color w:val="auto"/>
          <w:highlight w:val="none"/>
        </w:rPr>
        <w:t>4、管理费：包括管理人员薪酬</w:t>
      </w:r>
      <w:r>
        <w:rPr>
          <w:rFonts w:hint="eastAsia"/>
          <w:strike w:val="0"/>
          <w:color w:val="auto"/>
          <w:highlight w:val="none"/>
          <w:lang w:eastAsia="zh-CN"/>
        </w:rPr>
        <w:t>（</w:t>
      </w:r>
      <w:r>
        <w:rPr>
          <w:rFonts w:hint="eastAsia"/>
          <w:strike w:val="0"/>
          <w:color w:val="auto"/>
          <w:highlight w:val="none"/>
          <w:lang w:val="en-US" w:eastAsia="zh-CN"/>
        </w:rPr>
        <w:t>含社会保险费和住房公积金</w:t>
      </w:r>
      <w:r>
        <w:rPr>
          <w:rFonts w:hint="eastAsia"/>
          <w:strike w:val="0"/>
          <w:color w:val="auto"/>
          <w:highlight w:val="none"/>
          <w:lang w:eastAsia="zh-CN"/>
        </w:rPr>
        <w:t>）</w:t>
      </w:r>
      <w:r>
        <w:rPr>
          <w:rFonts w:hint="eastAsia"/>
          <w:strike w:val="0"/>
          <w:color w:val="auto"/>
          <w:highlight w:val="none"/>
        </w:rPr>
        <w:t>、办公费、差旅交通费、施工单位进退场费、非生产性固定资产使用费、工具用具使用费、劳动保护费、财务费、税金（指企业按规定缴纳的房产税、非生产性车船使用税、土地使用税、印花税、消费税、资源税、环境保护税、城市维护建设税、教育费附加及地方教育费附加等各项税费）、其他管理性费用（包括技术转让费、技术开发费、投标费、业务招待费、绿化费、广告费、公证费、法律顾问费、审计费、咨询费、保险费、劳动力招募费、企业定额编制费、远程视频监控费、信息化购置运维费、采购材料的自检费用等）；</w:t>
      </w:r>
    </w:p>
    <w:p w14:paraId="410FE2CA">
      <w:pPr>
        <w:pStyle w:val="43"/>
        <w:spacing w:before="156"/>
        <w:rPr>
          <w:strike w:val="0"/>
          <w:color w:val="auto"/>
          <w:highlight w:val="none"/>
        </w:rPr>
      </w:pPr>
      <w:r>
        <w:rPr>
          <w:rFonts w:hint="eastAsia"/>
          <w:strike w:val="0"/>
          <w:color w:val="auto"/>
          <w:highlight w:val="none"/>
        </w:rPr>
        <w:t>5、利润：指承包人完成合同工程获得的盈利；</w:t>
      </w:r>
    </w:p>
    <w:p w14:paraId="1820CF42">
      <w:pPr>
        <w:pStyle w:val="43"/>
        <w:spacing w:before="156"/>
        <w:rPr>
          <w:strike w:val="0"/>
          <w:color w:val="auto"/>
          <w:highlight w:val="none"/>
        </w:rPr>
      </w:pPr>
      <w:r>
        <w:rPr>
          <w:rFonts w:hint="eastAsia"/>
          <w:strike w:val="0"/>
          <w:color w:val="auto"/>
          <w:highlight w:val="none"/>
        </w:rPr>
        <w:t>6、税金：指国家税法规定的应计入建筑安装工程价内的增值税销项税额。</w:t>
      </w:r>
    </w:p>
    <w:p w14:paraId="53A7C0EF">
      <w:pPr>
        <w:pStyle w:val="43"/>
        <w:spacing w:before="156"/>
        <w:rPr>
          <w:rFonts w:hint="eastAsia" w:hAnsi="仿宋_GB2312" w:cs="仿宋_GB2312"/>
          <w:strike w:val="0"/>
          <w:color w:val="auto"/>
          <w:highlight w:val="none"/>
          <w:u w:val="none"/>
          <w:lang w:eastAsia="zh-CN"/>
        </w:rPr>
      </w:pPr>
      <w:r>
        <w:rPr>
          <w:rFonts w:hint="eastAsia" w:hAnsi="仿宋_GB2312" w:cs="仿宋_GB2312"/>
          <w:strike w:val="0"/>
          <w:color w:val="auto"/>
          <w:highlight w:val="none"/>
          <w:u w:val="none"/>
        </w:rPr>
        <w:t>综合单价包含完成符合完工交付要求的相应清单项目必要的施工任务及其不可或缺的辅助工作所需的费用</w:t>
      </w:r>
      <w:r>
        <w:rPr>
          <w:rFonts w:hint="eastAsia" w:hAnsi="仿宋_GB2312" w:cs="仿宋_GB2312"/>
          <w:strike w:val="0"/>
          <w:color w:val="auto"/>
          <w:highlight w:val="none"/>
          <w:u w:val="none"/>
          <w:lang w:eastAsia="zh-CN"/>
        </w:rPr>
        <w:t>（</w:t>
      </w:r>
      <w:r>
        <w:rPr>
          <w:rFonts w:hint="eastAsia" w:hAnsi="仿宋_GB2312" w:cs="仿宋_GB2312"/>
          <w:strike w:val="0"/>
          <w:color w:val="auto"/>
          <w:highlight w:val="none"/>
          <w:u w:val="none"/>
          <w:lang w:val="en-US" w:eastAsia="zh-CN"/>
        </w:rPr>
        <w:t>包含但不限于：</w:t>
      </w:r>
      <w:r>
        <w:rPr>
          <w:rFonts w:hint="eastAsia" w:hAnsi="仿宋_GB2312" w:cs="仿宋_GB2312"/>
          <w:strike w:val="0"/>
          <w:color w:val="auto"/>
          <w:highlight w:val="none"/>
          <w:u w:val="none"/>
        </w:rPr>
        <w:t>合同工期与投标工期、定额工期、类似工程工期差异引起费用的变化，受施工程序、施工条件、环境气候等因素影响引起施工降效的费用，合同约定由承包人承担的一定范围内的物价波动以及其他合同约定范围与幅度内的风险费用等</w:t>
      </w:r>
      <w:r>
        <w:rPr>
          <w:rFonts w:hint="eastAsia" w:hAnsi="仿宋_GB2312" w:cs="仿宋_GB2312"/>
          <w:strike w:val="0"/>
          <w:color w:val="auto"/>
          <w:highlight w:val="none"/>
          <w:u w:val="none"/>
          <w:lang w:eastAsia="zh-CN"/>
        </w:rPr>
        <w:t>）。</w:t>
      </w:r>
    </w:p>
    <w:p w14:paraId="3729F4FA">
      <w:pPr>
        <w:pStyle w:val="43"/>
        <w:spacing w:before="156"/>
        <w:rPr>
          <w:rFonts w:hint="default" w:hAnsi="仿宋_GB2312" w:eastAsia="仿宋_GB2312" w:cs="仿宋_GB2312"/>
          <w:strike/>
          <w:color w:val="auto"/>
          <w:lang w:val="en-US" w:eastAsia="zh-CN"/>
        </w:rPr>
      </w:pPr>
      <w:r>
        <w:rPr>
          <w:rFonts w:hint="eastAsia" w:hAnsi="仿宋_GB2312" w:cs="仿宋_GB2312"/>
          <w:strike w:val="0"/>
          <w:color w:val="auto"/>
          <w:highlight w:val="none"/>
          <w:u w:val="none"/>
          <w:lang w:val="en-US" w:eastAsia="zh-CN"/>
        </w:rPr>
        <w:t>综合单价</w:t>
      </w:r>
      <w:r>
        <w:rPr>
          <w:rFonts w:hint="eastAsia" w:hAnsi="仿宋_GB2312" w:cs="仿宋_GB2312"/>
          <w:strike w:val="0"/>
          <w:color w:val="auto"/>
          <w:highlight w:val="none"/>
          <w:u w:val="none"/>
        </w:rPr>
        <w:t>在合同执</w:t>
      </w:r>
      <w:r>
        <w:rPr>
          <w:rFonts w:hint="eastAsia" w:hAnsi="仿宋_GB2312" w:cs="仿宋_GB2312"/>
          <w:strike w:val="0"/>
          <w:color w:val="auto"/>
          <w:highlight w:val="none"/>
        </w:rPr>
        <w:t>行期间除了合同专用条款约定调整情形及“本说明”约定的不合理报价情形及工程量清单项目中工作内容存在部分未实施的情况下可根据合同约定进行调整外，其他因施工条件变化、人工材料设备机械等市场价格变化、政府造价管理部门发布的调价文件等因素引起的价格风险均含在综合单价中，不予调整。</w:t>
      </w:r>
    </w:p>
    <w:p w14:paraId="4B8B6EC4">
      <w:pPr>
        <w:pStyle w:val="43"/>
        <w:numPr>
          <w:ilvl w:val="0"/>
          <w:numId w:val="1"/>
        </w:numPr>
        <w:spacing w:before="156"/>
        <w:rPr>
          <w:rFonts w:hint="eastAsia" w:hAnsi="仿宋_GB2312" w:cs="仿宋_GB2312"/>
          <w:color w:val="auto"/>
          <w:lang w:eastAsia="zh-CN"/>
        </w:rPr>
      </w:pPr>
      <w:r>
        <w:rPr>
          <w:rFonts w:hint="eastAsia" w:hAnsi="仿宋_GB2312" w:cs="仿宋_GB2312"/>
          <w:color w:val="auto"/>
        </w:rPr>
        <w:t>工程投标报价由分部分项工程量清单报价、措施项目清单报价</w:t>
      </w:r>
      <w:r>
        <w:rPr>
          <w:rFonts w:hint="eastAsia" w:hAnsi="仿宋_GB2312" w:cs="仿宋_GB2312"/>
          <w:strike w:val="0"/>
          <w:color w:val="auto"/>
        </w:rPr>
        <w:t>和其他项目清单报价</w:t>
      </w:r>
      <w:r>
        <w:rPr>
          <w:rFonts w:hint="eastAsia" w:hAnsi="仿宋_GB2312" w:cs="仿宋_GB2312"/>
          <w:color w:val="auto"/>
          <w:highlight w:val="none"/>
        </w:rPr>
        <w:t>及</w:t>
      </w:r>
      <w:r>
        <w:rPr>
          <w:rFonts w:hint="eastAsia" w:hAnsi="仿宋_GB2312" w:cs="仿宋_GB2312"/>
          <w:color w:val="auto"/>
          <w:highlight w:val="none"/>
          <w:lang w:val="en-US" w:eastAsia="zh-CN"/>
        </w:rPr>
        <w:t>增值税</w:t>
      </w:r>
      <w:r>
        <w:rPr>
          <w:rFonts w:hint="eastAsia" w:hAnsi="仿宋_GB2312" w:cs="仿宋_GB2312"/>
          <w:color w:val="auto"/>
          <w:highlight w:val="none"/>
        </w:rPr>
        <w:t>等部</w:t>
      </w:r>
      <w:r>
        <w:rPr>
          <w:rFonts w:hint="eastAsia" w:hAnsi="仿宋_GB2312" w:cs="仿宋_GB2312"/>
          <w:color w:val="auto"/>
        </w:rPr>
        <w:t>分组成。工程投标报价指承包人按照本合同约定范围、图纸内容及承包方式实行工程施工总承包，完成合同约定的工作、义务及为实现合同约定的工期、质量目标、职业健康安全管理目标和环境管理目标增加投入与管理发生的相关费用。报价应充分考虑工程施工管理、施工组织设计及施工方案涉及的内容，充分考虑安全生产、文明施工所需的一切费用，不得与工程施工管理和施工组织脱节</w:t>
      </w:r>
      <w:r>
        <w:rPr>
          <w:rFonts w:hint="eastAsia" w:hAnsi="仿宋_GB2312" w:cs="仿宋_GB2312"/>
          <w:color w:val="auto"/>
          <w:lang w:eastAsia="zh-CN"/>
        </w:rPr>
        <w:t>。</w:t>
      </w:r>
    </w:p>
    <w:p w14:paraId="56D5BA89">
      <w:pPr>
        <w:pStyle w:val="43"/>
        <w:numPr>
          <w:ilvl w:val="-1"/>
          <w:numId w:val="0"/>
        </w:numPr>
        <w:spacing w:before="156"/>
        <w:ind w:firstLine="536" w:firstLineChars="200"/>
        <w:rPr>
          <w:rFonts w:hint="default" w:hAnsi="仿宋_GB2312" w:cs="仿宋_GB2312"/>
          <w:color w:val="auto"/>
          <w:highlight w:val="none"/>
          <w:lang w:val="en-US" w:eastAsia="zh-CN"/>
        </w:rPr>
      </w:pPr>
      <w:r>
        <w:rPr>
          <w:rFonts w:hint="eastAsia" w:hAnsi="仿宋_GB2312" w:cs="仿宋_GB2312"/>
          <w:color w:val="auto"/>
          <w:highlight w:val="none"/>
          <w:lang w:val="en-US" w:eastAsia="zh-CN"/>
        </w:rPr>
        <w:t>发现投标报价存在报价漏报或者未报的，招标人可要求投标人补充报价。但投标人的补充报价不计入投标总价，视为已含在投标总价中。招标人认为补充报价不合理的，可要求投标人进行澄清或说明，并对不合理的补充报价进行修正。投标报价的澄清或说明不能改变投标总价，修正后的综合单价及其合价仅适用于进度款计算和工程变更等合同价款调整计价的依据。</w:t>
      </w:r>
    </w:p>
    <w:p w14:paraId="09A7BA4E">
      <w:pPr>
        <w:pStyle w:val="43"/>
        <w:numPr>
          <w:ilvl w:val="-1"/>
          <w:numId w:val="0"/>
        </w:numPr>
        <w:spacing w:before="156"/>
        <w:ind w:firstLine="536" w:firstLineChars="200"/>
        <w:rPr>
          <w:rFonts w:hAnsi="仿宋_GB2312" w:cs="仿宋_GB2312"/>
          <w:color w:val="auto"/>
        </w:rPr>
      </w:pPr>
      <w:r>
        <w:rPr>
          <w:rFonts w:hint="eastAsia" w:hAnsi="仿宋_GB2312" w:cs="仿宋_GB2312"/>
          <w:color w:val="auto"/>
        </w:rPr>
        <w:t>中标后经审批的施工组织设计和施工方案仅对施工技术的可行性进行审批，相关费用包含在投标报价中，不予调整。</w:t>
      </w:r>
    </w:p>
    <w:p w14:paraId="6A926211">
      <w:pPr>
        <w:pStyle w:val="43"/>
        <w:spacing w:before="156"/>
        <w:rPr>
          <w:color w:val="auto"/>
          <w:highlight w:val="none"/>
        </w:rPr>
      </w:pPr>
      <w:r>
        <w:rPr>
          <w:rFonts w:hint="eastAsia"/>
          <w:color w:val="auto"/>
          <w:highlight w:val="none"/>
        </w:rPr>
        <w:t>四</w:t>
      </w:r>
      <w:r>
        <w:rPr>
          <w:rFonts w:hint="eastAsia"/>
          <w:color w:val="auto"/>
          <w:highlight w:val="none"/>
          <w:lang w:eastAsia="zh-CN"/>
        </w:rPr>
        <w:t>、</w:t>
      </w:r>
      <w:r>
        <w:rPr>
          <w:rFonts w:hint="eastAsia" w:hAnsi="仿宋_GB2312" w:cs="仿宋_GB2312"/>
          <w:color w:val="auto"/>
          <w:highlight w:val="none"/>
        </w:rPr>
        <w:t>招标工程量清单中【项目特征】的描述</w:t>
      </w:r>
      <w:r>
        <w:rPr>
          <w:rFonts w:hint="eastAsia" w:hAnsi="仿宋_GB2312" w:cs="仿宋_GB2312"/>
          <w:color w:val="auto"/>
          <w:highlight w:val="none"/>
          <w:lang w:eastAsia="zh-CN"/>
        </w:rPr>
        <w:t>、</w:t>
      </w:r>
      <w:r>
        <w:rPr>
          <w:rFonts w:hint="eastAsia" w:hAnsi="仿宋_GB2312" w:cs="仿宋_GB2312"/>
          <w:color w:val="auto"/>
          <w:highlight w:val="none"/>
        </w:rPr>
        <w:t>招标工程量清单中的清单项目在本计价说明里无具体约定的，承包人应在该项清单报价中考虑其本体及其附件供应及安装、调试、试运行等满足设计图纸（含深化设计及深化设计调整内容）和施工规范要求（包括技术需求书和系统功能、使用要求）而进行、完成和维护这项工程的一切相关费用。</w:t>
      </w:r>
    </w:p>
    <w:p w14:paraId="1C1D0E6F">
      <w:pPr>
        <w:pStyle w:val="43"/>
        <w:spacing w:before="156"/>
        <w:rPr>
          <w:strike w:val="0"/>
          <w:color w:val="auto"/>
          <w:highlight w:val="none"/>
        </w:rPr>
      </w:pPr>
      <w:r>
        <w:rPr>
          <w:rFonts w:hint="eastAsia"/>
          <w:strike w:val="0"/>
          <w:color w:val="auto"/>
          <w:highlight w:val="none"/>
        </w:rPr>
        <w:t>五、</w:t>
      </w:r>
      <w:r>
        <w:rPr>
          <w:rFonts w:hint="eastAsia" w:hAnsi="仿宋_GB2312" w:cs="仿宋_GB2312"/>
          <w:strike w:val="0"/>
          <w:color w:val="auto"/>
          <w:highlight w:val="none"/>
        </w:rPr>
        <w:t>工程量报价清单内的每一清单项目均需填报综合单价和合价,对没有填报或填报为“0”的项目,则视为该项费用含在</w:t>
      </w:r>
      <w:r>
        <w:rPr>
          <w:rFonts w:hint="eastAsia" w:hAnsi="仿宋_GB2312" w:cs="仿宋_GB2312"/>
          <w:strike w:val="0"/>
          <w:color w:val="auto"/>
          <w:kern w:val="0"/>
          <w:highlight w:val="none"/>
        </w:rPr>
        <w:t>已</w:t>
      </w:r>
      <w:r>
        <w:rPr>
          <w:rFonts w:hint="eastAsia" w:hAnsi="仿宋_GB2312" w:cs="仿宋_GB2312"/>
          <w:strike w:val="0"/>
          <w:color w:val="auto"/>
          <w:highlight w:val="none"/>
        </w:rPr>
        <w:t>报价项目的综合单价和合价中。</w:t>
      </w:r>
    </w:p>
    <w:p w14:paraId="43FED725">
      <w:pPr>
        <w:pStyle w:val="43"/>
        <w:spacing w:before="156"/>
        <w:rPr>
          <w:rFonts w:hint="eastAsia"/>
          <w:color w:val="auto"/>
          <w:highlight w:val="none"/>
        </w:rPr>
      </w:pPr>
      <w:r>
        <w:rPr>
          <w:rFonts w:hint="eastAsia"/>
          <w:color w:val="auto"/>
          <w:highlight w:val="none"/>
        </w:rPr>
        <w:t>六、</w:t>
      </w:r>
      <w:bookmarkStart w:id="19" w:name="OLE_LINK2"/>
      <w:r>
        <w:rPr>
          <w:rFonts w:hint="eastAsia"/>
          <w:color w:val="auto"/>
          <w:highlight w:val="none"/>
          <w:lang w:val="en-US" w:eastAsia="zh-CN"/>
        </w:rPr>
        <w:t>本工程</w:t>
      </w:r>
      <w:r>
        <w:rPr>
          <w:rFonts w:hint="eastAsia"/>
          <w:color w:val="auto"/>
          <w:highlight w:val="none"/>
        </w:rPr>
        <w:t>采用</w:t>
      </w:r>
      <w:r>
        <w:rPr>
          <w:rFonts w:hint="eastAsia"/>
          <w:color w:val="auto"/>
          <w:highlight w:val="none"/>
          <w:lang w:val="en-US" w:eastAsia="zh-CN"/>
        </w:rPr>
        <w:t>固定总价包干</w:t>
      </w:r>
      <w:r>
        <w:rPr>
          <w:rFonts w:hint="eastAsia"/>
          <w:color w:val="auto"/>
          <w:highlight w:val="none"/>
        </w:rPr>
        <w:t>，</w:t>
      </w:r>
      <w:r>
        <w:rPr>
          <w:rFonts w:hint="eastAsia"/>
          <w:color w:val="auto"/>
          <w:highlight w:val="none"/>
          <w:lang w:val="en-US" w:eastAsia="zh-CN"/>
        </w:rPr>
        <w:t>投标人</w:t>
      </w:r>
      <w:r>
        <w:rPr>
          <w:rFonts w:hint="eastAsia"/>
          <w:color w:val="auto"/>
          <w:highlight w:val="none"/>
        </w:rPr>
        <w:t>应在接收招标文件后，在规定时间内对招标工程量清单进行复核。如</w:t>
      </w:r>
      <w:r>
        <w:rPr>
          <w:rFonts w:hint="eastAsia"/>
          <w:color w:val="auto"/>
          <w:highlight w:val="none"/>
          <w:lang w:val="en-US" w:eastAsia="zh-CN"/>
        </w:rPr>
        <w:t>投标人</w:t>
      </w:r>
      <w:r>
        <w:rPr>
          <w:rFonts w:hint="eastAsia"/>
          <w:color w:val="auto"/>
          <w:highlight w:val="none"/>
        </w:rPr>
        <w:t>对工程项目清单有疑问或异议的，应按招标文件的规定</w:t>
      </w:r>
      <w:r>
        <w:rPr>
          <w:rFonts w:hint="eastAsia"/>
          <w:color w:val="auto"/>
          <w:highlight w:val="none"/>
          <w:lang w:val="en-US" w:eastAsia="zh-CN"/>
        </w:rPr>
        <w:t>时间内</w:t>
      </w:r>
      <w:r>
        <w:rPr>
          <w:rFonts w:hint="eastAsia"/>
          <w:color w:val="auto"/>
          <w:highlight w:val="none"/>
        </w:rPr>
        <w:t>以书面形式提请招标人澄清，</w:t>
      </w:r>
      <w:r>
        <w:rPr>
          <w:rFonts w:hint="eastAsia" w:hAnsi="仿宋_GB2312" w:cs="仿宋_GB2312"/>
          <w:color w:val="auto"/>
          <w:highlight w:val="none"/>
        </w:rPr>
        <w:t>在招投标阶段经招标人以答疑纪要方式确认后修订清单</w:t>
      </w:r>
      <w:r>
        <w:rPr>
          <w:rFonts w:hint="eastAsia"/>
          <w:color w:val="auto"/>
          <w:highlight w:val="none"/>
        </w:rPr>
        <w:t>，</w:t>
      </w:r>
      <w:r>
        <w:rPr>
          <w:rFonts w:hint="eastAsia"/>
          <w:color w:val="auto"/>
          <w:highlight w:val="none"/>
          <w:lang w:val="en-US" w:eastAsia="zh-CN"/>
        </w:rPr>
        <w:t>投标人</w:t>
      </w:r>
      <w:r>
        <w:rPr>
          <w:rFonts w:hint="eastAsia"/>
          <w:color w:val="auto"/>
          <w:highlight w:val="none"/>
        </w:rPr>
        <w:t>应按修正后的工程量清单进行报价。</w:t>
      </w:r>
      <w:r>
        <w:rPr>
          <w:rFonts w:hint="eastAsia" w:hAnsi="仿宋_GB2312" w:cs="仿宋_GB2312"/>
          <w:color w:val="auto"/>
          <w:highlight w:val="none"/>
        </w:rPr>
        <w:t>招标图纸及招标文件中明确的相关内容，投标人招标答疑时未提出或虽然提出但招标人未修订清单的，视为该项费用含在</w:t>
      </w:r>
      <w:r>
        <w:rPr>
          <w:rFonts w:hint="eastAsia" w:hAnsi="仿宋_GB2312" w:cs="仿宋_GB2312"/>
          <w:color w:val="auto"/>
          <w:kern w:val="0"/>
          <w:highlight w:val="none"/>
        </w:rPr>
        <w:t>投标报价中</w:t>
      </w:r>
      <w:r>
        <w:rPr>
          <w:rFonts w:hint="eastAsia" w:hAnsi="仿宋_GB2312" w:cs="仿宋_GB2312"/>
          <w:color w:val="auto"/>
          <w:highlight w:val="none"/>
        </w:rPr>
        <w:t>。</w:t>
      </w:r>
      <w:r>
        <w:rPr>
          <w:rFonts w:hint="eastAsia"/>
          <w:color w:val="auto"/>
          <w:highlight w:val="none"/>
        </w:rPr>
        <w:t>无论</w:t>
      </w:r>
      <w:r>
        <w:rPr>
          <w:rFonts w:hint="eastAsia"/>
          <w:color w:val="auto"/>
          <w:highlight w:val="none"/>
          <w:lang w:val="en-US" w:eastAsia="zh-CN"/>
        </w:rPr>
        <w:t>投标人</w:t>
      </w:r>
      <w:r>
        <w:rPr>
          <w:rFonts w:hint="eastAsia"/>
          <w:color w:val="auto"/>
          <w:highlight w:val="none"/>
        </w:rPr>
        <w:t>是否已提出疑问、异议或按已修正后的工程量清单报价，除招标工程量清单说明为暂定数量的单价计价分部分项工程项目清单外，合同价格不应因存在工程量清单缺陷而调整。</w:t>
      </w:r>
    </w:p>
    <w:bookmarkEnd w:id="19"/>
    <w:p w14:paraId="27ED1637">
      <w:pPr>
        <w:pStyle w:val="43"/>
        <w:spacing w:before="156"/>
        <w:rPr>
          <w:rFonts w:hint="eastAsia"/>
          <w:color w:val="auto"/>
          <w:highlight w:val="none"/>
        </w:rPr>
      </w:pPr>
      <w:r>
        <w:rPr>
          <w:rFonts w:hint="eastAsia"/>
          <w:color w:val="auto"/>
          <w:highlight w:val="none"/>
        </w:rPr>
        <w:t>七、</w:t>
      </w:r>
      <w:r>
        <w:rPr>
          <w:rFonts w:hint="eastAsia" w:hAnsi="仿宋_GB2312" w:cs="仿宋_GB2312"/>
          <w:color w:val="auto"/>
        </w:rPr>
        <w:t>完成建设工程：</w:t>
      </w:r>
      <w:r>
        <w:rPr>
          <w:rFonts w:hint="eastAsia"/>
          <w:color w:val="auto"/>
          <w:highlight w:val="none"/>
        </w:rPr>
        <w:t>工程质量验收、档案验收</w:t>
      </w:r>
      <w:r>
        <w:rPr>
          <w:rFonts w:hint="eastAsia" w:hAnsi="仿宋_GB2312" w:cs="仿宋_GB2312"/>
          <w:color w:val="auto"/>
        </w:rPr>
        <w:t>等的费用均含在</w:t>
      </w:r>
      <w:r>
        <w:rPr>
          <w:rFonts w:hint="eastAsia" w:hAnsi="仿宋_GB2312" w:cs="仿宋_GB2312"/>
          <w:color w:val="auto"/>
          <w:kern w:val="0"/>
        </w:rPr>
        <w:t>投标报价中</w:t>
      </w:r>
      <w:r>
        <w:rPr>
          <w:rFonts w:hint="eastAsia"/>
          <w:color w:val="auto"/>
          <w:highlight w:val="none"/>
        </w:rPr>
        <w:t>。</w:t>
      </w:r>
    </w:p>
    <w:p w14:paraId="2D3C0AF0">
      <w:pPr>
        <w:pStyle w:val="43"/>
        <w:spacing w:before="156"/>
        <w:rPr>
          <w:color w:val="auto"/>
          <w:highlight w:val="none"/>
        </w:rPr>
      </w:pPr>
      <w:r>
        <w:rPr>
          <w:rFonts w:hint="eastAsia"/>
          <w:color w:val="auto"/>
          <w:highlight w:val="none"/>
        </w:rPr>
        <w:t>八、投标人所报的综合单价中材料及设备价格均为到工地结算价，即包含材料设备采购价、运杂费及运输损耗、仓储保管费、装卸费、吊装费及场内多次转运费等一切费用。</w:t>
      </w:r>
    </w:p>
    <w:p w14:paraId="4F1FD15A">
      <w:pPr>
        <w:pStyle w:val="43"/>
        <w:spacing w:before="156"/>
        <w:rPr>
          <w:rFonts w:hint="eastAsia" w:hAnsi="仿宋_GB2312" w:cs="仿宋_GB2312"/>
          <w:color w:val="auto"/>
        </w:rPr>
      </w:pPr>
      <w:r>
        <w:rPr>
          <w:rFonts w:hint="eastAsia"/>
          <w:color w:val="auto"/>
          <w:highlight w:val="none"/>
          <w:lang w:val="en-US" w:eastAsia="zh-CN"/>
        </w:rPr>
        <w:t>九</w:t>
      </w:r>
      <w:r>
        <w:rPr>
          <w:rFonts w:hint="eastAsia"/>
          <w:color w:val="auto"/>
          <w:highlight w:val="none"/>
        </w:rPr>
        <w:t>、</w:t>
      </w:r>
      <w:r>
        <w:rPr>
          <w:rFonts w:hint="eastAsia" w:hAnsi="仿宋_GB2312" w:cs="仿宋_GB2312"/>
          <w:color w:val="auto"/>
          <w:kern w:val="0"/>
        </w:rPr>
        <w:t>承包人</w:t>
      </w:r>
      <w:r>
        <w:rPr>
          <w:rFonts w:hint="eastAsia" w:hAnsi="仿宋_GB2312" w:cs="仿宋_GB2312"/>
          <w:color w:val="auto"/>
        </w:rPr>
        <w:t>应负责对乙供材料设备进行质量和数量验收、垂直运输、保管、安装、验收等工作。乙供材料设备的用料计划由承包人编制，并由其对用料计划的准确性、及时性负责。</w:t>
      </w:r>
    </w:p>
    <w:p w14:paraId="57A50B88">
      <w:pPr>
        <w:pStyle w:val="43"/>
        <w:spacing w:before="156"/>
        <w:rPr>
          <w:rFonts w:hAnsi="仿宋_GB2312" w:cs="仿宋_GB2312"/>
          <w:b/>
          <w:color w:val="auto"/>
        </w:rPr>
      </w:pPr>
      <w:r>
        <w:rPr>
          <w:rFonts w:hint="eastAsia"/>
          <w:color w:val="auto"/>
          <w:highlight w:val="none"/>
        </w:rPr>
        <w:t>十、</w:t>
      </w:r>
      <w:r>
        <w:rPr>
          <w:rFonts w:hint="eastAsia" w:hAnsi="仿宋_GB2312" w:cs="仿宋_GB2312"/>
          <w:color w:val="auto"/>
        </w:rPr>
        <w:t>投标人填报工程量清单时须</w:t>
      </w:r>
      <w:r>
        <w:rPr>
          <w:rFonts w:hint="eastAsia" w:hAnsi="仿宋_GB2312" w:cs="仿宋_GB2312"/>
          <w:strike w:val="0"/>
          <w:color w:val="auto"/>
          <w:highlight w:val="none"/>
        </w:rPr>
        <w:t>按发包人提供的</w:t>
      </w:r>
      <w:r>
        <w:rPr>
          <w:rFonts w:hint="eastAsia" w:hAnsi="仿宋_GB2312" w:cs="仿宋_GB2312"/>
          <w:strike w:val="0"/>
          <w:color w:val="auto"/>
          <w:highlight w:val="none"/>
          <w:lang w:val="en-US" w:eastAsia="zh-CN"/>
        </w:rPr>
        <w:t>工程量清单</w:t>
      </w:r>
      <w:r>
        <w:rPr>
          <w:rFonts w:hint="eastAsia" w:hAnsi="仿宋_GB2312" w:cs="仿宋_GB2312"/>
          <w:strike w:val="0"/>
          <w:color w:val="auto"/>
          <w:highlight w:val="none"/>
        </w:rPr>
        <w:t>，不得增减（发包人答疑澄清除外）,</w:t>
      </w:r>
      <w:r>
        <w:rPr>
          <w:rFonts w:hint="eastAsia" w:hAnsi="仿宋_GB2312" w:cs="仿宋_GB2312"/>
          <w:color w:val="auto"/>
        </w:rPr>
        <w:t>并严格按工程量清单中项目顺序填写单价、合价,不得改动报价顺序。如有改动，由此造成的责任及后果由投标人自行承担。工程量清单中的专业工程暂估价及暂列金需按照招标清单提供的金额填报，投标人不得修改</w:t>
      </w:r>
      <w:r>
        <w:rPr>
          <w:rFonts w:hint="eastAsia" w:hAnsi="仿宋_GB2312" w:cs="仿宋_GB2312"/>
          <w:bCs w:val="0"/>
          <w:color w:val="auto"/>
        </w:rPr>
        <w:t>。</w:t>
      </w:r>
    </w:p>
    <w:p w14:paraId="1D926A9C">
      <w:pPr>
        <w:pStyle w:val="43"/>
        <w:spacing w:before="156"/>
        <w:rPr>
          <w:color w:val="auto"/>
          <w:highlight w:val="none"/>
        </w:rPr>
      </w:pPr>
      <w:r>
        <w:rPr>
          <w:rFonts w:hint="eastAsia"/>
          <w:color w:val="auto"/>
          <w:highlight w:val="none"/>
        </w:rPr>
        <w:t>十</w:t>
      </w:r>
      <w:r>
        <w:rPr>
          <w:rFonts w:hint="eastAsia"/>
          <w:color w:val="auto"/>
          <w:highlight w:val="none"/>
          <w:lang w:val="en-US" w:eastAsia="zh-CN"/>
        </w:rPr>
        <w:t>一</w:t>
      </w:r>
      <w:r>
        <w:rPr>
          <w:rFonts w:hint="eastAsia"/>
          <w:color w:val="auto"/>
          <w:highlight w:val="none"/>
        </w:rPr>
        <w:t>、</w:t>
      </w:r>
      <w:r>
        <w:rPr>
          <w:rFonts w:hint="eastAsia" w:hAnsi="仿宋_GB2312" w:cs="仿宋_GB2312"/>
          <w:color w:val="auto"/>
        </w:rPr>
        <w:t>投标人所提供的电子文件必须能转换成EXCEL文件</w:t>
      </w:r>
      <w:r>
        <w:rPr>
          <w:rFonts w:hint="eastAsia" w:hAnsi="仿宋_GB2312" w:cs="仿宋_GB2312"/>
          <w:color w:val="auto"/>
          <w:lang w:val="en-US" w:eastAsia="zh-CN"/>
        </w:rPr>
        <w:t>及盖章版PDF清单文件</w:t>
      </w:r>
      <w:r>
        <w:rPr>
          <w:rFonts w:hint="eastAsia" w:hAnsi="仿宋_GB2312" w:cs="仿宋_GB2312"/>
          <w:color w:val="auto"/>
        </w:rPr>
        <w:t>，电子文件的内容必须按招标文件的要求格式填报，不得擅自调整格式及顺序(发包人答疑澄清除外)，同时电子文件内容必须与纸质投标文件正本内容一致。</w:t>
      </w:r>
    </w:p>
    <w:p w14:paraId="37F6F710">
      <w:pPr>
        <w:pStyle w:val="43"/>
        <w:spacing w:before="156"/>
        <w:rPr>
          <w:color w:val="auto"/>
          <w:highlight w:val="none"/>
        </w:rPr>
      </w:pPr>
      <w:r>
        <w:rPr>
          <w:rFonts w:hint="eastAsia"/>
          <w:color w:val="auto"/>
          <w:highlight w:val="none"/>
        </w:rPr>
        <w:t>十</w:t>
      </w:r>
      <w:r>
        <w:rPr>
          <w:rFonts w:hint="eastAsia"/>
          <w:color w:val="auto"/>
          <w:highlight w:val="none"/>
          <w:lang w:val="en-US" w:eastAsia="zh-CN"/>
        </w:rPr>
        <w:t>二</w:t>
      </w:r>
      <w:r>
        <w:rPr>
          <w:rFonts w:hint="eastAsia"/>
          <w:color w:val="auto"/>
          <w:highlight w:val="none"/>
        </w:rPr>
        <w:t>、所有报价的币种均为人民币；以“吨”为单位的，保留三位小数，第四位小数四舍五入；以“立方米”、“平方米”、“米”为单位，保留两位小数，第三位小数四舍五入；以“个”、“宗”为单位的，取整数；以“元”为单位的价格，保留两位小数，第三位小数四舍五入。</w:t>
      </w:r>
    </w:p>
    <w:p w14:paraId="798876BC">
      <w:pPr>
        <w:pStyle w:val="43"/>
        <w:spacing w:before="156"/>
        <w:rPr>
          <w:color w:val="auto"/>
          <w:highlight w:val="none"/>
        </w:rPr>
      </w:pPr>
      <w:r>
        <w:rPr>
          <w:rFonts w:hint="eastAsia"/>
          <w:color w:val="auto"/>
          <w:highlight w:val="none"/>
        </w:rPr>
        <w:t>十</w:t>
      </w:r>
      <w:r>
        <w:rPr>
          <w:rFonts w:hint="eastAsia"/>
          <w:color w:val="auto"/>
          <w:highlight w:val="none"/>
          <w:lang w:val="en-US" w:eastAsia="zh-CN"/>
        </w:rPr>
        <w:t>三</w:t>
      </w:r>
      <w:r>
        <w:rPr>
          <w:rFonts w:hint="eastAsia"/>
          <w:color w:val="auto"/>
          <w:highlight w:val="none"/>
        </w:rPr>
        <w:t>、</w:t>
      </w:r>
      <w:r>
        <w:rPr>
          <w:rFonts w:hint="eastAsia" w:hAnsi="仿宋_GB2312" w:cs="仿宋_GB2312"/>
          <w:color w:val="auto"/>
          <w:kern w:val="0"/>
        </w:rPr>
        <w:t>项目</w:t>
      </w:r>
      <w:r>
        <w:rPr>
          <w:rFonts w:hint="eastAsia" w:hAnsi="仿宋_GB2312" w:cs="仿宋_GB2312"/>
          <w:color w:val="auto"/>
        </w:rPr>
        <w:t>实施过程</w:t>
      </w:r>
      <w:r>
        <w:rPr>
          <w:rFonts w:hint="eastAsia" w:hAnsi="仿宋_GB2312" w:cs="仿宋_GB2312"/>
          <w:color w:val="auto"/>
          <w:kern w:val="0"/>
        </w:rPr>
        <w:t>中</w:t>
      </w:r>
      <w:r>
        <w:rPr>
          <w:rFonts w:hint="eastAsia" w:hAnsi="仿宋_GB2312" w:cs="仿宋_GB2312"/>
          <w:color w:val="auto"/>
        </w:rPr>
        <w:t>，由于</w:t>
      </w:r>
      <w:r>
        <w:rPr>
          <w:rFonts w:hint="eastAsia" w:hAnsi="仿宋_GB2312" w:cs="仿宋_GB2312"/>
          <w:color w:val="auto"/>
          <w:kern w:val="0"/>
        </w:rPr>
        <w:t>承包人</w:t>
      </w:r>
      <w:r>
        <w:rPr>
          <w:rFonts w:hint="eastAsia" w:hAnsi="仿宋_GB2312" w:cs="仿宋_GB2312"/>
          <w:color w:val="auto"/>
        </w:rPr>
        <w:t>原因引起的清单项目中包含的工程内容不能满足施工组织或验收要求的，</w:t>
      </w:r>
      <w:r>
        <w:rPr>
          <w:rFonts w:hint="eastAsia" w:hAnsi="仿宋_GB2312" w:cs="仿宋_GB2312"/>
          <w:color w:val="auto"/>
          <w:kern w:val="0"/>
        </w:rPr>
        <w:t>发包人</w:t>
      </w:r>
      <w:r>
        <w:rPr>
          <w:rFonts w:hint="eastAsia" w:hAnsi="仿宋_GB2312" w:cs="仿宋_GB2312"/>
          <w:color w:val="auto"/>
        </w:rPr>
        <w:t>可以要求承包人整改或另行委托队伍施工，所发生的费用不管是否超过合同中该项目的综合单价，其责任均由</w:t>
      </w:r>
      <w:r>
        <w:rPr>
          <w:rFonts w:hint="eastAsia" w:hAnsi="仿宋_GB2312" w:cs="仿宋_GB2312"/>
          <w:color w:val="auto"/>
          <w:kern w:val="0"/>
        </w:rPr>
        <w:t>承包人</w:t>
      </w:r>
      <w:r>
        <w:rPr>
          <w:rFonts w:hint="eastAsia" w:hAnsi="仿宋_GB2312" w:cs="仿宋_GB2312"/>
          <w:color w:val="auto"/>
        </w:rPr>
        <w:t>承担，此类事件的发生及扣除费用的多少均由发包人认定，</w:t>
      </w:r>
      <w:r>
        <w:rPr>
          <w:rFonts w:hint="eastAsia" w:hAnsi="仿宋_GB2312" w:cs="仿宋_GB2312"/>
          <w:color w:val="auto"/>
          <w:kern w:val="0"/>
        </w:rPr>
        <w:t>承包人</w:t>
      </w:r>
      <w:r>
        <w:rPr>
          <w:rFonts w:hint="eastAsia" w:hAnsi="仿宋_GB2312" w:cs="仿宋_GB2312"/>
          <w:color w:val="auto"/>
        </w:rPr>
        <w:t>须无条件服从。</w:t>
      </w:r>
    </w:p>
    <w:p w14:paraId="25EE1CA6">
      <w:pPr>
        <w:pStyle w:val="43"/>
        <w:spacing w:before="156"/>
        <w:rPr>
          <w:rFonts w:hint="eastAsia" w:hAnsi="仿宋_GB2312" w:cs="仿宋_GB2312"/>
          <w:color w:val="auto"/>
        </w:rPr>
      </w:pPr>
      <w:r>
        <w:rPr>
          <w:rFonts w:hint="eastAsia"/>
          <w:color w:val="auto"/>
          <w:highlight w:val="none"/>
        </w:rPr>
        <w:t>十</w:t>
      </w:r>
      <w:r>
        <w:rPr>
          <w:rFonts w:hint="eastAsia"/>
          <w:color w:val="auto"/>
          <w:highlight w:val="none"/>
          <w:lang w:val="en-US" w:eastAsia="zh-CN"/>
        </w:rPr>
        <w:t>四</w:t>
      </w:r>
      <w:r>
        <w:rPr>
          <w:rFonts w:hint="eastAsia"/>
          <w:color w:val="auto"/>
          <w:highlight w:val="none"/>
        </w:rPr>
        <w:t>、投标报价算术性校核修正及不合理报价的处理</w:t>
      </w:r>
    </w:p>
    <w:p w14:paraId="2F80FFBC">
      <w:pPr>
        <w:pStyle w:val="43"/>
        <w:spacing w:before="156"/>
        <w:rPr>
          <w:rFonts w:hint="eastAsia" w:hAnsi="仿宋_GB2312" w:cs="仿宋_GB2312"/>
          <w:color w:val="auto"/>
          <w:lang w:val="en-US" w:eastAsia="zh-CN"/>
        </w:rPr>
      </w:pPr>
      <w:r>
        <w:rPr>
          <w:rFonts w:hint="eastAsia" w:hAnsi="仿宋_GB2312" w:cs="仿宋_GB2312"/>
          <w:color w:val="auto"/>
          <w:lang w:val="en-US" w:eastAsia="zh-CN"/>
        </w:rPr>
        <w:t>经济标投标报价文件算术性错误、措施项目和其他清单项目总价不合理报价与分部分项工程量清单不合理报价同时存在的情形时，先修正投标报价算术性错误后修正措施项目和其他清单项目、最后修正分部分项工程量清单报价。</w:t>
      </w:r>
    </w:p>
    <w:p w14:paraId="16036702">
      <w:pPr>
        <w:pStyle w:val="43"/>
        <w:spacing w:before="156"/>
        <w:rPr>
          <w:rFonts w:hint="eastAsia" w:hAnsi="仿宋_GB2312" w:cs="仿宋_GB2312"/>
          <w:color w:val="auto"/>
          <w:lang w:val="en-US" w:eastAsia="zh-CN"/>
        </w:rPr>
      </w:pPr>
      <w:r>
        <w:rPr>
          <w:rFonts w:hint="eastAsia" w:hAnsi="仿宋_GB2312" w:cs="仿宋_GB2312"/>
          <w:color w:val="auto"/>
          <w:lang w:val="en-US" w:eastAsia="zh-CN"/>
        </w:rPr>
        <w:t>（一）经济标投标报价文件算术性错误校核和修正原则：在合同签订前按有利于招标人的原则进行修正。</w:t>
      </w:r>
    </w:p>
    <w:p w14:paraId="39013317">
      <w:pPr>
        <w:pStyle w:val="43"/>
        <w:spacing w:before="156"/>
        <w:rPr>
          <w:rFonts w:hint="eastAsia" w:hAnsi="仿宋_GB2312" w:cs="仿宋_GB2312"/>
          <w:color w:val="auto"/>
          <w:lang w:val="en-US" w:eastAsia="zh-CN"/>
        </w:rPr>
      </w:pPr>
      <w:r>
        <w:rPr>
          <w:rFonts w:hint="eastAsia" w:hAnsi="仿宋_GB2312" w:cs="仿宋_GB2312"/>
          <w:color w:val="auto"/>
          <w:lang w:val="en-US" w:eastAsia="zh-CN"/>
        </w:rPr>
        <w:t>1、清单工程量乘以投标综合单价不等于投标文件中的该清单综合合价时：</w:t>
      </w:r>
    </w:p>
    <w:p w14:paraId="4A73AF53">
      <w:pPr>
        <w:pStyle w:val="43"/>
        <w:spacing w:before="156"/>
        <w:rPr>
          <w:rFonts w:hint="eastAsia" w:hAnsi="仿宋_GB2312" w:cs="仿宋_GB2312"/>
          <w:color w:val="auto"/>
          <w:lang w:val="en-US" w:eastAsia="zh-CN"/>
        </w:rPr>
      </w:pPr>
      <w:r>
        <w:rPr>
          <w:rFonts w:hint="eastAsia" w:hAnsi="仿宋_GB2312" w:cs="仿宋_GB2312"/>
          <w:color w:val="auto"/>
          <w:lang w:val="en-US" w:eastAsia="zh-CN"/>
        </w:rPr>
        <w:t>①若清单工程量乘以投标综合单价小于投标文件中该清单综合合价，则以投标综合单价为准修改清单综合合价，即：该条清单工程量及投标综合单价不变，清单工程量乘以投标综合单价得出修正综合合价；</w:t>
      </w:r>
    </w:p>
    <w:p w14:paraId="0FE10565">
      <w:pPr>
        <w:pStyle w:val="43"/>
        <w:spacing w:before="156"/>
        <w:rPr>
          <w:rFonts w:hint="eastAsia" w:hAnsi="仿宋_GB2312" w:cs="仿宋_GB2312"/>
          <w:color w:val="auto"/>
          <w:lang w:val="en-US" w:eastAsia="zh-CN"/>
        </w:rPr>
      </w:pPr>
      <w:r>
        <w:rPr>
          <w:rFonts w:hint="eastAsia" w:hAnsi="仿宋_GB2312" w:cs="仿宋_GB2312"/>
          <w:color w:val="auto"/>
          <w:lang w:val="en-US" w:eastAsia="zh-CN"/>
        </w:rPr>
        <w:t>②若清单工程量乘以投标综合单价大于投标文件中该清单综合合价，则以清单综合合价为准修改清单综合单价即：该条清单综合合价及工程量不变，清单综合合价除以清单工程量得出修正综合单价；</w:t>
      </w:r>
    </w:p>
    <w:p w14:paraId="691D66E9">
      <w:pPr>
        <w:pStyle w:val="43"/>
        <w:spacing w:before="156"/>
        <w:rPr>
          <w:rFonts w:hint="eastAsia" w:hAnsi="仿宋_GB2312" w:cs="仿宋_GB2312"/>
          <w:color w:val="auto"/>
          <w:lang w:val="en-US" w:eastAsia="zh-CN"/>
        </w:rPr>
      </w:pPr>
      <w:r>
        <w:rPr>
          <w:rFonts w:hint="eastAsia" w:hAnsi="仿宋_GB2312" w:cs="仿宋_GB2312"/>
          <w:color w:val="auto"/>
          <w:lang w:val="en-US" w:eastAsia="zh-CN"/>
        </w:rPr>
        <w:t>2、投标文件综合单（合）价分析表中以费率计价的子目必须填报，费率的数据由投标人根据企业自身的实力自行填报。投标人在相同专业工程的报价分析表中的费率必须填报一致，否则，调整时以低费率进行调整，结算时以低的费率计算。如报为“0”或不填报者则视为“0”。</w:t>
      </w:r>
    </w:p>
    <w:p w14:paraId="363CB0FE">
      <w:pPr>
        <w:pStyle w:val="43"/>
        <w:spacing w:before="156"/>
        <w:rPr>
          <w:rFonts w:hint="eastAsia" w:hAnsi="仿宋_GB2312" w:cs="仿宋_GB2312"/>
          <w:color w:val="auto"/>
          <w:lang w:val="en-US" w:eastAsia="zh-CN"/>
        </w:rPr>
      </w:pPr>
      <w:r>
        <w:rPr>
          <w:rFonts w:hint="eastAsia" w:hAnsi="仿宋_GB2312" w:cs="仿宋_GB2312"/>
          <w:color w:val="auto"/>
          <w:lang w:val="en-US" w:eastAsia="zh-CN"/>
        </w:rPr>
        <w:t>3、投标文件综合单（合）价分析表中，若填报的材料设备价格与《主要材料及设备报价表》中价格不一致，调整时以低的材料价进行调整，结算时以低的材料价计算。</w:t>
      </w:r>
    </w:p>
    <w:p w14:paraId="1BBE895C">
      <w:pPr>
        <w:pStyle w:val="43"/>
        <w:spacing w:before="156"/>
        <w:rPr>
          <w:rFonts w:hint="eastAsia" w:hAnsi="仿宋_GB2312" w:cs="仿宋_GB2312"/>
          <w:color w:val="auto"/>
          <w:lang w:val="en-US" w:eastAsia="zh-CN"/>
        </w:rPr>
      </w:pPr>
      <w:r>
        <w:rPr>
          <w:rFonts w:hint="eastAsia" w:hAnsi="仿宋_GB2312" w:cs="仿宋_GB2312"/>
          <w:color w:val="auto"/>
          <w:lang w:val="en-US" w:eastAsia="zh-CN"/>
        </w:rPr>
        <w:t>4、同一分部工程中，相同项目特征的清单项目只需填报一个综合单价分析表，工程量清单计价表中的综合单价须与综合单价分析表中的综合单价对应一致，否则，调整时以低综合单价进行调整，结算时以低综合单价计算。</w:t>
      </w:r>
    </w:p>
    <w:p w14:paraId="78118649">
      <w:pPr>
        <w:pStyle w:val="43"/>
        <w:spacing w:before="156"/>
        <w:rPr>
          <w:rFonts w:hint="eastAsia" w:hAnsi="仿宋_GB2312" w:cs="仿宋_GB2312"/>
          <w:color w:val="auto"/>
          <w:lang w:val="en-US" w:eastAsia="zh-CN"/>
        </w:rPr>
      </w:pPr>
      <w:r>
        <w:rPr>
          <w:rFonts w:hint="eastAsia" w:hAnsi="仿宋_GB2312" w:cs="仿宋_GB2312"/>
          <w:color w:val="auto"/>
          <w:lang w:val="en-US" w:eastAsia="zh-CN"/>
        </w:rPr>
        <w:t>5、相同清单项目只能有一个投标单价，若相同项目特征的清单项目出现两个或两个以上投标单价，调整时以低投标单价进行调整，结算时以低综合单价的投标单价计算。。</w:t>
      </w:r>
    </w:p>
    <w:p w14:paraId="301818D6">
      <w:pPr>
        <w:pStyle w:val="43"/>
        <w:spacing w:before="156"/>
        <w:rPr>
          <w:rFonts w:hint="eastAsia" w:hAnsi="仿宋_GB2312" w:cs="仿宋_GB2312"/>
          <w:color w:val="auto"/>
          <w:lang w:val="en-US" w:eastAsia="zh-CN"/>
        </w:rPr>
      </w:pPr>
      <w:r>
        <w:rPr>
          <w:rFonts w:hint="eastAsia" w:hAnsi="仿宋_GB2312" w:cs="仿宋_GB2312"/>
          <w:color w:val="auto"/>
          <w:lang w:val="en-US" w:eastAsia="zh-CN"/>
        </w:rPr>
        <w:t>6、按上述1至5点原则修正后的清单计价汇总额低于投标报价文件中的清单计价汇总额时，差额部分金额调整在结算中予以核减。</w:t>
      </w:r>
    </w:p>
    <w:p w14:paraId="51B17E9E">
      <w:pPr>
        <w:pStyle w:val="43"/>
        <w:spacing w:before="156"/>
        <w:rPr>
          <w:rFonts w:hint="eastAsia" w:hAnsi="仿宋_GB2312" w:cs="仿宋_GB2312"/>
          <w:color w:val="auto"/>
          <w:lang w:val="en-US" w:eastAsia="zh-CN"/>
        </w:rPr>
      </w:pPr>
      <w:r>
        <w:rPr>
          <w:rFonts w:hint="eastAsia" w:hAnsi="仿宋_GB2312" w:cs="仿宋_GB2312"/>
          <w:color w:val="auto"/>
          <w:lang w:val="en-US" w:eastAsia="zh-CN"/>
        </w:rPr>
        <w:t>按上述1至5点原则修正后的清单计价汇总额高于投标报价文件中的清单计价汇总额时，差额在从分部分项工程量清单计价汇总额中调减，即分部分项工程量清单综合单价乘以统一调整系数修正。</w:t>
      </w:r>
    </w:p>
    <w:p w14:paraId="223674B7">
      <w:pPr>
        <w:pStyle w:val="43"/>
        <w:spacing w:before="156"/>
        <w:rPr>
          <w:rFonts w:hint="eastAsia" w:hAnsi="仿宋_GB2312" w:cs="仿宋_GB2312"/>
          <w:color w:val="auto"/>
          <w:lang w:val="en-US" w:eastAsia="zh-CN"/>
        </w:rPr>
      </w:pPr>
      <w:r>
        <w:rPr>
          <w:rFonts w:hint="eastAsia" w:hAnsi="仿宋_GB2312" w:cs="仿宋_GB2312"/>
          <w:color w:val="auto"/>
          <w:lang w:val="en-US" w:eastAsia="zh-CN"/>
        </w:rPr>
        <w:t>清单工程量乘以投标综合单价等于投标文件中的该清单综合合价但清单计价汇总额低于投标报价文件中的清单计价汇总额时，中标总价金额保持不变，清单计价汇总按修正后的金额计入，差额部分金额调整在结算中予以核减；</w:t>
      </w:r>
    </w:p>
    <w:p w14:paraId="7D65328B">
      <w:pPr>
        <w:pStyle w:val="43"/>
        <w:spacing w:before="156"/>
        <w:ind w:firstLine="536" w:firstLineChars="200"/>
        <w:rPr>
          <w:rFonts w:hAnsi="仿宋_GB2312" w:cs="仿宋_GB2312"/>
          <w:color w:val="auto"/>
        </w:rPr>
      </w:pPr>
      <w:r>
        <w:rPr>
          <w:rFonts w:hint="eastAsia" w:hAnsi="仿宋_GB2312" w:cs="仿宋_GB2312"/>
          <w:color w:val="auto"/>
          <w:lang w:val="en-US" w:eastAsia="zh-CN"/>
        </w:rPr>
        <w:t>清单工程量乘以投标综合单价等于投标文件中的该清单综合合价但清单计价汇总额高于投标报价文件中的清单计价汇总额时，中标总价金额保持不变，清单计价汇总按修正后的金额计入，差额从分部分项工程量清单计价汇总额中调减，即分部分项工程量清单综合单价乘以统一调整系数修正。</w:t>
      </w:r>
    </w:p>
    <w:p w14:paraId="5504E355">
      <w:pPr>
        <w:pStyle w:val="43"/>
        <w:spacing w:before="156"/>
        <w:rPr>
          <w:color w:val="auto"/>
          <w:highlight w:val="none"/>
        </w:rPr>
      </w:pPr>
      <w:r>
        <w:rPr>
          <w:rFonts w:hint="eastAsia"/>
          <w:color w:val="auto"/>
          <w:highlight w:val="none"/>
        </w:rPr>
        <w:t>（二）经济标投标报价文件不合理报价的处理</w:t>
      </w:r>
    </w:p>
    <w:p w14:paraId="179DDCAD">
      <w:pPr>
        <w:pStyle w:val="43"/>
        <w:spacing w:before="156"/>
        <w:rPr>
          <w:color w:val="auto"/>
          <w:highlight w:val="none"/>
        </w:rPr>
      </w:pPr>
      <w:r>
        <w:rPr>
          <w:rFonts w:hint="eastAsia"/>
          <w:color w:val="auto"/>
          <w:highlight w:val="none"/>
        </w:rPr>
        <w:t>1、措施项目和其他项目清单不合理报价的处理</w:t>
      </w:r>
    </w:p>
    <w:p w14:paraId="1621AE17">
      <w:pPr>
        <w:pStyle w:val="43"/>
        <w:spacing w:before="156"/>
        <w:ind w:firstLine="0" w:firstLineChars="0"/>
        <w:rPr>
          <w:rFonts w:hint="eastAsia"/>
          <w:color w:val="auto"/>
          <w:highlight w:val="none"/>
        </w:rPr>
      </w:pPr>
      <w:r>
        <w:rPr>
          <w:rFonts w:hint="eastAsia" w:hAnsi="仿宋_GB2312" w:cs="仿宋_GB2312"/>
          <w:color w:val="auto"/>
        </w:rPr>
        <w:t>本工程承包人措施项目中安全生产措施为</w:t>
      </w:r>
      <w:bookmarkStart w:id="20" w:name="OLE_LINK1"/>
      <w:r>
        <w:rPr>
          <w:rFonts w:hint="eastAsia" w:hAnsi="仿宋_GB2312" w:cs="仿宋_GB2312"/>
          <w:color w:val="auto"/>
        </w:rPr>
        <w:t>不含税￥253</w:t>
      </w:r>
      <w:r>
        <w:rPr>
          <w:rFonts w:hint="eastAsia" w:hAnsi="仿宋_GB2312" w:cs="仿宋_GB2312"/>
          <w:color w:val="auto"/>
          <w:lang w:val="en-US" w:eastAsia="zh-CN"/>
        </w:rPr>
        <w:t>,</w:t>
      </w:r>
      <w:r>
        <w:rPr>
          <w:rFonts w:hint="eastAsia" w:hAnsi="仿宋_GB2312" w:cs="仿宋_GB2312"/>
          <w:color w:val="auto"/>
        </w:rPr>
        <w:t>250.81元</w:t>
      </w:r>
      <w:bookmarkEnd w:id="20"/>
      <w:r>
        <w:rPr>
          <w:rFonts w:hint="eastAsia" w:hAnsi="仿宋_GB2312" w:cs="仿宋_GB2312"/>
          <w:color w:val="auto"/>
        </w:rPr>
        <w:t>，暂列金额为含税￥473</w:t>
      </w:r>
      <w:r>
        <w:rPr>
          <w:rFonts w:hint="eastAsia" w:hAnsi="仿宋_GB2312" w:cs="仿宋_GB2312"/>
          <w:color w:val="auto"/>
          <w:lang w:val="en-US" w:eastAsia="zh-CN"/>
        </w:rPr>
        <w:t>,</w:t>
      </w:r>
      <w:r>
        <w:rPr>
          <w:rFonts w:hint="eastAsia" w:hAnsi="仿宋_GB2312" w:cs="仿宋_GB2312"/>
          <w:color w:val="auto"/>
        </w:rPr>
        <w:t>000.00元，均属于投标不可竞争费。</w:t>
      </w:r>
    </w:p>
    <w:p w14:paraId="6F6112F8">
      <w:pPr>
        <w:pStyle w:val="43"/>
        <w:spacing w:before="156"/>
        <w:rPr>
          <w:color w:val="auto"/>
          <w:highlight w:val="none"/>
        </w:rPr>
      </w:pPr>
      <w:r>
        <w:rPr>
          <w:rFonts w:hint="eastAsia"/>
          <w:color w:val="auto"/>
          <w:highlight w:val="none"/>
        </w:rPr>
        <w:t>2、分部分项工程量清单不合理报价的处理</w:t>
      </w:r>
    </w:p>
    <w:p w14:paraId="49E7B850">
      <w:pPr>
        <w:pStyle w:val="43"/>
        <w:bidi w:val="0"/>
        <w:rPr>
          <w:color w:val="auto"/>
        </w:rPr>
      </w:pPr>
      <w:r>
        <w:rPr>
          <w:rStyle w:val="50"/>
          <w:rFonts w:hint="eastAsia"/>
          <w:bCs/>
          <w:color w:val="auto"/>
        </w:rPr>
        <w:t>本项目分部分项及可计量措施项招标工程量清单不接受投标人不平衡报价，承包人中标单价A与预算单价*（1-投标下浮率）B的偏差率为正负10%以上（不含10%，偏差率=（A-</w:t>
      </w:r>
      <w:r>
        <w:rPr>
          <w:rStyle w:val="50"/>
          <w:rFonts w:hint="eastAsia"/>
          <w:bCs/>
          <w:color w:val="auto"/>
          <w:lang w:eastAsia="zh-CN"/>
        </w:rPr>
        <w:t>（</w:t>
      </w:r>
      <w:r>
        <w:rPr>
          <w:rStyle w:val="50"/>
          <w:rFonts w:hint="eastAsia"/>
          <w:bCs/>
          <w:color w:val="auto"/>
        </w:rPr>
        <w:t>1-投标下浮率</w:t>
      </w:r>
      <w:r>
        <w:rPr>
          <w:rStyle w:val="50"/>
          <w:rFonts w:hint="eastAsia"/>
          <w:bCs/>
          <w:color w:val="auto"/>
          <w:lang w:eastAsia="zh-CN"/>
        </w:rPr>
        <w:t>）</w:t>
      </w:r>
      <w:r>
        <w:rPr>
          <w:rStyle w:val="50"/>
          <w:rFonts w:hint="eastAsia"/>
          <w:bCs/>
          <w:color w:val="auto"/>
          <w:lang w:val="en-US" w:eastAsia="zh-CN"/>
        </w:rPr>
        <w:t>*</w:t>
      </w:r>
      <w:r>
        <w:rPr>
          <w:rStyle w:val="50"/>
          <w:rFonts w:hint="eastAsia"/>
          <w:bCs/>
          <w:color w:val="auto"/>
        </w:rPr>
        <w:t>B）/</w:t>
      </w:r>
      <w:r>
        <w:rPr>
          <w:rStyle w:val="50"/>
          <w:rFonts w:hint="eastAsia"/>
          <w:bCs/>
          <w:color w:val="auto"/>
          <w:lang w:val="en-US" w:eastAsia="zh-CN"/>
        </w:rPr>
        <w:t>[</w:t>
      </w:r>
      <w:r>
        <w:rPr>
          <w:rStyle w:val="50"/>
          <w:rFonts w:hint="eastAsia"/>
          <w:bCs/>
          <w:color w:val="auto"/>
          <w:lang w:eastAsia="zh-CN"/>
        </w:rPr>
        <w:t>（</w:t>
      </w:r>
      <w:r>
        <w:rPr>
          <w:rStyle w:val="50"/>
          <w:rFonts w:hint="eastAsia"/>
          <w:bCs/>
          <w:color w:val="auto"/>
        </w:rPr>
        <w:t>1-投标下浮率</w:t>
      </w:r>
      <w:r>
        <w:rPr>
          <w:rStyle w:val="50"/>
          <w:rFonts w:hint="eastAsia"/>
          <w:bCs/>
          <w:color w:val="auto"/>
          <w:lang w:eastAsia="zh-CN"/>
        </w:rPr>
        <w:t>）</w:t>
      </w:r>
      <w:r>
        <w:rPr>
          <w:rStyle w:val="50"/>
          <w:rFonts w:hint="eastAsia"/>
          <w:bCs/>
          <w:color w:val="auto"/>
          <w:lang w:val="en-US" w:eastAsia="zh-CN"/>
        </w:rPr>
        <w:t>*</w:t>
      </w:r>
      <w:r>
        <w:rPr>
          <w:rStyle w:val="50"/>
          <w:rFonts w:hint="eastAsia"/>
          <w:bCs/>
          <w:color w:val="auto"/>
        </w:rPr>
        <w:t>B</w:t>
      </w:r>
      <w:r>
        <w:rPr>
          <w:rStyle w:val="50"/>
          <w:rFonts w:hint="eastAsia"/>
          <w:bCs/>
          <w:color w:val="auto"/>
          <w:lang w:val="en-US" w:eastAsia="zh-CN"/>
        </w:rPr>
        <w:t>]</w:t>
      </w:r>
      <w:r>
        <w:rPr>
          <w:rStyle w:val="50"/>
          <w:rFonts w:hint="eastAsia"/>
          <w:bCs/>
          <w:color w:val="auto"/>
        </w:rPr>
        <w:t>),视为不平衡报价，发包人有权书面通知承包人在收到通知之日起</w:t>
      </w:r>
      <w:r>
        <w:rPr>
          <w:rStyle w:val="50"/>
          <w:rFonts w:hint="eastAsia"/>
          <w:bCs/>
          <w:color w:val="auto"/>
          <w:lang w:val="en-US" w:eastAsia="zh-CN"/>
        </w:rPr>
        <w:t>15</w:t>
      </w:r>
      <w:r>
        <w:rPr>
          <w:rStyle w:val="50"/>
          <w:rFonts w:hint="eastAsia"/>
          <w:bCs/>
          <w:color w:val="auto"/>
        </w:rPr>
        <w:t>天内调整不平衡报价清单项。承包人须在发包人要求时间内完成偏差率确认及清标工作，否则视为同意发包人清标结果。发包人有权视项目进展在合同结算前随时清标，承包人有义务无条件全力配合。承包人拒绝或变相拒绝配合的，发包人发函警示，承包人在收到警示后仍予以拒绝的，发包人有权自行清标，并视同承包人同</w:t>
      </w:r>
      <w:r>
        <w:rPr>
          <w:rFonts w:hint="eastAsia"/>
          <w:color w:val="auto"/>
        </w:rPr>
        <w:t>意发包人的清标结果。</w:t>
      </w:r>
    </w:p>
    <w:p w14:paraId="7E54CA78">
      <w:pPr>
        <w:pStyle w:val="43"/>
        <w:bidi w:val="0"/>
        <w:rPr>
          <w:color w:val="auto"/>
        </w:rPr>
      </w:pPr>
      <w:r>
        <w:rPr>
          <w:rFonts w:hint="eastAsia"/>
          <w:color w:val="auto"/>
        </w:rPr>
        <w:t>①偏差率大于10%时，综合单价按预算单价×（1-投标下浮率）×（1+10%）计算；</w:t>
      </w:r>
    </w:p>
    <w:p w14:paraId="64461CEB">
      <w:pPr>
        <w:pStyle w:val="43"/>
        <w:bidi w:val="0"/>
        <w:rPr>
          <w:color w:val="auto"/>
        </w:rPr>
      </w:pPr>
      <w:r>
        <w:rPr>
          <w:rFonts w:hint="eastAsia"/>
          <w:color w:val="auto"/>
        </w:rPr>
        <w:t>②偏差率小于-10%时，综合单价按中标价计算。</w:t>
      </w:r>
    </w:p>
    <w:p w14:paraId="1EE17697">
      <w:pPr>
        <w:pStyle w:val="43"/>
        <w:bidi w:val="0"/>
        <w:ind w:firstLine="536" w:firstLineChars="200"/>
        <w:rPr>
          <w:rFonts w:hint="eastAsia"/>
          <w:color w:val="auto"/>
        </w:rPr>
      </w:pPr>
      <w:r>
        <w:rPr>
          <w:rFonts w:hint="eastAsia"/>
          <w:color w:val="auto"/>
        </w:rPr>
        <w:t>③投标下浮率=（预算价-投标价）/（预算价-不可竞争费）</w:t>
      </w:r>
    </w:p>
    <w:p w14:paraId="76D2BDB8">
      <w:pPr>
        <w:pStyle w:val="43"/>
        <w:spacing w:before="156"/>
        <w:rPr>
          <w:rFonts w:hint="eastAsia" w:hAnsi="仿宋_GB2312" w:cs="仿宋_GB2312"/>
          <w:color w:val="auto"/>
          <w:highlight w:val="none"/>
        </w:rPr>
      </w:pPr>
      <w:r>
        <w:rPr>
          <w:rFonts w:hint="eastAsia" w:hAnsi="仿宋_GB2312" w:cs="仿宋_GB2312"/>
          <w:color w:val="auto"/>
          <w:highlight w:val="none"/>
        </w:rPr>
        <w:t>按上述原则修正后的综合单价（作为本合同的附件，附件与主合同具有同等法律效力），仅适用于本合同约定的造价调整情形（包括</w:t>
      </w:r>
      <w:r>
        <w:rPr>
          <w:rFonts w:hint="eastAsia" w:hAnsi="仿宋_GB2312" w:cs="仿宋_GB2312"/>
          <w:color w:val="auto"/>
          <w:highlight w:val="none"/>
          <w:lang w:eastAsia="zh-CN"/>
        </w:rPr>
        <w:t>工程</w:t>
      </w:r>
      <w:r>
        <w:rPr>
          <w:rFonts w:hint="eastAsia" w:hAnsi="仿宋_GB2312" w:cs="仿宋_GB2312"/>
          <w:color w:val="auto"/>
          <w:highlight w:val="none"/>
          <w:lang w:val="en-US" w:eastAsia="zh-CN"/>
        </w:rPr>
        <w:t>变更、计日工、返工工程</w:t>
      </w:r>
      <w:r>
        <w:rPr>
          <w:rFonts w:hint="eastAsia" w:hAnsi="仿宋_GB2312" w:cs="仿宋_GB2312"/>
          <w:color w:val="auto"/>
          <w:highlight w:val="none"/>
        </w:rPr>
        <w:t>及</w:t>
      </w:r>
      <w:r>
        <w:rPr>
          <w:rFonts w:hint="eastAsia" w:hAnsi="仿宋_GB2312" w:cs="仿宋_GB2312"/>
          <w:color w:val="auto"/>
          <w:highlight w:val="none"/>
          <w:lang w:val="en-US" w:eastAsia="zh-CN"/>
        </w:rPr>
        <w:t>新增工程</w:t>
      </w:r>
      <w:r>
        <w:rPr>
          <w:rFonts w:hint="eastAsia" w:hAnsi="仿宋_GB2312" w:cs="仿宋_GB2312"/>
          <w:strike w:val="0"/>
          <w:color w:val="auto"/>
          <w:highlight w:val="none"/>
        </w:rPr>
        <w:t>等</w:t>
      </w:r>
      <w:r>
        <w:rPr>
          <w:rFonts w:hint="eastAsia" w:hAnsi="仿宋_GB2312" w:cs="仿宋_GB2312"/>
          <w:color w:val="auto"/>
          <w:highlight w:val="none"/>
        </w:rPr>
        <w:t>）；原投标总价不予调整。</w:t>
      </w:r>
    </w:p>
    <w:p w14:paraId="6CBF1EDB">
      <w:pPr>
        <w:pStyle w:val="43"/>
        <w:bidi w:val="0"/>
        <w:rPr>
          <w:color w:val="auto"/>
        </w:rPr>
      </w:pPr>
      <w:r>
        <w:rPr>
          <w:rFonts w:hint="eastAsia"/>
          <w:color w:val="auto"/>
        </w:rPr>
        <w:t>工程量清单报价应充分考虑现场情况和各种不利条件、不利因素（包括交通条件、水电条件、场地障碍条件、材料或构件场内外运输及损耗、照明条件、通风条件、消防条件、给排水条件、施工配合</w:t>
      </w:r>
      <w:r>
        <w:rPr>
          <w:rFonts w:hint="eastAsia"/>
          <w:color w:val="auto"/>
          <w:lang w:eastAsia="zh-CN"/>
        </w:rPr>
        <w:t>、</w:t>
      </w:r>
      <w:r>
        <w:rPr>
          <w:rFonts w:hint="eastAsia"/>
          <w:color w:val="auto"/>
        </w:rPr>
        <w:t>协调报批事项、与其他单位交叉作业等），超高及不利条件因素导致的降效、现场施工条件变化、运输方式变化、工期变化、工料机价格市场变化（另有约定除外）、混凝土泵送、施工机械设备调试、工程保修等引起的一切费用均含在投标报价中。</w:t>
      </w:r>
    </w:p>
    <w:p w14:paraId="67750F82">
      <w:pPr>
        <w:pStyle w:val="43"/>
        <w:spacing w:before="156"/>
        <w:rPr>
          <w:color w:val="auto"/>
          <w:highlight w:val="none"/>
        </w:rPr>
      </w:pPr>
      <w:r>
        <w:rPr>
          <w:rFonts w:hint="eastAsia"/>
          <w:color w:val="auto"/>
          <w:highlight w:val="none"/>
        </w:rPr>
        <w:t>十</w:t>
      </w:r>
      <w:r>
        <w:rPr>
          <w:rFonts w:hint="eastAsia"/>
          <w:color w:val="auto"/>
          <w:highlight w:val="none"/>
          <w:lang w:val="en-US" w:eastAsia="zh-CN"/>
        </w:rPr>
        <w:t>五</w:t>
      </w:r>
      <w:r>
        <w:rPr>
          <w:rFonts w:hint="eastAsia"/>
          <w:color w:val="auto"/>
          <w:highlight w:val="none"/>
        </w:rPr>
        <w:t>、</w:t>
      </w:r>
      <w:r>
        <w:rPr>
          <w:rFonts w:hint="eastAsia" w:hAnsi="仿宋_GB2312" w:cs="仿宋_GB2312"/>
          <w:color w:val="auto"/>
        </w:rPr>
        <w:t>凡因该工程施工影响到居民、邻近厂房等建构筑物、市政设施（电力、通讯、给排水等设施）、城市环境（道路整洁、绿化破坏等）及第三方财产与人身安全的，中标人应采取措施进行保护，出现损坏则需由中标人修复；中标人需采取措施避免施工噪声、振动、水质和土壤污染及地表下沉等对周边环境的影响，且需保证施工现场及周边居民生活、工厂生产作业等出入交通不受影响；发生的费用含在投标报价中。</w:t>
      </w:r>
    </w:p>
    <w:p w14:paraId="0A896F21">
      <w:pPr>
        <w:pStyle w:val="43"/>
        <w:spacing w:before="156"/>
        <w:rPr>
          <w:color w:val="auto"/>
          <w:highlight w:val="none"/>
        </w:rPr>
      </w:pPr>
      <w:r>
        <w:rPr>
          <w:rFonts w:hint="eastAsia"/>
          <w:color w:val="auto"/>
          <w:highlight w:val="none"/>
        </w:rPr>
        <w:t>十</w:t>
      </w:r>
      <w:r>
        <w:rPr>
          <w:rFonts w:hint="eastAsia"/>
          <w:color w:val="auto"/>
          <w:highlight w:val="none"/>
          <w:lang w:val="en-US" w:eastAsia="zh-CN"/>
        </w:rPr>
        <w:t>六</w:t>
      </w:r>
      <w:r>
        <w:rPr>
          <w:rFonts w:hint="eastAsia"/>
          <w:color w:val="auto"/>
          <w:highlight w:val="none"/>
        </w:rPr>
        <w:t>、</w:t>
      </w:r>
      <w:r>
        <w:rPr>
          <w:rFonts w:hint="eastAsia" w:hAnsi="仿宋_GB2312" w:cs="仿宋_GB2312"/>
          <w:color w:val="auto"/>
        </w:rPr>
        <w:t>工程量清单报价应综合考虑在各种环境中（如洞室、室内、</w:t>
      </w:r>
      <w:r>
        <w:rPr>
          <w:rFonts w:hint="eastAsia" w:hAnsi="仿宋_GB2312" w:cs="仿宋_GB2312"/>
          <w:color w:val="auto"/>
          <w:lang w:val="en-US" w:eastAsia="zh-CN"/>
        </w:rPr>
        <w:t>室外高空、</w:t>
      </w:r>
      <w:r>
        <w:rPr>
          <w:rFonts w:hint="eastAsia" w:hAnsi="仿宋_GB2312" w:cs="仿宋_GB2312"/>
          <w:color w:val="auto"/>
        </w:rPr>
        <w:t>多工种交叉作业）施工的安全防护、卫生措施、警戒标志措施，隔音、吸音措施、照明措施，给排水措施、消防措施，防止缺氧、有害气体中毒防治措施，紧急事故应对措施及救护措施、通风措施、安全通道等，发生的费用含在投标报价中。</w:t>
      </w:r>
    </w:p>
    <w:p w14:paraId="580AB035">
      <w:pPr>
        <w:pStyle w:val="43"/>
        <w:spacing w:before="156"/>
        <w:rPr>
          <w:rFonts w:hAnsi="仿宋_GB2312" w:cs="仿宋_GB2312"/>
          <w:color w:val="auto"/>
        </w:rPr>
      </w:pPr>
      <w:r>
        <w:rPr>
          <w:rFonts w:hint="eastAsia" w:hAnsi="仿宋_GB2312" w:cs="仿宋_GB2312"/>
          <w:color w:val="auto"/>
          <w:lang w:val="en-US" w:eastAsia="zh-CN"/>
        </w:rPr>
        <w:t>十八</w:t>
      </w:r>
      <w:r>
        <w:rPr>
          <w:rFonts w:hint="eastAsia" w:hAnsi="仿宋_GB2312" w:cs="仿宋_GB2312"/>
          <w:color w:val="auto"/>
        </w:rPr>
        <w:t>、工程量清单报价应根据现场临时供水供电现有条件综合考虑施工所需临水临电管线铺设及接入费，综合考虑因施工需要增容临时供水供电能力而发生的报装报建、施工安装临时供水供电管线铺设及设施等费用，管线及设施的日常维护、保养、因现场环境条件变化需要进行的多次迁移、拆除、清理等相关费用含在投标报价中，临水临电的接入及使用须服从发包人的统一管理。</w:t>
      </w:r>
    </w:p>
    <w:p w14:paraId="6F510C77">
      <w:pPr>
        <w:pStyle w:val="43"/>
        <w:spacing w:before="156"/>
        <w:rPr>
          <w:rFonts w:hint="eastAsia" w:hAnsi="仿宋_GB2312" w:cs="仿宋_GB2312"/>
          <w:color w:val="auto"/>
          <w:highlight w:val="none"/>
        </w:rPr>
      </w:pPr>
      <w:r>
        <w:rPr>
          <w:rFonts w:hint="eastAsia" w:hAnsi="仿宋_GB2312" w:cs="仿宋_GB2312"/>
          <w:color w:val="auto"/>
          <w:highlight w:val="none"/>
          <w:lang w:val="en-US" w:eastAsia="zh-CN"/>
        </w:rPr>
        <w:t>十九</w:t>
      </w:r>
      <w:r>
        <w:rPr>
          <w:rFonts w:hint="eastAsia" w:hAnsi="仿宋_GB2312" w:cs="仿宋_GB2312"/>
          <w:color w:val="auto"/>
          <w:highlight w:val="none"/>
        </w:rPr>
        <w:t>、工程量清单报价应综合考虑</w:t>
      </w:r>
      <w:r>
        <w:rPr>
          <w:rFonts w:hint="eastAsia" w:hAnsi="仿宋_GB2312" w:cs="仿宋_GB2312"/>
          <w:color w:val="auto"/>
          <w:highlight w:val="none"/>
          <w:lang w:val="en-US" w:eastAsia="zh-CN"/>
        </w:rPr>
        <w:t>幕墙</w:t>
      </w:r>
      <w:r>
        <w:rPr>
          <w:rFonts w:hint="eastAsia" w:hAnsi="仿宋_GB2312" w:cs="仿宋_GB2312"/>
          <w:color w:val="auto"/>
          <w:highlight w:val="none"/>
        </w:rPr>
        <w:t>尺寸偏差对工程造价的影响，例如平整度、垂直度</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预埋点位</w:t>
      </w:r>
      <w:r>
        <w:rPr>
          <w:rFonts w:hint="eastAsia" w:hAnsi="仿宋_GB2312" w:cs="仿宋_GB2312"/>
          <w:color w:val="auto"/>
          <w:highlight w:val="none"/>
        </w:rPr>
        <w:t>等偏差较大造</w:t>
      </w:r>
      <w:r>
        <w:rPr>
          <w:rFonts w:hint="eastAsia" w:hAnsi="仿宋_GB2312" w:cs="仿宋_GB2312"/>
          <w:strike w:val="0"/>
          <w:color w:val="auto"/>
          <w:highlight w:val="none"/>
        </w:rPr>
        <w:t>成</w:t>
      </w:r>
      <w:r>
        <w:rPr>
          <w:rFonts w:hint="eastAsia" w:hAnsi="仿宋_GB2312" w:cs="仿宋_GB2312"/>
          <w:strike w:val="0"/>
          <w:color w:val="auto"/>
          <w:highlight w:val="none"/>
          <w:lang w:val="en-US" w:eastAsia="zh-CN"/>
        </w:rPr>
        <w:t>灯具安装</w:t>
      </w:r>
      <w:r>
        <w:rPr>
          <w:rFonts w:hint="eastAsia" w:hAnsi="仿宋_GB2312" w:cs="仿宋_GB2312"/>
          <w:color w:val="auto"/>
          <w:highlight w:val="none"/>
        </w:rPr>
        <w:t>增加的费用均含在投标报价中。</w:t>
      </w:r>
    </w:p>
    <w:p w14:paraId="7F14A34B">
      <w:pPr>
        <w:pStyle w:val="43"/>
        <w:spacing w:before="156"/>
        <w:ind w:firstLine="544" w:firstLineChars="200"/>
        <w:jc w:val="left"/>
        <w:rPr>
          <w:rFonts w:hint="default" w:hAnsi="仿宋_GB2312" w:eastAsia="仿宋_GB2312" w:cs="仿宋_GB2312"/>
          <w:strike w:val="0"/>
          <w:color w:val="auto"/>
          <w:spacing w:val="6"/>
          <w:highlight w:val="none"/>
          <w:lang w:val="en-US" w:eastAsia="zh-CN"/>
        </w:rPr>
      </w:pPr>
      <w:r>
        <w:rPr>
          <w:rFonts w:hint="eastAsia" w:hAnsi="仿宋_GB2312" w:cs="仿宋_GB2312"/>
          <w:strike w:val="0"/>
          <w:color w:val="auto"/>
          <w:spacing w:val="6"/>
          <w:highlight w:val="none"/>
        </w:rPr>
        <w:t>二十、挖土方</w:t>
      </w:r>
      <w:r>
        <w:rPr>
          <w:rFonts w:hint="eastAsia" w:hAnsi="仿宋_GB2312" w:cs="仿宋_GB2312"/>
          <w:strike w:val="0"/>
          <w:color w:val="auto"/>
          <w:spacing w:val="6"/>
          <w:highlight w:val="none"/>
          <w:lang w:eastAsia="zh-CN"/>
        </w:rPr>
        <w:t>、回填土方</w:t>
      </w:r>
      <w:r>
        <w:rPr>
          <w:rFonts w:hint="eastAsia" w:hAnsi="仿宋_GB2312" w:cs="仿宋_GB2312"/>
          <w:strike w:val="0"/>
          <w:color w:val="auto"/>
          <w:spacing w:val="6"/>
          <w:highlight w:val="none"/>
        </w:rPr>
        <w:t>（含挖运一般土方、挖运</w:t>
      </w:r>
      <w:r>
        <w:rPr>
          <w:rFonts w:hint="eastAsia" w:hAnsi="仿宋_GB2312" w:cs="仿宋_GB2312"/>
          <w:strike w:val="0"/>
          <w:color w:val="auto"/>
          <w:spacing w:val="6"/>
          <w:highlight w:val="none"/>
          <w:lang w:val="en-US" w:eastAsia="zh-CN"/>
        </w:rPr>
        <w:t>沟槽</w:t>
      </w:r>
      <w:r>
        <w:rPr>
          <w:rFonts w:hint="eastAsia" w:hAnsi="仿宋_GB2312" w:cs="仿宋_GB2312"/>
          <w:strike w:val="0"/>
          <w:color w:val="auto"/>
          <w:spacing w:val="6"/>
          <w:highlight w:val="none"/>
        </w:rPr>
        <w:t>等土方</w:t>
      </w:r>
      <w:r>
        <w:rPr>
          <w:rFonts w:hint="eastAsia" w:hAnsi="仿宋_GB2312" w:cs="仿宋_GB2312"/>
          <w:strike w:val="0"/>
          <w:color w:val="auto"/>
          <w:spacing w:val="6"/>
          <w:highlight w:val="none"/>
          <w:lang w:eastAsia="zh-CN"/>
        </w:rPr>
        <w:t>、回填方</w:t>
      </w:r>
      <w:r>
        <w:rPr>
          <w:rFonts w:hint="eastAsia" w:hAnsi="仿宋_GB2312" w:cs="仿宋_GB2312"/>
          <w:strike w:val="0"/>
          <w:color w:val="auto"/>
          <w:spacing w:val="6"/>
          <w:highlight w:val="none"/>
        </w:rPr>
        <w:t>）清单项目，</w:t>
      </w:r>
      <w:r>
        <w:rPr>
          <w:rFonts w:hint="eastAsia" w:ascii="仿宋_GB2312" w:hAnsi="仿宋_GB2312" w:cs="仿宋_GB2312"/>
          <w:color w:val="auto"/>
          <w:spacing w:val="6"/>
          <w:sz w:val="26"/>
          <w:szCs w:val="26"/>
          <w:highlight w:val="none"/>
          <w:lang w:val="zh-CN"/>
        </w:rPr>
        <w:t>开挖土方场内转运、堆放及利用项目原土回填的取土运距在投标报价中踪合考虑</w:t>
      </w:r>
      <w:r>
        <w:rPr>
          <w:rFonts w:hint="eastAsia" w:hAnsi="仿宋_GB2312" w:cs="仿宋_GB2312"/>
          <w:color w:val="auto"/>
          <w:spacing w:val="6"/>
          <w:sz w:val="26"/>
          <w:szCs w:val="26"/>
          <w:highlight w:val="none"/>
          <w:lang w:val="zh-CN"/>
        </w:rPr>
        <w:t>，</w:t>
      </w:r>
      <w:r>
        <w:rPr>
          <w:rFonts w:hint="eastAsia" w:hAnsi="仿宋_GB2312" w:cs="仿宋_GB2312"/>
          <w:strike w:val="0"/>
          <w:color w:val="auto"/>
          <w:spacing w:val="6"/>
          <w:highlight w:val="none"/>
          <w:lang w:val="en-US" w:eastAsia="zh-CN"/>
        </w:rPr>
        <w:t>综合单价不因弃土点、运距及</w:t>
      </w:r>
      <w:r>
        <w:rPr>
          <w:rFonts w:hint="default" w:hAnsi="仿宋_GB2312" w:cs="仿宋_GB2312"/>
          <w:strike w:val="0"/>
          <w:color w:val="auto"/>
          <w:spacing w:val="6"/>
          <w:highlight w:val="none"/>
          <w:lang w:val="en-US" w:eastAsia="zh-CN"/>
        </w:rPr>
        <w:t>其他因素进行调整</w:t>
      </w:r>
      <w:r>
        <w:rPr>
          <w:rFonts w:hint="eastAsia" w:hAnsi="仿宋_GB2312" w:cs="仿宋_GB2312"/>
          <w:strike w:val="0"/>
          <w:color w:val="auto"/>
          <w:spacing w:val="6"/>
          <w:highlight w:val="none"/>
          <w:lang w:val="en-US" w:eastAsia="zh-CN"/>
        </w:rPr>
        <w:t>，工程量（设计变更除外）因施工方案及施工单位管理措施等原因引起变化，不予调整</w:t>
      </w:r>
      <w:r>
        <w:rPr>
          <w:rFonts w:hint="eastAsia" w:hAnsi="仿宋_GB2312" w:cs="仿宋_GB2312"/>
          <w:strike w:val="0"/>
          <w:color w:val="auto"/>
          <w:spacing w:val="6"/>
          <w:highlight w:val="none"/>
        </w:rPr>
        <w:t>。</w:t>
      </w:r>
      <w:r>
        <w:rPr>
          <w:rFonts w:hint="eastAsia" w:hAnsi="仿宋_GB2312" w:cs="仿宋_GB2312"/>
          <w:strike w:val="0"/>
          <w:color w:val="auto"/>
          <w:spacing w:val="6"/>
          <w:highlight w:val="none"/>
          <w:lang w:val="en-US" w:eastAsia="zh-CN"/>
        </w:rPr>
        <w:t>如因现场施工顺序或场地限止，无法堆放土方，导致外运土增加或者外购土回填费用，属于施工单位综合考虑风险，不予调整</w:t>
      </w:r>
    </w:p>
    <w:p w14:paraId="68087979">
      <w:pPr>
        <w:pStyle w:val="27"/>
        <w:ind w:firstLine="650" w:firstLineChars="250"/>
        <w:rPr>
          <w:rFonts w:hint="eastAsia" w:ascii="仿宋_GB2312" w:hAnsi="仿宋_GB2312" w:eastAsia="仿宋_GB2312" w:cs="仿宋_GB2312"/>
          <w:b w:val="0"/>
          <w:bCs w:val="0"/>
          <w:color w:val="auto"/>
          <w:sz w:val="26"/>
          <w:szCs w:val="26"/>
          <w:highlight w:val="none"/>
          <w:lang w:val="en-US" w:eastAsia="zh-CN"/>
        </w:rPr>
      </w:pPr>
      <w:r>
        <w:rPr>
          <w:rFonts w:hint="eastAsia" w:cs="仿宋_GB2312"/>
          <w:b w:val="0"/>
          <w:bCs w:val="0"/>
          <w:color w:val="auto"/>
          <w:sz w:val="26"/>
          <w:szCs w:val="26"/>
          <w:lang w:val="en-US" w:eastAsia="zh-CN"/>
        </w:rPr>
        <w:t>二十一</w:t>
      </w:r>
      <w:r>
        <w:rPr>
          <w:rFonts w:hint="eastAsia" w:ascii="仿宋_GB2312" w:hAnsi="仿宋_GB2312" w:eastAsia="仿宋_GB2312" w:cs="仿宋_GB2312"/>
          <w:b w:val="0"/>
          <w:bCs w:val="0"/>
          <w:color w:val="auto"/>
          <w:sz w:val="26"/>
          <w:szCs w:val="26"/>
          <w:lang w:val="en-US" w:eastAsia="zh-CN"/>
        </w:rPr>
        <w:t>、</w:t>
      </w:r>
      <w:r>
        <w:rPr>
          <w:rFonts w:hint="eastAsia" w:cs="仿宋_GB2312"/>
          <w:b w:val="0"/>
          <w:bCs w:val="0"/>
          <w:color w:val="auto"/>
          <w:sz w:val="26"/>
          <w:szCs w:val="26"/>
          <w:highlight w:val="none"/>
          <w:lang w:val="en-US" w:eastAsia="zh-CN"/>
        </w:rPr>
        <w:t>安装</w:t>
      </w:r>
      <w:r>
        <w:rPr>
          <w:rFonts w:hint="eastAsia" w:ascii="仿宋_GB2312" w:hAnsi="仿宋_GB2312" w:eastAsia="仿宋_GB2312" w:cs="仿宋_GB2312"/>
          <w:b w:val="0"/>
          <w:bCs w:val="0"/>
          <w:color w:val="auto"/>
          <w:sz w:val="26"/>
          <w:szCs w:val="26"/>
          <w:highlight w:val="none"/>
          <w:lang w:val="en-US" w:eastAsia="zh-CN"/>
        </w:rPr>
        <w:t>工程</w:t>
      </w:r>
    </w:p>
    <w:p w14:paraId="2E976DC9">
      <w:pPr>
        <w:pStyle w:val="65"/>
        <w:spacing w:before="0" w:beforeLines="0" w:after="0" w:afterLines="0" w:line="400" w:lineRule="exact"/>
        <w:ind w:firstLine="522" w:firstLineChars="195"/>
        <w:rPr>
          <w:rFonts w:hint="eastAsia" w:ascii="仿宋_GB2312" w:hAnsi="仿宋_GB2312" w:eastAsia="仿宋_GB2312" w:cs="仿宋_GB2312"/>
          <w:b w:val="0"/>
          <w:bCs w:val="0"/>
          <w:color w:val="auto"/>
          <w:sz w:val="26"/>
          <w:szCs w:val="26"/>
        </w:rPr>
      </w:pPr>
      <w:bookmarkStart w:id="21" w:name="_Toc322599053"/>
      <w:r>
        <w:rPr>
          <w:rFonts w:hint="eastAsia" w:ascii="仿宋_GB2312" w:hAnsi="仿宋_GB2312" w:eastAsia="仿宋_GB2312" w:cs="仿宋_GB2312"/>
          <w:b w:val="0"/>
          <w:bCs w:val="0"/>
          <w:color w:val="auto"/>
          <w:sz w:val="26"/>
          <w:szCs w:val="26"/>
          <w:lang w:val="en-US" w:eastAsia="zh-CN"/>
        </w:rPr>
        <w:t>1.1</w:t>
      </w:r>
      <w:r>
        <w:rPr>
          <w:rFonts w:hint="eastAsia" w:ascii="仿宋_GB2312" w:hAnsi="仿宋_GB2312" w:eastAsia="仿宋_GB2312" w:cs="仿宋_GB2312"/>
          <w:b w:val="0"/>
          <w:bCs w:val="0"/>
          <w:color w:val="auto"/>
          <w:sz w:val="26"/>
          <w:szCs w:val="26"/>
        </w:rPr>
        <w:t>、</w:t>
      </w:r>
      <w:bookmarkEnd w:id="21"/>
      <w:bookmarkStart w:id="22" w:name="_Toc322599054"/>
      <w:r>
        <w:rPr>
          <w:rFonts w:hint="eastAsia" w:ascii="仿宋_GB2312" w:hAnsi="仿宋_GB2312" w:eastAsia="仿宋_GB2312" w:cs="仿宋_GB2312"/>
          <w:b w:val="0"/>
          <w:bCs w:val="0"/>
          <w:color w:val="auto"/>
          <w:sz w:val="26"/>
          <w:szCs w:val="26"/>
        </w:rPr>
        <w:t>配电箱清单项目（含附件）</w:t>
      </w:r>
      <w:bookmarkEnd w:id="22"/>
    </w:p>
    <w:p w14:paraId="6563E203">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（1）包括照明配电箱等箱体。</w:t>
      </w:r>
    </w:p>
    <w:p w14:paraId="53FEB489">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（2）按不同的用途及设计编号，不分安装方式，以“台”为单位计算。</w:t>
      </w:r>
    </w:p>
    <w:p w14:paraId="2C1080D1">
      <w:pPr>
        <w:pStyle w:val="44"/>
        <w:spacing w:line="400" w:lineRule="exact"/>
        <w:rPr>
          <w:rFonts w:hint="eastAsia" w:ascii="仿宋_GB2312" w:hAnsi="仿宋_GB2312" w:eastAsia="仿宋_GB2312" w:cs="仿宋_GB2312"/>
          <w:b w:val="0"/>
          <w:bCs w:val="0"/>
          <w:color w:val="auto"/>
          <w:sz w:val="26"/>
          <w:szCs w:val="26"/>
          <w:highlight w:val="none"/>
          <w:u w:val="none"/>
        </w:rPr>
      </w:pPr>
      <w:r>
        <w:rPr>
          <w:rFonts w:hint="eastAsia" w:ascii="仿宋_GB2312" w:hAnsi="仿宋_GB2312" w:eastAsia="仿宋_GB2312" w:cs="仿宋_GB2312"/>
          <w:b w:val="0"/>
          <w:bCs w:val="0"/>
          <w:color w:val="auto"/>
          <w:sz w:val="26"/>
          <w:szCs w:val="26"/>
          <w:highlight w:val="none"/>
          <w:u w:val="none"/>
        </w:rPr>
        <w:t>（3）工作内容包括：基础制作、安装、箱体安装、接地、单体调试等工作内容。</w:t>
      </w:r>
    </w:p>
    <w:p w14:paraId="0464A37F">
      <w:pPr>
        <w:pStyle w:val="44"/>
        <w:spacing w:line="400" w:lineRule="exact"/>
        <w:rPr>
          <w:rFonts w:hint="default" w:ascii="仿宋_GB2312" w:hAnsi="仿宋_GB2312" w:eastAsia="仿宋_GB2312" w:cs="仿宋_GB2312"/>
          <w:b w:val="0"/>
          <w:bCs w:val="0"/>
          <w:color w:val="auto"/>
          <w:sz w:val="26"/>
          <w:szCs w:val="26"/>
          <w:highlight w:val="none"/>
          <w:u w:val="none"/>
          <w:lang w:val="en-US" w:eastAsia="zh-CN"/>
        </w:rPr>
      </w:pPr>
      <w:r>
        <w:rPr>
          <w:rFonts w:hint="eastAsia" w:cs="仿宋_GB2312"/>
          <w:b w:val="0"/>
          <w:bCs w:val="0"/>
          <w:color w:val="auto"/>
          <w:sz w:val="26"/>
          <w:szCs w:val="26"/>
          <w:highlight w:val="none"/>
          <w:u w:val="none"/>
          <w:lang w:eastAsia="zh-CN"/>
        </w:rPr>
        <w:t>（</w:t>
      </w:r>
      <w:r>
        <w:rPr>
          <w:rFonts w:hint="eastAsia" w:cs="仿宋_GB2312"/>
          <w:b w:val="0"/>
          <w:bCs w:val="0"/>
          <w:color w:val="auto"/>
          <w:sz w:val="26"/>
          <w:szCs w:val="26"/>
          <w:highlight w:val="none"/>
          <w:u w:val="none"/>
          <w:lang w:val="en-US" w:eastAsia="zh-CN"/>
        </w:rPr>
        <w:t>4</w:t>
      </w:r>
      <w:r>
        <w:rPr>
          <w:rFonts w:hint="eastAsia" w:cs="仿宋_GB2312"/>
          <w:b w:val="0"/>
          <w:bCs w:val="0"/>
          <w:color w:val="auto"/>
          <w:sz w:val="26"/>
          <w:szCs w:val="26"/>
          <w:highlight w:val="none"/>
          <w:u w:val="none"/>
          <w:lang w:eastAsia="zh-CN"/>
        </w:rPr>
        <w:t>）</w:t>
      </w:r>
      <w:r>
        <w:rPr>
          <w:rFonts w:hint="eastAsia" w:cs="仿宋_GB2312"/>
          <w:b w:val="0"/>
          <w:bCs w:val="0"/>
          <w:color w:val="auto"/>
          <w:sz w:val="26"/>
          <w:szCs w:val="26"/>
          <w:highlight w:val="none"/>
          <w:u w:val="none"/>
          <w:lang w:val="en-US" w:eastAsia="zh-CN"/>
        </w:rPr>
        <w:t>本清单项目结算工程量计算规则:合同总价包干，变更按设计图纸以“台”计算。</w:t>
      </w:r>
    </w:p>
    <w:p w14:paraId="1A9284C0">
      <w:pPr>
        <w:pStyle w:val="65"/>
        <w:spacing w:before="0" w:beforeLines="0" w:after="0" w:afterLines="0" w:line="400" w:lineRule="exact"/>
        <w:ind w:firstLine="525" w:firstLineChars="196"/>
        <w:rPr>
          <w:rFonts w:hint="eastAsia" w:ascii="仿宋_GB2312" w:hAnsi="仿宋_GB2312" w:eastAsia="仿宋_GB2312" w:cs="仿宋_GB2312"/>
          <w:b w:val="0"/>
          <w:bCs w:val="0"/>
          <w:color w:val="auto"/>
          <w:sz w:val="26"/>
          <w:szCs w:val="26"/>
          <w:highlight w:val="none"/>
          <w:u w:val="none"/>
        </w:rPr>
      </w:pPr>
      <w:bookmarkStart w:id="23" w:name="_Toc322599055"/>
      <w:r>
        <w:rPr>
          <w:rFonts w:hint="eastAsia" w:ascii="仿宋_GB2312" w:hAnsi="仿宋_GB2312" w:eastAsia="仿宋_GB2312" w:cs="仿宋_GB2312"/>
          <w:b w:val="0"/>
          <w:bCs w:val="0"/>
          <w:color w:val="auto"/>
          <w:sz w:val="26"/>
          <w:szCs w:val="26"/>
          <w:highlight w:val="none"/>
          <w:u w:val="none"/>
          <w:lang w:val="en-US" w:eastAsia="zh-CN"/>
        </w:rPr>
        <w:t>1.2</w:t>
      </w:r>
      <w:r>
        <w:rPr>
          <w:rFonts w:hint="eastAsia" w:ascii="仿宋_GB2312" w:hAnsi="仿宋_GB2312" w:eastAsia="仿宋_GB2312" w:cs="仿宋_GB2312"/>
          <w:b w:val="0"/>
          <w:bCs w:val="0"/>
          <w:color w:val="auto"/>
          <w:sz w:val="26"/>
          <w:szCs w:val="26"/>
          <w:highlight w:val="none"/>
          <w:u w:val="none"/>
        </w:rPr>
        <w:t>、电缆（含附件）清单项目</w:t>
      </w:r>
      <w:bookmarkEnd w:id="23"/>
    </w:p>
    <w:p w14:paraId="41FEA2B3">
      <w:pPr>
        <w:pStyle w:val="44"/>
        <w:spacing w:line="400" w:lineRule="exact"/>
        <w:ind w:firstLine="496"/>
        <w:rPr>
          <w:rFonts w:hint="eastAsia" w:ascii="仿宋_GB2312" w:hAnsi="仿宋_GB2312" w:eastAsia="仿宋_GB2312" w:cs="仿宋_GB2312"/>
          <w:b w:val="0"/>
          <w:bCs w:val="0"/>
          <w:color w:val="auto"/>
          <w:sz w:val="26"/>
          <w:szCs w:val="26"/>
          <w:highlight w:val="none"/>
          <w:u w:val="none"/>
        </w:rPr>
      </w:pPr>
      <w:r>
        <w:rPr>
          <w:rFonts w:hint="eastAsia" w:ascii="仿宋_GB2312" w:hAnsi="仿宋_GB2312" w:eastAsia="仿宋_GB2312" w:cs="仿宋_GB2312"/>
          <w:b w:val="0"/>
          <w:bCs w:val="0"/>
          <w:color w:val="auto"/>
          <w:sz w:val="26"/>
          <w:szCs w:val="26"/>
          <w:highlight w:val="none"/>
          <w:u w:val="none"/>
        </w:rPr>
        <w:t>（1）电缆分电压等级、用途、材质、规格、型号，不分敷设方式，以“米”为计量单位计算。</w:t>
      </w:r>
    </w:p>
    <w:p w14:paraId="0E374D18">
      <w:pPr>
        <w:pStyle w:val="44"/>
        <w:spacing w:line="400" w:lineRule="exact"/>
        <w:ind w:firstLine="496"/>
        <w:rPr>
          <w:rFonts w:hint="eastAsia" w:ascii="仿宋_GB2312" w:hAnsi="仿宋_GB2312" w:eastAsia="仿宋_GB2312" w:cs="仿宋_GB2312"/>
          <w:b w:val="0"/>
          <w:bCs w:val="0"/>
          <w:color w:val="auto"/>
          <w:sz w:val="26"/>
          <w:szCs w:val="26"/>
          <w:highlight w:val="none"/>
          <w:u w:val="none"/>
        </w:rPr>
      </w:pPr>
      <w:r>
        <w:rPr>
          <w:rFonts w:hint="eastAsia" w:ascii="仿宋_GB2312" w:hAnsi="仿宋_GB2312" w:eastAsia="仿宋_GB2312" w:cs="仿宋_GB2312"/>
          <w:b w:val="0"/>
          <w:bCs w:val="0"/>
          <w:color w:val="auto"/>
          <w:sz w:val="26"/>
          <w:szCs w:val="26"/>
          <w:highlight w:val="none"/>
          <w:u w:val="none"/>
        </w:rPr>
        <w:t>（2）工作内容包括：揭（盖）盖板、电缆敷设、连接体、接地、试压、测试、防火堵洞、电缆防护、单体调试等工作内容。</w:t>
      </w:r>
    </w:p>
    <w:p w14:paraId="2B28B62A">
      <w:pPr>
        <w:pStyle w:val="44"/>
        <w:spacing w:line="400" w:lineRule="exact"/>
        <w:ind w:firstLine="496"/>
        <w:rPr>
          <w:rFonts w:hint="eastAsia" w:ascii="仿宋_GB2312" w:hAnsi="仿宋_GB2312" w:eastAsia="仿宋_GB2312" w:cs="仿宋_GB2312"/>
          <w:b w:val="0"/>
          <w:bCs w:val="0"/>
          <w:color w:val="auto"/>
          <w:sz w:val="26"/>
          <w:szCs w:val="26"/>
          <w:highlight w:val="none"/>
          <w:u w:val="none"/>
          <w:lang w:eastAsia="zh-CN"/>
        </w:rPr>
      </w:pPr>
      <w:r>
        <w:rPr>
          <w:rFonts w:hint="eastAsia" w:cs="仿宋_GB2312"/>
          <w:b w:val="0"/>
          <w:bCs w:val="0"/>
          <w:color w:val="auto"/>
          <w:sz w:val="26"/>
          <w:szCs w:val="26"/>
          <w:highlight w:val="none"/>
          <w:u w:val="none"/>
          <w:lang w:eastAsia="zh-CN"/>
        </w:rPr>
        <w:t>（</w:t>
      </w:r>
      <w:r>
        <w:rPr>
          <w:rFonts w:hint="eastAsia" w:cs="仿宋_GB2312"/>
          <w:b w:val="0"/>
          <w:bCs w:val="0"/>
          <w:color w:val="auto"/>
          <w:sz w:val="26"/>
          <w:szCs w:val="26"/>
          <w:highlight w:val="none"/>
          <w:u w:val="none"/>
          <w:lang w:val="en-US" w:eastAsia="zh-CN"/>
        </w:rPr>
        <w:t>3</w:t>
      </w:r>
      <w:r>
        <w:rPr>
          <w:rFonts w:hint="eastAsia" w:cs="仿宋_GB2312"/>
          <w:b w:val="0"/>
          <w:bCs w:val="0"/>
          <w:color w:val="auto"/>
          <w:sz w:val="26"/>
          <w:szCs w:val="26"/>
          <w:highlight w:val="none"/>
          <w:u w:val="none"/>
          <w:lang w:eastAsia="zh-CN"/>
        </w:rPr>
        <w:t>）本清单项目结算工程量计算规则:合同总价包干，变更按设计图纸以“</w:t>
      </w:r>
      <w:r>
        <w:rPr>
          <w:rFonts w:hint="eastAsia" w:cs="仿宋_GB2312"/>
          <w:b w:val="0"/>
          <w:bCs w:val="0"/>
          <w:color w:val="auto"/>
          <w:sz w:val="26"/>
          <w:szCs w:val="26"/>
          <w:highlight w:val="none"/>
          <w:u w:val="none"/>
          <w:lang w:val="en-US" w:eastAsia="zh-CN"/>
        </w:rPr>
        <w:t>米</w:t>
      </w:r>
      <w:r>
        <w:rPr>
          <w:rFonts w:hint="eastAsia" w:cs="仿宋_GB2312"/>
          <w:b w:val="0"/>
          <w:bCs w:val="0"/>
          <w:color w:val="auto"/>
          <w:sz w:val="26"/>
          <w:szCs w:val="26"/>
          <w:highlight w:val="none"/>
          <w:u w:val="none"/>
          <w:lang w:eastAsia="zh-CN"/>
        </w:rPr>
        <w:t>”计算。</w:t>
      </w:r>
    </w:p>
    <w:p w14:paraId="6130BE42">
      <w:pPr>
        <w:pStyle w:val="65"/>
        <w:spacing w:before="0" w:beforeLines="0" w:after="0" w:afterLines="0" w:line="400" w:lineRule="exact"/>
        <w:ind w:firstLine="525" w:firstLineChars="196"/>
        <w:rPr>
          <w:rFonts w:hint="eastAsia" w:ascii="仿宋_GB2312" w:hAnsi="仿宋_GB2312" w:eastAsia="仿宋_GB2312" w:cs="仿宋_GB2312"/>
          <w:b w:val="0"/>
          <w:bCs w:val="0"/>
          <w:color w:val="auto"/>
          <w:sz w:val="26"/>
          <w:szCs w:val="26"/>
          <w:highlight w:val="none"/>
          <w:u w:val="none"/>
        </w:rPr>
      </w:pPr>
      <w:r>
        <w:rPr>
          <w:rFonts w:hint="eastAsia" w:ascii="仿宋_GB2312" w:hAnsi="仿宋_GB2312" w:eastAsia="仿宋_GB2312" w:cs="仿宋_GB2312"/>
          <w:b w:val="0"/>
          <w:bCs w:val="0"/>
          <w:color w:val="auto"/>
          <w:sz w:val="26"/>
          <w:szCs w:val="26"/>
          <w:highlight w:val="none"/>
          <w:u w:val="none"/>
          <w:lang w:val="en-US" w:eastAsia="zh-CN"/>
        </w:rPr>
        <w:t>1.3</w:t>
      </w:r>
      <w:r>
        <w:rPr>
          <w:rFonts w:hint="eastAsia" w:ascii="仿宋_GB2312" w:hAnsi="仿宋_GB2312" w:eastAsia="仿宋_GB2312" w:cs="仿宋_GB2312"/>
          <w:b w:val="0"/>
          <w:bCs w:val="0"/>
          <w:color w:val="auto"/>
          <w:sz w:val="26"/>
          <w:szCs w:val="26"/>
          <w:highlight w:val="none"/>
          <w:u w:val="none"/>
        </w:rPr>
        <w:t>、</w:t>
      </w:r>
      <w:bookmarkStart w:id="24" w:name="_Toc322599056"/>
      <w:r>
        <w:rPr>
          <w:rFonts w:hint="eastAsia" w:ascii="仿宋_GB2312" w:hAnsi="仿宋_GB2312" w:eastAsia="仿宋_GB2312" w:cs="仿宋_GB2312"/>
          <w:b w:val="0"/>
          <w:bCs w:val="0"/>
          <w:color w:val="auto"/>
          <w:sz w:val="26"/>
          <w:szCs w:val="26"/>
          <w:highlight w:val="none"/>
          <w:u w:val="none"/>
        </w:rPr>
        <w:t>电线（含附件）清单项目</w:t>
      </w:r>
      <w:bookmarkEnd w:id="24"/>
    </w:p>
    <w:p w14:paraId="3C6BAC22">
      <w:pPr>
        <w:pStyle w:val="44"/>
        <w:spacing w:line="400" w:lineRule="exact"/>
        <w:ind w:firstLine="496"/>
        <w:rPr>
          <w:rFonts w:hint="eastAsia" w:ascii="仿宋_GB2312" w:hAnsi="仿宋_GB2312" w:eastAsia="仿宋_GB2312" w:cs="仿宋_GB2312"/>
          <w:b w:val="0"/>
          <w:bCs w:val="0"/>
          <w:color w:val="auto"/>
          <w:sz w:val="26"/>
          <w:szCs w:val="26"/>
          <w:highlight w:val="none"/>
          <w:u w:val="none"/>
        </w:rPr>
      </w:pPr>
      <w:r>
        <w:rPr>
          <w:rFonts w:hint="eastAsia" w:ascii="仿宋_GB2312" w:hAnsi="仿宋_GB2312" w:eastAsia="仿宋_GB2312" w:cs="仿宋_GB2312"/>
          <w:b w:val="0"/>
          <w:bCs w:val="0"/>
          <w:color w:val="auto"/>
          <w:sz w:val="26"/>
          <w:szCs w:val="26"/>
          <w:highlight w:val="none"/>
          <w:u w:val="none"/>
        </w:rPr>
        <w:t>（1）电线分电压等级、用途、材质、规格、型号，不分敷设方式，以“米”为计量单位计算。</w:t>
      </w:r>
    </w:p>
    <w:p w14:paraId="07EB0AE5">
      <w:pPr>
        <w:pStyle w:val="44"/>
        <w:spacing w:line="400" w:lineRule="exact"/>
        <w:ind w:firstLine="496"/>
        <w:rPr>
          <w:rFonts w:hint="eastAsia" w:ascii="仿宋_GB2312" w:hAnsi="仿宋_GB2312" w:eastAsia="仿宋_GB2312" w:cs="仿宋_GB2312"/>
          <w:b w:val="0"/>
          <w:bCs w:val="0"/>
          <w:color w:val="auto"/>
          <w:sz w:val="26"/>
          <w:szCs w:val="26"/>
          <w:highlight w:val="none"/>
          <w:u w:val="none"/>
        </w:rPr>
      </w:pPr>
      <w:r>
        <w:rPr>
          <w:rFonts w:hint="eastAsia" w:ascii="仿宋_GB2312" w:hAnsi="仿宋_GB2312" w:eastAsia="仿宋_GB2312" w:cs="仿宋_GB2312"/>
          <w:b w:val="0"/>
          <w:bCs w:val="0"/>
          <w:color w:val="auto"/>
          <w:sz w:val="26"/>
          <w:szCs w:val="26"/>
          <w:highlight w:val="none"/>
          <w:u w:val="none"/>
        </w:rPr>
        <w:t>（2）工作内容包括：支架制作安装、配线、管内穿线、接地等工作内容。</w:t>
      </w:r>
    </w:p>
    <w:p w14:paraId="2F05F21D">
      <w:pPr>
        <w:pStyle w:val="44"/>
        <w:spacing w:line="400" w:lineRule="exact"/>
        <w:ind w:firstLine="496"/>
        <w:rPr>
          <w:rFonts w:hint="eastAsia" w:ascii="仿宋_GB2312" w:hAnsi="仿宋_GB2312" w:eastAsia="仿宋_GB2312" w:cs="仿宋_GB2312"/>
          <w:b w:val="0"/>
          <w:bCs w:val="0"/>
          <w:color w:val="auto"/>
          <w:sz w:val="26"/>
          <w:szCs w:val="26"/>
          <w:highlight w:val="none"/>
          <w:u w:val="none"/>
          <w:lang w:eastAsia="zh-CN"/>
        </w:rPr>
      </w:pPr>
      <w:r>
        <w:rPr>
          <w:rFonts w:hint="eastAsia" w:cs="仿宋_GB2312"/>
          <w:b w:val="0"/>
          <w:bCs w:val="0"/>
          <w:color w:val="auto"/>
          <w:sz w:val="26"/>
          <w:szCs w:val="26"/>
          <w:highlight w:val="none"/>
          <w:u w:val="none"/>
          <w:lang w:eastAsia="zh-CN"/>
        </w:rPr>
        <w:t>（</w:t>
      </w:r>
      <w:r>
        <w:rPr>
          <w:rFonts w:hint="eastAsia" w:cs="仿宋_GB2312"/>
          <w:b w:val="0"/>
          <w:bCs w:val="0"/>
          <w:color w:val="auto"/>
          <w:sz w:val="26"/>
          <w:szCs w:val="26"/>
          <w:highlight w:val="none"/>
          <w:u w:val="none"/>
          <w:lang w:val="en-US" w:eastAsia="zh-CN"/>
        </w:rPr>
        <w:t>3</w:t>
      </w:r>
      <w:r>
        <w:rPr>
          <w:rFonts w:hint="eastAsia" w:cs="仿宋_GB2312"/>
          <w:b w:val="0"/>
          <w:bCs w:val="0"/>
          <w:color w:val="auto"/>
          <w:sz w:val="26"/>
          <w:szCs w:val="26"/>
          <w:highlight w:val="none"/>
          <w:u w:val="none"/>
          <w:lang w:eastAsia="zh-CN"/>
        </w:rPr>
        <w:t>）本清单项目结算工程量计算规则:合同总价包干，变更按设计图纸以“</w:t>
      </w:r>
      <w:r>
        <w:rPr>
          <w:rFonts w:hint="eastAsia" w:cs="仿宋_GB2312"/>
          <w:b w:val="0"/>
          <w:bCs w:val="0"/>
          <w:color w:val="auto"/>
          <w:sz w:val="26"/>
          <w:szCs w:val="26"/>
          <w:highlight w:val="none"/>
          <w:u w:val="none"/>
          <w:lang w:val="en-US" w:eastAsia="zh-CN"/>
        </w:rPr>
        <w:t>米</w:t>
      </w:r>
      <w:r>
        <w:rPr>
          <w:rFonts w:hint="eastAsia" w:cs="仿宋_GB2312"/>
          <w:b w:val="0"/>
          <w:bCs w:val="0"/>
          <w:color w:val="auto"/>
          <w:sz w:val="26"/>
          <w:szCs w:val="26"/>
          <w:highlight w:val="none"/>
          <w:u w:val="none"/>
          <w:lang w:eastAsia="zh-CN"/>
        </w:rPr>
        <w:t>”计算。</w:t>
      </w:r>
    </w:p>
    <w:p w14:paraId="2D46345B">
      <w:pPr>
        <w:pStyle w:val="65"/>
        <w:spacing w:before="0" w:beforeLines="0" w:after="0" w:afterLines="0" w:line="400" w:lineRule="exact"/>
        <w:ind w:firstLine="525" w:firstLineChars="196"/>
        <w:rPr>
          <w:rFonts w:hint="eastAsia" w:ascii="仿宋_GB2312" w:hAnsi="仿宋_GB2312" w:eastAsia="仿宋_GB2312" w:cs="仿宋_GB2312"/>
          <w:b w:val="0"/>
          <w:bCs w:val="0"/>
          <w:color w:val="auto"/>
          <w:sz w:val="26"/>
          <w:szCs w:val="26"/>
          <w:u w:val="none"/>
        </w:rPr>
      </w:pPr>
      <w:bookmarkStart w:id="25" w:name="_Toc322599057"/>
      <w:r>
        <w:rPr>
          <w:rFonts w:hint="eastAsia" w:ascii="仿宋_GB2312" w:hAnsi="仿宋_GB2312" w:eastAsia="仿宋_GB2312" w:cs="仿宋_GB2312"/>
          <w:b w:val="0"/>
          <w:bCs w:val="0"/>
          <w:color w:val="auto"/>
          <w:sz w:val="26"/>
          <w:szCs w:val="26"/>
          <w:u w:val="none"/>
          <w:lang w:val="en-US" w:eastAsia="zh-CN"/>
        </w:rPr>
        <w:t>1.4</w:t>
      </w:r>
      <w:r>
        <w:rPr>
          <w:rFonts w:hint="eastAsia" w:ascii="仿宋_GB2312" w:hAnsi="仿宋_GB2312" w:eastAsia="仿宋_GB2312" w:cs="仿宋_GB2312"/>
          <w:b w:val="0"/>
          <w:bCs w:val="0"/>
          <w:color w:val="auto"/>
          <w:sz w:val="26"/>
          <w:szCs w:val="26"/>
          <w:u w:val="none"/>
        </w:rPr>
        <w:t>、</w:t>
      </w:r>
      <w:bookmarkEnd w:id="25"/>
      <w:r>
        <w:rPr>
          <w:rFonts w:hint="eastAsia" w:ascii="仿宋_GB2312" w:hAnsi="仿宋_GB2312" w:eastAsia="仿宋_GB2312" w:cs="仿宋_GB2312"/>
          <w:b w:val="0"/>
          <w:bCs w:val="0"/>
          <w:color w:val="auto"/>
          <w:spacing w:val="4"/>
          <w:sz w:val="26"/>
          <w:szCs w:val="26"/>
          <w:highlight w:val="none"/>
          <w:u w:val="none"/>
        </w:rPr>
        <w:t>线槽支架</w:t>
      </w:r>
      <w:r>
        <w:rPr>
          <w:rFonts w:hint="eastAsia" w:ascii="仿宋_GB2312" w:hAnsi="仿宋_GB2312" w:eastAsia="仿宋_GB2312" w:cs="仿宋_GB2312"/>
          <w:b w:val="0"/>
          <w:bCs w:val="0"/>
          <w:color w:val="auto"/>
          <w:sz w:val="26"/>
          <w:szCs w:val="26"/>
          <w:u w:val="none"/>
        </w:rPr>
        <w:t>清单项目</w:t>
      </w:r>
    </w:p>
    <w:p w14:paraId="5B9D8D60">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（1）</w:t>
      </w:r>
      <w:r>
        <w:rPr>
          <w:rFonts w:hint="eastAsia" w:ascii="仿宋_GB2312" w:hAnsi="仿宋_GB2312" w:eastAsia="仿宋_GB2312" w:cs="仿宋_GB2312"/>
          <w:b w:val="0"/>
          <w:bCs w:val="0"/>
          <w:color w:val="auto"/>
          <w:sz w:val="26"/>
          <w:szCs w:val="26"/>
          <w:highlight w:val="none"/>
        </w:rPr>
        <w:t>线槽支架，分不同材质以“Kg”为计量单位计算</w:t>
      </w:r>
      <w:r>
        <w:rPr>
          <w:rFonts w:hint="eastAsia" w:ascii="仿宋_GB2312" w:hAnsi="仿宋_GB2312" w:eastAsia="仿宋_GB2312" w:cs="仿宋_GB2312"/>
          <w:b w:val="0"/>
          <w:bCs w:val="0"/>
          <w:color w:val="auto"/>
          <w:sz w:val="26"/>
          <w:szCs w:val="26"/>
        </w:rPr>
        <w:t>。</w:t>
      </w:r>
    </w:p>
    <w:p w14:paraId="687B2155">
      <w:pPr>
        <w:pStyle w:val="44"/>
        <w:spacing w:line="400" w:lineRule="exact"/>
        <w:ind w:firstLine="496"/>
        <w:rPr>
          <w:rFonts w:hint="eastAsia" w:ascii="仿宋_GB2312" w:hAnsi="仿宋_GB2312" w:eastAsia="仿宋_GB2312" w:cs="仿宋_GB2312"/>
          <w:b w:val="0"/>
          <w:bCs w:val="0"/>
          <w:color w:val="auto"/>
          <w:sz w:val="26"/>
          <w:szCs w:val="26"/>
          <w:highlight w:val="none"/>
        </w:rPr>
      </w:pPr>
      <w:r>
        <w:rPr>
          <w:rFonts w:hint="eastAsia" w:ascii="仿宋_GB2312" w:hAnsi="仿宋_GB2312" w:eastAsia="仿宋_GB2312" w:cs="仿宋_GB2312"/>
          <w:b w:val="0"/>
          <w:bCs w:val="0"/>
          <w:color w:val="auto"/>
          <w:sz w:val="26"/>
          <w:szCs w:val="26"/>
        </w:rPr>
        <w:t>（2）工作内容包括：</w:t>
      </w:r>
      <w:r>
        <w:rPr>
          <w:rFonts w:hint="eastAsia" w:ascii="仿宋_GB2312" w:hAnsi="仿宋_GB2312" w:eastAsia="仿宋_GB2312" w:cs="仿宋_GB2312"/>
          <w:b w:val="0"/>
          <w:bCs w:val="0"/>
          <w:color w:val="auto"/>
          <w:sz w:val="26"/>
          <w:szCs w:val="26"/>
          <w:highlight w:val="none"/>
        </w:rPr>
        <w:t>除锈、除尘、调配、涂刷、切断、调直、煨制、钻孔、组对、焊接等满足设计图纸和施工规范要求而进行、完成和维护这项工程的一切有关费用。</w:t>
      </w:r>
    </w:p>
    <w:p w14:paraId="3CEF3EB9">
      <w:pPr>
        <w:pStyle w:val="44"/>
        <w:spacing w:line="400" w:lineRule="exact"/>
        <w:ind w:firstLine="496"/>
        <w:rPr>
          <w:rFonts w:hint="eastAsia" w:ascii="仿宋_GB2312" w:hAnsi="仿宋_GB2312" w:eastAsia="仿宋_GB2312" w:cs="仿宋_GB2312"/>
          <w:b w:val="0"/>
          <w:bCs w:val="0"/>
          <w:color w:val="auto"/>
          <w:sz w:val="26"/>
          <w:szCs w:val="26"/>
          <w:highlight w:val="none"/>
          <w:lang w:val="en-US" w:eastAsia="zh-CN"/>
        </w:rPr>
      </w:pPr>
      <w:r>
        <w:rPr>
          <w:rFonts w:hint="eastAsia" w:cs="仿宋_GB2312"/>
          <w:b w:val="0"/>
          <w:bCs w:val="0"/>
          <w:color w:val="auto"/>
          <w:sz w:val="26"/>
          <w:szCs w:val="26"/>
          <w:highlight w:val="none"/>
          <w:lang w:eastAsia="zh-CN"/>
        </w:rPr>
        <w:t>（</w:t>
      </w:r>
      <w:r>
        <w:rPr>
          <w:rFonts w:hint="eastAsia" w:cs="仿宋_GB2312"/>
          <w:b w:val="0"/>
          <w:bCs w:val="0"/>
          <w:color w:val="auto"/>
          <w:sz w:val="26"/>
          <w:szCs w:val="26"/>
          <w:highlight w:val="none"/>
          <w:lang w:val="en-US" w:eastAsia="zh-CN"/>
        </w:rPr>
        <w:t>3</w:t>
      </w:r>
      <w:r>
        <w:rPr>
          <w:rFonts w:hint="eastAsia" w:cs="仿宋_GB2312"/>
          <w:b w:val="0"/>
          <w:bCs w:val="0"/>
          <w:color w:val="auto"/>
          <w:sz w:val="26"/>
          <w:szCs w:val="26"/>
          <w:highlight w:val="none"/>
          <w:lang w:eastAsia="zh-CN"/>
        </w:rPr>
        <w:t>）本清单项目结算工程量计算规则:合同总价包干，变更按设计图纸以“</w:t>
      </w:r>
      <w:r>
        <w:rPr>
          <w:rFonts w:hint="eastAsia" w:cs="仿宋_GB2312"/>
          <w:b w:val="0"/>
          <w:bCs w:val="0"/>
          <w:color w:val="auto"/>
          <w:sz w:val="26"/>
          <w:szCs w:val="26"/>
          <w:highlight w:val="none"/>
          <w:lang w:val="en-US" w:eastAsia="zh-CN"/>
        </w:rPr>
        <w:t>Kg</w:t>
      </w:r>
      <w:r>
        <w:rPr>
          <w:rFonts w:hint="eastAsia" w:cs="仿宋_GB2312"/>
          <w:b w:val="0"/>
          <w:bCs w:val="0"/>
          <w:color w:val="auto"/>
          <w:sz w:val="26"/>
          <w:szCs w:val="26"/>
          <w:highlight w:val="none"/>
          <w:lang w:eastAsia="zh-CN"/>
        </w:rPr>
        <w:t>”计算。</w:t>
      </w:r>
    </w:p>
    <w:p w14:paraId="24CD5686">
      <w:pPr>
        <w:pStyle w:val="65"/>
        <w:spacing w:before="0" w:beforeLines="0" w:after="0" w:afterLines="0" w:line="400" w:lineRule="exact"/>
        <w:ind w:firstLine="525" w:firstLineChars="196"/>
        <w:rPr>
          <w:rFonts w:hint="eastAsia" w:ascii="仿宋_GB2312" w:hAnsi="仿宋_GB2312" w:eastAsia="仿宋_GB2312" w:cs="仿宋_GB2312"/>
          <w:b w:val="0"/>
          <w:bCs w:val="0"/>
          <w:color w:val="auto"/>
          <w:sz w:val="26"/>
          <w:szCs w:val="26"/>
        </w:rPr>
      </w:pPr>
      <w:bookmarkStart w:id="26" w:name="_Toc322599059"/>
      <w:r>
        <w:rPr>
          <w:rFonts w:hint="eastAsia" w:ascii="仿宋_GB2312" w:hAnsi="仿宋_GB2312" w:eastAsia="仿宋_GB2312" w:cs="仿宋_GB2312"/>
          <w:b w:val="0"/>
          <w:bCs w:val="0"/>
          <w:color w:val="auto"/>
          <w:sz w:val="26"/>
          <w:szCs w:val="26"/>
          <w:lang w:val="en-US" w:eastAsia="zh-CN"/>
        </w:rPr>
        <w:t>1.5</w:t>
      </w:r>
      <w:r>
        <w:rPr>
          <w:rFonts w:hint="eastAsia" w:ascii="仿宋_GB2312" w:hAnsi="仿宋_GB2312" w:eastAsia="仿宋_GB2312" w:cs="仿宋_GB2312"/>
          <w:b w:val="0"/>
          <w:bCs w:val="0"/>
          <w:color w:val="auto"/>
          <w:sz w:val="26"/>
          <w:szCs w:val="26"/>
        </w:rPr>
        <w:t>、</w:t>
      </w:r>
      <w:r>
        <w:rPr>
          <w:rFonts w:hint="eastAsia" w:ascii="仿宋_GB2312" w:hAnsi="仿宋_GB2312" w:eastAsia="仿宋_GB2312" w:cs="仿宋_GB2312"/>
          <w:b w:val="0"/>
          <w:bCs w:val="0"/>
          <w:color w:val="auto"/>
          <w:sz w:val="26"/>
          <w:szCs w:val="26"/>
          <w:lang w:val="en-US" w:eastAsia="zh-CN"/>
        </w:rPr>
        <w:t>金属</w:t>
      </w:r>
      <w:r>
        <w:rPr>
          <w:rFonts w:hint="eastAsia" w:ascii="仿宋_GB2312" w:hAnsi="仿宋_GB2312" w:eastAsia="仿宋_GB2312" w:cs="仿宋_GB2312"/>
          <w:b w:val="0"/>
          <w:bCs w:val="0"/>
          <w:color w:val="auto"/>
          <w:sz w:val="26"/>
          <w:szCs w:val="26"/>
        </w:rPr>
        <w:t>线槽（含附件）安装清单项目</w:t>
      </w:r>
      <w:bookmarkEnd w:id="26"/>
    </w:p>
    <w:p w14:paraId="25904A4B">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（1）</w:t>
      </w:r>
      <w:r>
        <w:rPr>
          <w:rFonts w:hint="eastAsia" w:ascii="仿宋_GB2312" w:hAnsi="仿宋_GB2312" w:eastAsia="仿宋_GB2312" w:cs="仿宋_GB2312"/>
          <w:b w:val="0"/>
          <w:bCs w:val="0"/>
          <w:color w:val="auto"/>
          <w:sz w:val="26"/>
          <w:szCs w:val="26"/>
          <w:lang w:val="en-US" w:eastAsia="zh-CN"/>
        </w:rPr>
        <w:t>金属</w:t>
      </w:r>
      <w:r>
        <w:rPr>
          <w:rFonts w:hint="eastAsia" w:ascii="仿宋_GB2312" w:hAnsi="仿宋_GB2312" w:eastAsia="仿宋_GB2312" w:cs="仿宋_GB2312"/>
          <w:b w:val="0"/>
          <w:bCs w:val="0"/>
          <w:color w:val="auto"/>
          <w:sz w:val="26"/>
          <w:szCs w:val="26"/>
        </w:rPr>
        <w:t>线槽及附件（包括盖板、三通、弯头、接地扣片等全部配件）以截面半周长为步距按“米”计算。</w:t>
      </w:r>
    </w:p>
    <w:p w14:paraId="4401D54B">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（2）工作内容包括：</w:t>
      </w:r>
      <w:r>
        <w:rPr>
          <w:rFonts w:hint="eastAsia" w:ascii="仿宋_GB2312" w:hAnsi="仿宋_GB2312" w:eastAsia="仿宋_GB2312" w:cs="仿宋_GB2312"/>
          <w:b w:val="0"/>
          <w:bCs w:val="0"/>
          <w:color w:val="auto"/>
          <w:sz w:val="26"/>
          <w:szCs w:val="26"/>
          <w:highlight w:val="none"/>
        </w:rPr>
        <w:t>除锈、除尘、调配、涂刷、切断、调直、煨制、钻孔、组对、焊接等满足设计图纸和施工规范要求而进行、完成和维护这项工程的一切有关费用</w:t>
      </w:r>
      <w:r>
        <w:rPr>
          <w:rFonts w:hint="eastAsia" w:ascii="仿宋_GB2312" w:hAnsi="仿宋_GB2312" w:eastAsia="仿宋_GB2312" w:cs="仿宋_GB2312"/>
          <w:b w:val="0"/>
          <w:bCs w:val="0"/>
          <w:color w:val="auto"/>
          <w:sz w:val="26"/>
          <w:szCs w:val="26"/>
        </w:rPr>
        <w:t>工作内容。</w:t>
      </w:r>
    </w:p>
    <w:p w14:paraId="7806AF79">
      <w:pPr>
        <w:pStyle w:val="44"/>
        <w:spacing w:line="400" w:lineRule="exact"/>
        <w:ind w:firstLine="496"/>
        <w:rPr>
          <w:rFonts w:hint="eastAsia" w:ascii="仿宋_GB2312" w:hAnsi="仿宋_GB2312" w:eastAsia="仿宋_GB2312" w:cs="仿宋_GB2312"/>
          <w:b w:val="0"/>
          <w:bCs w:val="0"/>
          <w:color w:val="auto"/>
          <w:sz w:val="26"/>
          <w:szCs w:val="26"/>
          <w:lang w:eastAsia="zh-CN"/>
        </w:rPr>
      </w:pPr>
      <w:r>
        <w:rPr>
          <w:rFonts w:hint="eastAsia" w:cs="仿宋_GB2312"/>
          <w:b w:val="0"/>
          <w:bCs w:val="0"/>
          <w:color w:val="auto"/>
          <w:sz w:val="26"/>
          <w:szCs w:val="26"/>
          <w:lang w:eastAsia="zh-CN"/>
        </w:rPr>
        <w:t>（</w:t>
      </w:r>
      <w:r>
        <w:rPr>
          <w:rFonts w:hint="eastAsia" w:cs="仿宋_GB2312"/>
          <w:b w:val="0"/>
          <w:bCs w:val="0"/>
          <w:color w:val="auto"/>
          <w:sz w:val="26"/>
          <w:szCs w:val="26"/>
          <w:lang w:val="en-US" w:eastAsia="zh-CN"/>
        </w:rPr>
        <w:t>3</w:t>
      </w:r>
      <w:r>
        <w:rPr>
          <w:rFonts w:hint="eastAsia" w:cs="仿宋_GB2312"/>
          <w:b w:val="0"/>
          <w:bCs w:val="0"/>
          <w:color w:val="auto"/>
          <w:sz w:val="26"/>
          <w:szCs w:val="26"/>
          <w:lang w:eastAsia="zh-CN"/>
        </w:rPr>
        <w:t>）本清单项目结算工程量计算规则:合同总价包干，变更按设计图纸以“</w:t>
      </w:r>
      <w:r>
        <w:rPr>
          <w:rFonts w:hint="eastAsia" w:cs="仿宋_GB2312"/>
          <w:b w:val="0"/>
          <w:bCs w:val="0"/>
          <w:color w:val="auto"/>
          <w:sz w:val="26"/>
          <w:szCs w:val="26"/>
          <w:lang w:val="en-US" w:eastAsia="zh-CN"/>
        </w:rPr>
        <w:t>米</w:t>
      </w:r>
      <w:r>
        <w:rPr>
          <w:rFonts w:hint="eastAsia" w:cs="仿宋_GB2312"/>
          <w:b w:val="0"/>
          <w:bCs w:val="0"/>
          <w:color w:val="auto"/>
          <w:sz w:val="26"/>
          <w:szCs w:val="26"/>
          <w:lang w:eastAsia="zh-CN"/>
        </w:rPr>
        <w:t>”计算。</w:t>
      </w:r>
    </w:p>
    <w:p w14:paraId="5E9D4B50">
      <w:pPr>
        <w:pStyle w:val="65"/>
        <w:spacing w:before="0" w:beforeLines="0" w:after="0" w:afterLines="0" w:line="400" w:lineRule="exact"/>
        <w:ind w:firstLine="525" w:firstLineChars="196"/>
        <w:rPr>
          <w:rFonts w:hint="eastAsia" w:ascii="仿宋_GB2312" w:hAnsi="仿宋_GB2312" w:eastAsia="仿宋_GB2312" w:cs="仿宋_GB2312"/>
          <w:b w:val="0"/>
          <w:bCs w:val="0"/>
          <w:color w:val="auto"/>
          <w:sz w:val="26"/>
          <w:szCs w:val="26"/>
        </w:rPr>
      </w:pPr>
      <w:bookmarkStart w:id="27" w:name="_Toc322599060"/>
      <w:r>
        <w:rPr>
          <w:rFonts w:hint="eastAsia" w:ascii="仿宋_GB2312" w:hAnsi="仿宋_GB2312" w:eastAsia="仿宋_GB2312" w:cs="仿宋_GB2312"/>
          <w:b w:val="0"/>
          <w:bCs w:val="0"/>
          <w:color w:val="auto"/>
          <w:sz w:val="26"/>
          <w:szCs w:val="26"/>
          <w:lang w:val="en-US" w:eastAsia="zh-CN"/>
        </w:rPr>
        <w:t>1.6</w:t>
      </w:r>
      <w:r>
        <w:rPr>
          <w:rFonts w:hint="eastAsia" w:ascii="仿宋_GB2312" w:hAnsi="仿宋_GB2312" w:eastAsia="仿宋_GB2312" w:cs="仿宋_GB2312"/>
          <w:b w:val="0"/>
          <w:bCs w:val="0"/>
          <w:color w:val="auto"/>
          <w:sz w:val="26"/>
          <w:szCs w:val="26"/>
        </w:rPr>
        <w:t>、镀锌钢管、</w:t>
      </w:r>
      <w:r>
        <w:rPr>
          <w:rFonts w:hint="eastAsia" w:ascii="仿宋_GB2312" w:hAnsi="仿宋_GB2312" w:eastAsia="仿宋_GB2312" w:cs="仿宋_GB2312"/>
          <w:b w:val="0"/>
          <w:bCs w:val="0"/>
          <w:color w:val="auto"/>
          <w:sz w:val="26"/>
          <w:szCs w:val="26"/>
          <w:lang w:val="en-US" w:eastAsia="zh-CN"/>
        </w:rPr>
        <w:t>JDG</w:t>
      </w:r>
      <w:r>
        <w:rPr>
          <w:rFonts w:hint="eastAsia" w:ascii="仿宋_GB2312" w:hAnsi="仿宋_GB2312" w:eastAsia="仿宋_GB2312" w:cs="仿宋_GB2312"/>
          <w:b w:val="0"/>
          <w:bCs w:val="0"/>
          <w:color w:val="auto"/>
          <w:sz w:val="26"/>
          <w:szCs w:val="26"/>
        </w:rPr>
        <w:t>电线管等管道（含附件）清单项目</w:t>
      </w:r>
      <w:bookmarkEnd w:id="27"/>
    </w:p>
    <w:p w14:paraId="635594B1">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（1）管道分不同材质、不同规格，不分敷设方式以“米”计算。</w:t>
      </w:r>
    </w:p>
    <w:p w14:paraId="5C59E5A4">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2）工作内容包括：管道敷设、穿线用牵引铁线、砼结构内的管道预埋施工、于砖墙或有找平层的地面上的开刨槽、砖墙开孔、配件管件及安装、支吊架制作安装、接线盒（箱）安装、防腐油漆、标识、接地等工作内容。</w:t>
      </w:r>
    </w:p>
    <w:p w14:paraId="08C07E75">
      <w:pPr>
        <w:pStyle w:val="44"/>
        <w:spacing w:line="400" w:lineRule="exact"/>
        <w:ind w:firstLine="496"/>
        <w:rPr>
          <w:rFonts w:hint="eastAsia" w:ascii="仿宋_GB2312" w:hAnsi="仿宋_GB2312" w:eastAsia="仿宋_GB2312" w:cs="仿宋_GB2312"/>
          <w:b w:val="0"/>
          <w:bCs w:val="0"/>
          <w:color w:val="auto"/>
          <w:sz w:val="26"/>
          <w:szCs w:val="26"/>
          <w:lang w:eastAsia="zh-CN"/>
        </w:rPr>
      </w:pPr>
      <w:r>
        <w:rPr>
          <w:rFonts w:hint="eastAsia" w:cs="仿宋_GB2312"/>
          <w:b w:val="0"/>
          <w:bCs w:val="0"/>
          <w:color w:val="auto"/>
          <w:sz w:val="26"/>
          <w:szCs w:val="26"/>
          <w:lang w:eastAsia="zh-CN"/>
        </w:rPr>
        <w:t>（</w:t>
      </w:r>
      <w:r>
        <w:rPr>
          <w:rFonts w:hint="eastAsia" w:cs="仿宋_GB2312"/>
          <w:b w:val="0"/>
          <w:bCs w:val="0"/>
          <w:color w:val="auto"/>
          <w:sz w:val="26"/>
          <w:szCs w:val="26"/>
          <w:lang w:val="en-US" w:eastAsia="zh-CN"/>
        </w:rPr>
        <w:t>3</w:t>
      </w:r>
      <w:r>
        <w:rPr>
          <w:rFonts w:hint="eastAsia" w:cs="仿宋_GB2312"/>
          <w:b w:val="0"/>
          <w:bCs w:val="0"/>
          <w:color w:val="auto"/>
          <w:sz w:val="26"/>
          <w:szCs w:val="26"/>
          <w:lang w:eastAsia="zh-CN"/>
        </w:rPr>
        <w:t>）本清单项目结算工程量计算规则:合同总价包干，变更按设计图纸以“</w:t>
      </w:r>
      <w:r>
        <w:rPr>
          <w:rFonts w:hint="eastAsia" w:cs="仿宋_GB2312"/>
          <w:b w:val="0"/>
          <w:bCs w:val="0"/>
          <w:color w:val="auto"/>
          <w:sz w:val="26"/>
          <w:szCs w:val="26"/>
          <w:lang w:val="en-US" w:eastAsia="zh-CN"/>
        </w:rPr>
        <w:t>米</w:t>
      </w:r>
      <w:r>
        <w:rPr>
          <w:rFonts w:hint="eastAsia" w:cs="仿宋_GB2312"/>
          <w:b w:val="0"/>
          <w:bCs w:val="0"/>
          <w:color w:val="auto"/>
          <w:sz w:val="26"/>
          <w:szCs w:val="26"/>
          <w:lang w:eastAsia="zh-CN"/>
        </w:rPr>
        <w:t>”计算。</w:t>
      </w:r>
    </w:p>
    <w:p w14:paraId="640007FC">
      <w:pPr>
        <w:pStyle w:val="65"/>
        <w:spacing w:before="0" w:beforeLines="0" w:after="0" w:afterLines="0" w:line="400" w:lineRule="exact"/>
        <w:ind w:firstLine="525" w:firstLineChars="196"/>
        <w:rPr>
          <w:rFonts w:hint="eastAsia" w:ascii="仿宋_GB2312" w:hAnsi="仿宋_GB2312" w:eastAsia="仿宋_GB2312" w:cs="仿宋_GB2312"/>
          <w:b w:val="0"/>
          <w:bCs w:val="0"/>
          <w:color w:val="auto"/>
          <w:sz w:val="26"/>
          <w:szCs w:val="26"/>
        </w:rPr>
      </w:pPr>
      <w:bookmarkStart w:id="28" w:name="_Toc322599061"/>
      <w:r>
        <w:rPr>
          <w:rFonts w:hint="eastAsia" w:ascii="仿宋_GB2312" w:hAnsi="仿宋_GB2312" w:eastAsia="仿宋_GB2312" w:cs="仿宋_GB2312"/>
          <w:b w:val="0"/>
          <w:bCs w:val="0"/>
          <w:color w:val="auto"/>
          <w:sz w:val="26"/>
          <w:szCs w:val="26"/>
          <w:lang w:val="en-US" w:eastAsia="zh-CN"/>
        </w:rPr>
        <w:t>1.</w:t>
      </w:r>
      <w:bookmarkEnd w:id="28"/>
      <w:bookmarkStart w:id="29" w:name="_Toc322599063"/>
      <w:r>
        <w:rPr>
          <w:rFonts w:hint="eastAsia" w:ascii="仿宋_GB2312" w:hAnsi="仿宋_GB2312" w:eastAsia="仿宋_GB2312" w:cs="仿宋_GB2312"/>
          <w:b w:val="0"/>
          <w:bCs w:val="0"/>
          <w:color w:val="auto"/>
          <w:sz w:val="26"/>
          <w:szCs w:val="26"/>
          <w:lang w:val="en-US" w:eastAsia="zh-CN"/>
        </w:rPr>
        <w:t>7</w:t>
      </w:r>
      <w:r>
        <w:rPr>
          <w:rFonts w:hint="eastAsia" w:ascii="仿宋_GB2312" w:hAnsi="仿宋_GB2312" w:eastAsia="仿宋_GB2312" w:cs="仿宋_GB2312"/>
          <w:b w:val="0"/>
          <w:bCs w:val="0"/>
          <w:color w:val="auto"/>
          <w:sz w:val="26"/>
          <w:szCs w:val="26"/>
        </w:rPr>
        <w:t>灯具连附件清单项目</w:t>
      </w:r>
      <w:bookmarkEnd w:id="29"/>
    </w:p>
    <w:p w14:paraId="26216884">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（1）灯具及配件（包括光源、吊杆、吊链、吊钩、底座、轨道等全部附件）。</w:t>
      </w:r>
    </w:p>
    <w:p w14:paraId="7E2B6F1F">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（2）分不同用途、类型、规格、型号，不分安装方式以“套”为单位计算</w:t>
      </w:r>
      <w:r>
        <w:rPr>
          <w:rFonts w:hint="eastAsia" w:cs="仿宋_GB2312"/>
          <w:b w:val="0"/>
          <w:bCs w:val="0"/>
          <w:color w:val="auto"/>
          <w:sz w:val="26"/>
          <w:szCs w:val="26"/>
          <w:lang w:eastAsia="zh-CN"/>
        </w:rPr>
        <w:t>（</w:t>
      </w:r>
      <w:r>
        <w:rPr>
          <w:rFonts w:hint="eastAsia" w:cs="仿宋_GB2312"/>
          <w:b w:val="0"/>
          <w:bCs w:val="0"/>
          <w:color w:val="auto"/>
          <w:sz w:val="26"/>
          <w:szCs w:val="26"/>
          <w:lang w:val="en-US" w:eastAsia="zh-CN"/>
        </w:rPr>
        <w:t>灯带以“米”为单位计算</w:t>
      </w:r>
      <w:r>
        <w:rPr>
          <w:rFonts w:hint="eastAsia" w:cs="仿宋_GB2312"/>
          <w:b w:val="0"/>
          <w:bCs w:val="0"/>
          <w:color w:val="auto"/>
          <w:sz w:val="26"/>
          <w:szCs w:val="26"/>
          <w:lang w:eastAsia="zh-CN"/>
        </w:rPr>
        <w:t>）</w:t>
      </w:r>
      <w:r>
        <w:rPr>
          <w:rFonts w:hint="eastAsia" w:ascii="仿宋_GB2312" w:hAnsi="仿宋_GB2312" w:eastAsia="仿宋_GB2312" w:cs="仿宋_GB2312"/>
          <w:b w:val="0"/>
          <w:bCs w:val="0"/>
          <w:color w:val="auto"/>
          <w:sz w:val="26"/>
          <w:szCs w:val="26"/>
        </w:rPr>
        <w:t>。</w:t>
      </w:r>
    </w:p>
    <w:p w14:paraId="22721396">
      <w:pPr>
        <w:pStyle w:val="44"/>
        <w:spacing w:line="400" w:lineRule="exact"/>
        <w:ind w:firstLine="496"/>
        <w:rPr>
          <w:rFonts w:hint="eastAsia" w:ascii="仿宋_GB2312" w:hAnsi="仿宋_GB2312" w:eastAsia="仿宋_GB2312" w:cs="仿宋_GB2312"/>
          <w:b w:val="0"/>
          <w:bCs w:val="0"/>
          <w:color w:val="auto"/>
          <w:sz w:val="26"/>
          <w:szCs w:val="26"/>
        </w:rPr>
      </w:pPr>
      <w:r>
        <w:rPr>
          <w:rFonts w:hint="eastAsia" w:ascii="仿宋_GB2312" w:hAnsi="仿宋_GB2312" w:eastAsia="仿宋_GB2312" w:cs="仿宋_GB2312"/>
          <w:b w:val="0"/>
          <w:bCs w:val="0"/>
          <w:color w:val="auto"/>
          <w:sz w:val="26"/>
          <w:szCs w:val="26"/>
        </w:rPr>
        <w:t>（3）工作内容包括：各类预埋件留设、灯具及配件安装、金属软管、接线、接地、焊压接线端子、支架、调试等工作内容。</w:t>
      </w:r>
    </w:p>
    <w:p w14:paraId="6C4E18F5">
      <w:pPr>
        <w:pStyle w:val="44"/>
        <w:spacing w:line="400" w:lineRule="exact"/>
        <w:ind w:firstLine="496"/>
        <w:rPr>
          <w:rFonts w:hint="eastAsia" w:ascii="仿宋_GB2312" w:hAnsi="仿宋_GB2312" w:eastAsia="仿宋_GB2312" w:cs="仿宋_GB2312"/>
          <w:b w:val="0"/>
          <w:bCs w:val="0"/>
          <w:color w:val="auto"/>
          <w:sz w:val="26"/>
          <w:szCs w:val="26"/>
          <w:lang w:eastAsia="zh-CN"/>
        </w:rPr>
      </w:pPr>
      <w:r>
        <w:rPr>
          <w:rFonts w:hint="eastAsia" w:cs="仿宋_GB2312"/>
          <w:b w:val="0"/>
          <w:bCs w:val="0"/>
          <w:color w:val="auto"/>
          <w:sz w:val="26"/>
          <w:szCs w:val="26"/>
          <w:lang w:eastAsia="zh-CN"/>
        </w:rPr>
        <w:t>（</w:t>
      </w:r>
      <w:r>
        <w:rPr>
          <w:rFonts w:hint="eastAsia" w:cs="仿宋_GB2312"/>
          <w:b w:val="0"/>
          <w:bCs w:val="0"/>
          <w:color w:val="auto"/>
          <w:sz w:val="26"/>
          <w:szCs w:val="26"/>
          <w:lang w:val="en-US" w:eastAsia="zh-CN"/>
        </w:rPr>
        <w:t>4</w:t>
      </w:r>
      <w:r>
        <w:rPr>
          <w:rFonts w:hint="eastAsia" w:cs="仿宋_GB2312"/>
          <w:b w:val="0"/>
          <w:bCs w:val="0"/>
          <w:color w:val="auto"/>
          <w:sz w:val="26"/>
          <w:szCs w:val="26"/>
          <w:lang w:eastAsia="zh-CN"/>
        </w:rPr>
        <w:t>）本清单项目结算工程量计算规则:合同总价包干，变更按设计图纸以“</w:t>
      </w:r>
      <w:r>
        <w:rPr>
          <w:rFonts w:hint="eastAsia" w:cs="仿宋_GB2312"/>
          <w:b w:val="0"/>
          <w:bCs w:val="0"/>
          <w:color w:val="auto"/>
          <w:sz w:val="26"/>
          <w:szCs w:val="26"/>
          <w:lang w:val="en-US" w:eastAsia="zh-CN"/>
        </w:rPr>
        <w:t>套</w:t>
      </w:r>
      <w:r>
        <w:rPr>
          <w:rFonts w:hint="eastAsia" w:cs="仿宋_GB2312"/>
          <w:b w:val="0"/>
          <w:bCs w:val="0"/>
          <w:color w:val="auto"/>
          <w:sz w:val="26"/>
          <w:szCs w:val="26"/>
          <w:lang w:eastAsia="zh-CN"/>
        </w:rPr>
        <w:t>”（</w:t>
      </w:r>
      <w:r>
        <w:rPr>
          <w:rFonts w:hint="eastAsia" w:cs="仿宋_GB2312"/>
          <w:b w:val="0"/>
          <w:bCs w:val="0"/>
          <w:color w:val="auto"/>
          <w:sz w:val="26"/>
          <w:szCs w:val="26"/>
          <w:lang w:val="en-US" w:eastAsia="zh-CN"/>
        </w:rPr>
        <w:t>灯带以</w:t>
      </w:r>
      <w:r>
        <w:rPr>
          <w:rFonts w:hint="eastAsia" w:cs="仿宋_GB2312"/>
          <w:b w:val="0"/>
          <w:bCs w:val="0"/>
          <w:color w:val="auto"/>
          <w:sz w:val="26"/>
          <w:szCs w:val="26"/>
          <w:lang w:eastAsia="zh-CN"/>
        </w:rPr>
        <w:t>“</w:t>
      </w:r>
      <w:r>
        <w:rPr>
          <w:rFonts w:hint="eastAsia" w:cs="仿宋_GB2312"/>
          <w:b w:val="0"/>
          <w:bCs w:val="0"/>
          <w:color w:val="auto"/>
          <w:sz w:val="26"/>
          <w:szCs w:val="26"/>
          <w:lang w:val="en-US" w:eastAsia="zh-CN"/>
        </w:rPr>
        <w:t>米</w:t>
      </w:r>
      <w:r>
        <w:rPr>
          <w:rFonts w:hint="eastAsia" w:cs="仿宋_GB2312"/>
          <w:b w:val="0"/>
          <w:bCs w:val="0"/>
          <w:color w:val="auto"/>
          <w:sz w:val="26"/>
          <w:szCs w:val="26"/>
          <w:lang w:eastAsia="zh-CN"/>
        </w:rPr>
        <w:t>”）计算。</w:t>
      </w:r>
    </w:p>
    <w:bookmarkEnd w:id="11"/>
    <w:bookmarkEnd w:id="12"/>
    <w:bookmarkEnd w:id="13"/>
    <w:bookmarkEnd w:id="14"/>
    <w:bookmarkEnd w:id="15"/>
    <w:bookmarkEnd w:id="16"/>
    <w:bookmarkEnd w:id="17"/>
    <w:bookmarkEnd w:id="18"/>
    <w:p w14:paraId="0E791DCA">
      <w:pPr>
        <w:pStyle w:val="4"/>
        <w:spacing w:line="360" w:lineRule="auto"/>
        <w:ind w:firstLine="522"/>
        <w:jc w:val="center"/>
        <w:rPr>
          <w:rFonts w:ascii="仿宋_GB2312" w:hAnsi="仿宋_GB2312" w:cs="仿宋_GB2312"/>
          <w:color w:val="auto"/>
          <w:sz w:val="26"/>
          <w:szCs w:val="26"/>
          <w:highlight w:val="none"/>
        </w:rPr>
      </w:pPr>
      <w:bookmarkStart w:id="30" w:name="_Toc24068"/>
      <w:bookmarkStart w:id="31" w:name="_Toc7030003"/>
      <w:bookmarkStart w:id="32" w:name="_Toc452295622"/>
      <w:bookmarkStart w:id="33" w:name="_Toc22421"/>
      <w:bookmarkStart w:id="34" w:name="_Toc19704"/>
      <w:bookmarkStart w:id="35" w:name="_Toc18377"/>
      <w:bookmarkStart w:id="36" w:name="_Toc430873080"/>
      <w:bookmarkStart w:id="37" w:name="_Toc416250236"/>
      <w:bookmarkStart w:id="38" w:name="_Toc7188"/>
      <w:bookmarkStart w:id="39" w:name="_Toc3236"/>
      <w:r>
        <w:rPr>
          <w:rFonts w:hint="eastAsia" w:ascii="仿宋_GB2312" w:hAnsi="仿宋_GB2312" w:cs="仿宋_GB2312"/>
          <w:color w:val="auto"/>
          <w:sz w:val="26"/>
          <w:szCs w:val="26"/>
          <w:highlight w:val="none"/>
        </w:rPr>
        <w:t>第二节措施项目和其他项目工程量清单计价说明</w:t>
      </w:r>
      <w:bookmarkEnd w:id="30"/>
      <w:bookmarkEnd w:id="31"/>
      <w:bookmarkEnd w:id="32"/>
      <w:bookmarkEnd w:id="33"/>
    </w:p>
    <w:p w14:paraId="5DBAF3F0">
      <w:pPr>
        <w:pStyle w:val="43"/>
        <w:spacing w:before="156"/>
        <w:rPr>
          <w:color w:val="auto"/>
          <w:highlight w:val="none"/>
        </w:rPr>
      </w:pPr>
      <w:bookmarkStart w:id="40" w:name="_Toc452295623"/>
      <w:bookmarkStart w:id="41" w:name="_Toc7030004"/>
      <w:bookmarkStart w:id="42" w:name="_Toc14337"/>
      <w:bookmarkStart w:id="43" w:name="_Toc27877"/>
      <w:r>
        <w:rPr>
          <w:rFonts w:hint="eastAsia"/>
          <w:color w:val="auto"/>
          <w:highlight w:val="none"/>
        </w:rPr>
        <w:t>一、措施项目清单计价说明</w:t>
      </w:r>
      <w:bookmarkEnd w:id="34"/>
      <w:bookmarkEnd w:id="35"/>
      <w:bookmarkEnd w:id="36"/>
      <w:bookmarkEnd w:id="37"/>
      <w:bookmarkEnd w:id="38"/>
      <w:bookmarkEnd w:id="39"/>
      <w:bookmarkEnd w:id="40"/>
      <w:bookmarkEnd w:id="41"/>
      <w:bookmarkEnd w:id="42"/>
      <w:bookmarkEnd w:id="43"/>
    </w:p>
    <w:p w14:paraId="6E7605C6">
      <w:pPr>
        <w:pStyle w:val="43"/>
        <w:spacing w:before="156"/>
        <w:ind w:left="0" w:leftChars="0" w:firstLine="546" w:firstLineChars="200"/>
        <w:rPr>
          <w:rFonts w:hint="eastAsia" w:ascii="仿宋_GB2312" w:hAnsi="仿宋_GB2312" w:eastAsia="仿宋_GB2312" w:cs="仿宋_GB2312"/>
          <w:b/>
          <w:bCs w:val="0"/>
          <w:i w:val="0"/>
          <w:iCs w:val="0"/>
          <w:caps w:val="0"/>
          <w:color w:val="auto"/>
          <w:spacing w:val="6"/>
          <w:sz w:val="26"/>
          <w:szCs w:val="26"/>
          <w:highlight w:val="none"/>
        </w:rPr>
      </w:pPr>
      <w:bookmarkStart w:id="44" w:name="_Toc7590"/>
      <w:bookmarkStart w:id="45" w:name="_Toc484527832"/>
      <w:bookmarkStart w:id="46" w:name="_Toc452295631"/>
      <w:bookmarkStart w:id="47" w:name="_Toc26549"/>
      <w:bookmarkStart w:id="48" w:name="_Toc497727687"/>
      <w:r>
        <w:rPr>
          <w:rFonts w:hint="eastAsia" w:hAnsi="仿宋_GB2312" w:cs="仿宋_GB2312"/>
          <w:b/>
          <w:bCs w:val="0"/>
          <w:strike w:val="0"/>
          <w:color w:val="auto"/>
          <w:spacing w:val="6"/>
          <w:highlight w:val="none"/>
          <w:lang w:val="en-US" w:eastAsia="zh-CN"/>
        </w:rPr>
        <w:t>1、</w:t>
      </w:r>
      <w:r>
        <w:rPr>
          <w:rFonts w:hint="eastAsia" w:ascii="仿宋_GB2312" w:hAnsi="仿宋_GB2312" w:eastAsia="仿宋_GB2312" w:cs="仿宋_GB2312"/>
          <w:b/>
          <w:bCs w:val="0"/>
          <w:i w:val="0"/>
          <w:iCs w:val="0"/>
          <w:caps w:val="0"/>
          <w:color w:val="auto"/>
          <w:spacing w:val="6"/>
          <w:sz w:val="26"/>
          <w:szCs w:val="26"/>
          <w:highlight w:val="none"/>
        </w:rPr>
        <w:t>文明施工措施、环境保护措施、临时设施措施和安全生产措施费</w:t>
      </w:r>
    </w:p>
    <w:p w14:paraId="7385EF3D">
      <w:pPr>
        <w:pStyle w:val="43"/>
        <w:spacing w:before="156"/>
        <w:ind w:left="0" w:leftChars="0" w:firstLine="544" w:firstLineChars="200"/>
        <w:rPr>
          <w:rFonts w:hint="eastAsia" w:ascii="仿宋_GB2312" w:hAnsi="仿宋_GB2312" w:eastAsia="仿宋_GB2312" w:cs="仿宋_GB2312"/>
          <w:i w:val="0"/>
          <w:iCs w:val="0"/>
          <w:caps w:val="0"/>
          <w:color w:val="auto"/>
          <w:spacing w:val="6"/>
          <w:sz w:val="26"/>
          <w:szCs w:val="26"/>
          <w:highlight w:val="none"/>
        </w:rPr>
      </w:pPr>
      <w:r>
        <w:rPr>
          <w:rFonts w:hint="eastAsia" w:ascii="仿宋_GB2312" w:hAnsi="仿宋_GB2312" w:eastAsia="仿宋_GB2312" w:cs="仿宋_GB2312"/>
          <w:i w:val="0"/>
          <w:iCs w:val="0"/>
          <w:caps w:val="0"/>
          <w:color w:val="auto"/>
          <w:spacing w:val="6"/>
          <w:sz w:val="26"/>
          <w:szCs w:val="26"/>
          <w:highlight w:val="none"/>
          <w:lang w:val="en-US" w:eastAsia="zh-CN"/>
        </w:rPr>
        <w:t>1.1</w:t>
      </w:r>
      <w:r>
        <w:rPr>
          <w:rFonts w:hint="eastAsia" w:ascii="仿宋_GB2312" w:hAnsi="仿宋_GB2312" w:eastAsia="仿宋_GB2312" w:cs="仿宋_GB2312"/>
          <w:i w:val="0"/>
          <w:iCs w:val="0"/>
          <w:caps w:val="0"/>
          <w:color w:val="auto"/>
          <w:spacing w:val="6"/>
          <w:sz w:val="26"/>
          <w:szCs w:val="26"/>
          <w:highlight w:val="none"/>
          <w:lang w:eastAsia="zh-CN"/>
        </w:rPr>
        <w:t>、</w:t>
      </w:r>
      <w:r>
        <w:rPr>
          <w:rFonts w:hint="eastAsia" w:ascii="仿宋_GB2312" w:hAnsi="仿宋_GB2312" w:eastAsia="仿宋_GB2312" w:cs="仿宋_GB2312"/>
          <w:i w:val="0"/>
          <w:iCs w:val="0"/>
          <w:caps w:val="0"/>
          <w:color w:val="auto"/>
          <w:spacing w:val="6"/>
          <w:sz w:val="26"/>
          <w:szCs w:val="26"/>
          <w:highlight w:val="none"/>
        </w:rPr>
        <w:t>文明施工措施，内容包含组织管理、规划管理、实施管理、评价管理、用工实名管理等（详见各专业定额）</w:t>
      </w:r>
    </w:p>
    <w:p w14:paraId="4FE42983">
      <w:pPr>
        <w:pStyle w:val="43"/>
        <w:spacing w:before="156"/>
        <w:ind w:left="0" w:leftChars="0" w:firstLine="544" w:firstLineChars="200"/>
        <w:rPr>
          <w:rFonts w:hint="eastAsia" w:ascii="仿宋_GB2312" w:hAnsi="仿宋_GB2312" w:eastAsia="仿宋_GB2312" w:cs="仿宋_GB2312"/>
          <w:i w:val="0"/>
          <w:iCs w:val="0"/>
          <w:caps w:val="0"/>
          <w:color w:val="auto"/>
          <w:spacing w:val="6"/>
          <w:sz w:val="26"/>
          <w:szCs w:val="26"/>
          <w:highlight w:val="none"/>
        </w:rPr>
      </w:pPr>
      <w:r>
        <w:rPr>
          <w:rFonts w:hint="eastAsia" w:ascii="仿宋_GB2312" w:hAnsi="仿宋_GB2312" w:eastAsia="仿宋_GB2312" w:cs="仿宋_GB2312"/>
          <w:i w:val="0"/>
          <w:iCs w:val="0"/>
          <w:caps w:val="0"/>
          <w:color w:val="auto"/>
          <w:spacing w:val="6"/>
          <w:sz w:val="26"/>
          <w:szCs w:val="26"/>
          <w:highlight w:val="none"/>
          <w:lang w:val="en-US" w:eastAsia="zh-CN"/>
        </w:rPr>
        <w:t>1.2、</w:t>
      </w:r>
      <w:r>
        <w:rPr>
          <w:rFonts w:hint="eastAsia" w:ascii="仿宋_GB2312" w:hAnsi="仿宋_GB2312" w:eastAsia="仿宋_GB2312" w:cs="仿宋_GB2312"/>
          <w:i w:val="0"/>
          <w:iCs w:val="0"/>
          <w:caps w:val="0"/>
          <w:color w:val="auto"/>
          <w:spacing w:val="6"/>
          <w:sz w:val="26"/>
          <w:szCs w:val="26"/>
          <w:highlight w:val="none"/>
        </w:rPr>
        <w:t>环境保护措施，内容包含扬尘控制、噪音与振动控制、光污染控制、水污染控制、土壤保护、建筑垃圾控制、地下和周边设施文物资源保护、节能与能源利用、节材与材料资源利用、节水与水资源利用、节地与施工用地保护、发展绿色施工“四新”技术等（详见各专业定额）</w:t>
      </w:r>
    </w:p>
    <w:p w14:paraId="6092C952">
      <w:pPr>
        <w:pStyle w:val="43"/>
        <w:spacing w:before="156"/>
        <w:ind w:left="0" w:leftChars="0" w:firstLine="544" w:firstLineChars="200"/>
        <w:rPr>
          <w:rFonts w:hint="eastAsia" w:ascii="仿宋_GB2312" w:hAnsi="仿宋_GB2312" w:eastAsia="仿宋_GB2312" w:cs="仿宋_GB2312"/>
          <w:i w:val="0"/>
          <w:iCs w:val="0"/>
          <w:caps w:val="0"/>
          <w:color w:val="auto"/>
          <w:spacing w:val="6"/>
          <w:sz w:val="26"/>
          <w:szCs w:val="26"/>
          <w:highlight w:val="none"/>
        </w:rPr>
      </w:pPr>
      <w:r>
        <w:rPr>
          <w:rFonts w:hint="eastAsia" w:ascii="仿宋_GB2312" w:hAnsi="仿宋_GB2312" w:eastAsia="仿宋_GB2312" w:cs="仿宋_GB2312"/>
          <w:i w:val="0"/>
          <w:iCs w:val="0"/>
          <w:caps w:val="0"/>
          <w:color w:val="auto"/>
          <w:spacing w:val="6"/>
          <w:sz w:val="26"/>
          <w:szCs w:val="26"/>
          <w:highlight w:val="none"/>
          <w:lang w:val="en-US" w:eastAsia="zh-CN"/>
        </w:rPr>
        <w:t>1.3、</w:t>
      </w:r>
      <w:r>
        <w:rPr>
          <w:rFonts w:hint="eastAsia" w:ascii="仿宋_GB2312" w:hAnsi="仿宋_GB2312" w:eastAsia="仿宋_GB2312" w:cs="仿宋_GB2312"/>
          <w:i w:val="0"/>
          <w:iCs w:val="0"/>
          <w:caps w:val="0"/>
          <w:color w:val="auto"/>
          <w:spacing w:val="6"/>
          <w:sz w:val="26"/>
          <w:szCs w:val="26"/>
          <w:highlight w:val="none"/>
        </w:rPr>
        <w:t>临时设施措施，内容包含现场办公生活设施、施工现场临时用电、施工现场临时用水设施、施工现场设施、临时设施维护及拆除等（详见各专业定额）</w:t>
      </w:r>
    </w:p>
    <w:p w14:paraId="1DE3682F">
      <w:pPr>
        <w:pStyle w:val="43"/>
        <w:spacing w:before="156"/>
        <w:ind w:left="0" w:leftChars="0" w:firstLine="544" w:firstLineChars="200"/>
        <w:rPr>
          <w:rFonts w:hint="eastAsia" w:ascii="仿宋_GB2312" w:hAnsi="仿宋_GB2312" w:eastAsia="仿宋_GB2312" w:cs="仿宋_GB2312"/>
          <w:i w:val="0"/>
          <w:iCs w:val="0"/>
          <w:caps w:val="0"/>
          <w:color w:val="auto"/>
          <w:spacing w:val="6"/>
          <w:sz w:val="26"/>
          <w:szCs w:val="26"/>
          <w:highlight w:val="none"/>
          <w:lang w:val="en-US" w:eastAsia="zh-CN"/>
        </w:rPr>
      </w:pPr>
      <w:r>
        <w:rPr>
          <w:rFonts w:hint="eastAsia" w:ascii="仿宋_GB2312" w:hAnsi="仿宋_GB2312" w:eastAsia="仿宋_GB2312" w:cs="仿宋_GB2312"/>
          <w:i w:val="0"/>
          <w:iCs w:val="0"/>
          <w:caps w:val="0"/>
          <w:color w:val="auto"/>
          <w:spacing w:val="6"/>
          <w:sz w:val="26"/>
          <w:szCs w:val="26"/>
          <w:highlight w:val="none"/>
          <w:lang w:val="en-US" w:eastAsia="zh-CN"/>
        </w:rPr>
        <w:t>1.4、</w:t>
      </w:r>
      <w:r>
        <w:rPr>
          <w:rFonts w:hint="eastAsia" w:ascii="仿宋_GB2312" w:hAnsi="仿宋_GB2312" w:eastAsia="仿宋_GB2312" w:cs="仿宋_GB2312"/>
          <w:i w:val="0"/>
          <w:iCs w:val="0"/>
          <w:caps w:val="0"/>
          <w:color w:val="auto"/>
          <w:spacing w:val="6"/>
          <w:sz w:val="26"/>
          <w:szCs w:val="26"/>
          <w:highlight w:val="none"/>
        </w:rPr>
        <w:t>安全生产措施，内容除包含临边洞口交叉高处作业防护、保健急救措施、安全检测费用、施工机具防护、人员安全与健康管理等（详见各专业定额）之外，还包含安全生产责任险保费以及《企业安全生产费用提取和使用管理办法》（财资〔2022〕136号）相关要求</w:t>
      </w:r>
    </w:p>
    <w:p w14:paraId="1777BF7E">
      <w:pPr>
        <w:pStyle w:val="43"/>
        <w:spacing w:before="156"/>
        <w:ind w:left="0" w:leftChars="0" w:firstLine="546" w:firstLineChars="200"/>
        <w:rPr>
          <w:rFonts w:hAnsi="仿宋_GB2312" w:cs="仿宋_GB2312"/>
          <w:b/>
          <w:bCs w:val="0"/>
          <w:strike w:val="0"/>
          <w:color w:val="auto"/>
          <w:spacing w:val="6"/>
          <w:highlight w:val="none"/>
        </w:rPr>
      </w:pPr>
      <w:r>
        <w:rPr>
          <w:rFonts w:hint="eastAsia" w:hAnsi="仿宋_GB2312" w:cs="仿宋_GB2312"/>
          <w:b/>
          <w:bCs w:val="0"/>
          <w:strike w:val="0"/>
          <w:color w:val="auto"/>
          <w:spacing w:val="6"/>
          <w:highlight w:val="none"/>
          <w:lang w:val="en-US" w:eastAsia="zh-CN"/>
        </w:rPr>
        <w:t>2、</w:t>
      </w:r>
      <w:r>
        <w:rPr>
          <w:rFonts w:hint="eastAsia" w:hAnsi="仿宋_GB2312" w:cs="仿宋_GB2312"/>
          <w:b/>
          <w:bCs w:val="0"/>
          <w:strike w:val="0"/>
          <w:color w:val="auto"/>
          <w:spacing w:val="6"/>
          <w:highlight w:val="none"/>
        </w:rPr>
        <w:t>脚手架搭拆费</w:t>
      </w:r>
    </w:p>
    <w:p w14:paraId="580A8C0B">
      <w:pPr>
        <w:pStyle w:val="43"/>
        <w:spacing w:before="156"/>
        <w:ind w:firstLine="544" w:firstLineChars="200"/>
        <w:rPr>
          <w:rFonts w:hAnsi="仿宋_GB2312" w:cs="仿宋_GB2312"/>
          <w:color w:val="auto"/>
          <w:highlight w:val="none"/>
        </w:rPr>
      </w:pPr>
      <w:r>
        <w:rPr>
          <w:rFonts w:hint="eastAsia" w:hAnsi="仿宋_GB2312" w:cs="仿宋_GB2312"/>
          <w:strike w:val="0"/>
          <w:color w:val="auto"/>
          <w:spacing w:val="6"/>
          <w:highlight w:val="none"/>
        </w:rPr>
        <w:t>脚手架搭拆费指施工所需的各类及各种型式脚手架的搭设、拆除、运输费用，以及脚手架的购置（或租赁）费用。同时涵盖泛光工程专用吊篮的购置或租赁、安装拆卸、检测验收、维护保养、操作人工及相关配套设施费用，包括吊篮与建（构）筑物的固定连接、安全防护装置设置等内容。外脚手架的搭设必须考虑各专业工程施工的交叉协调，若因脚手架搭设不当影响其他专业正常施工，承包人必须无条件进行调整和修改，相关调整费用已包含在脚手架搭拆费中。因防火需要为脚手架淋水的费用已综合考虑在本措施费内，不另行计取。当发包人另行发包的专业工程需使用承包人搭设的脚手架时，脚手架的使用期限或拆除时间须经发包人批准，脚手架使用费属合价包干项目，除合同另有约定外，结算时不作调整。投标人报价时应根据脚手架的类型、搭设高度、使用期限及市场租赁或购置价格，结合施工方案合理测算费用，确保覆盖脚手架从搭设到拆除的全过程成本。</w:t>
      </w:r>
      <w:bookmarkEnd w:id="44"/>
      <w:bookmarkEnd w:id="45"/>
      <w:bookmarkEnd w:id="46"/>
      <w:bookmarkEnd w:id="47"/>
      <w:bookmarkEnd w:id="48"/>
    </w:p>
    <w:p w14:paraId="214F8728">
      <w:pPr>
        <w:pStyle w:val="27"/>
        <w:ind w:firstLine="653" w:firstLineChars="250"/>
        <w:rPr>
          <w:color w:val="auto"/>
          <w:highlight w:val="none"/>
        </w:rPr>
      </w:pPr>
      <w:bookmarkStart w:id="49" w:name="_Toc7030014"/>
      <w:bookmarkStart w:id="50" w:name="_Toc24492"/>
      <w:bookmarkStart w:id="51" w:name="_Toc452295637"/>
      <w:bookmarkStart w:id="52" w:name="_Toc2186"/>
      <w:r>
        <w:rPr>
          <w:rFonts w:hint="eastAsia" w:cs="仿宋_GB2312"/>
          <w:color w:val="auto"/>
          <w:lang w:val="en-US" w:eastAsia="zh-CN"/>
        </w:rPr>
        <w:t>3</w:t>
      </w:r>
      <w:r>
        <w:rPr>
          <w:rFonts w:hint="eastAsia"/>
          <w:color w:val="auto"/>
          <w:highlight w:val="none"/>
        </w:rPr>
        <w:t>、深化设计费</w:t>
      </w:r>
      <w:bookmarkEnd w:id="49"/>
      <w:bookmarkEnd w:id="50"/>
    </w:p>
    <w:bookmarkEnd w:id="51"/>
    <w:bookmarkEnd w:id="52"/>
    <w:p w14:paraId="16144C2A">
      <w:pPr>
        <w:pStyle w:val="43"/>
        <w:spacing w:before="156"/>
        <w:rPr>
          <w:color w:val="auto"/>
          <w:highlight w:val="none"/>
        </w:rPr>
      </w:pPr>
      <w:r>
        <w:rPr>
          <w:rFonts w:hint="eastAsia" w:hAnsi="仿宋_GB2312" w:cs="仿宋_GB2312"/>
          <w:color w:val="auto"/>
        </w:rPr>
        <w:t>深化设计费指承包人在发包人提供的图纸基础上，依据招标文件、合同及发包人制定的《设计管理办法》约定的要求，编制深化设计图纸，配合本招标项目对应的设计单位绘制相应工程施工图（</w:t>
      </w:r>
      <w:r>
        <w:rPr>
          <w:rFonts w:hint="eastAsia" w:hAnsi="仿宋_GB2312" w:cs="仿宋_GB2312"/>
          <w:color w:val="auto"/>
          <w:lang w:eastAsia="zh-CN"/>
        </w:rPr>
        <w:t>包括</w:t>
      </w:r>
      <w:r>
        <w:rPr>
          <w:rFonts w:hint="eastAsia" w:hAnsi="仿宋_GB2312" w:cs="仿宋_GB2312"/>
          <w:color w:val="auto"/>
        </w:rPr>
        <w:t>泛光），并取得设计单位及相关部门审批通过；工程完工后，在发包人审定的施工图基础上绘制竣工图纸，并取得建设主管部门验收通过等所涉及的费用。深化设计费应包含深化设计方案编制、图纸绘制、审核报批、竣工图绘制及验收配合等全过程费用，投标人应根据深化设计的工作量、技术难度及相关服务要求，结合市场设计服务价格水平合理报价，该费用已包含在投标报价中，结算时不作调整。</w:t>
      </w:r>
    </w:p>
    <w:p w14:paraId="2A837201">
      <w:pPr>
        <w:pStyle w:val="27"/>
        <w:rPr>
          <w:color w:val="auto"/>
          <w:highlight w:val="none"/>
        </w:rPr>
      </w:pPr>
      <w:bookmarkStart w:id="53" w:name="_Toc9935"/>
      <w:bookmarkStart w:id="54" w:name="_Toc23042"/>
      <w:bookmarkStart w:id="55" w:name="_Toc7030018"/>
      <w:bookmarkStart w:id="56" w:name="_Toc452295646"/>
      <w:r>
        <w:rPr>
          <w:rFonts w:hint="eastAsia"/>
          <w:color w:val="auto"/>
          <w:highlight w:val="none"/>
          <w:lang w:val="en-US" w:eastAsia="zh-CN"/>
        </w:rPr>
        <w:t>4</w:t>
      </w:r>
      <w:r>
        <w:rPr>
          <w:rFonts w:hint="eastAsia"/>
          <w:color w:val="auto"/>
          <w:highlight w:val="none"/>
        </w:rPr>
        <w:t>、系统联合调试及配合费</w:t>
      </w:r>
      <w:bookmarkEnd w:id="53"/>
      <w:bookmarkEnd w:id="54"/>
      <w:bookmarkEnd w:id="55"/>
      <w:bookmarkEnd w:id="56"/>
    </w:p>
    <w:p w14:paraId="3E4FC813">
      <w:pPr>
        <w:pStyle w:val="43"/>
        <w:spacing w:before="156"/>
        <w:rPr>
          <w:rFonts w:hint="eastAsia"/>
          <w:color w:val="auto"/>
          <w:highlight w:val="none"/>
        </w:rPr>
      </w:pPr>
      <w:bookmarkStart w:id="57" w:name="_Toc452295650"/>
      <w:bookmarkStart w:id="58" w:name="_Toc16459"/>
      <w:bookmarkStart w:id="59" w:name="_Toc31595"/>
      <w:bookmarkStart w:id="60" w:name="_Toc7030019"/>
      <w:r>
        <w:rPr>
          <w:rFonts w:hint="eastAsia"/>
          <w:color w:val="auto"/>
          <w:highlight w:val="none"/>
        </w:rPr>
        <w:t>系统联合调试及配合费指信息化各机电安装工程（</w:t>
      </w:r>
      <w:r>
        <w:rPr>
          <w:rFonts w:hint="eastAsia"/>
          <w:color w:val="auto"/>
          <w:highlight w:val="none"/>
          <w:lang w:eastAsia="zh-CN"/>
        </w:rPr>
        <w:t>包括</w:t>
      </w:r>
      <w:r>
        <w:rPr>
          <w:rFonts w:hint="eastAsia"/>
          <w:color w:val="auto"/>
          <w:highlight w:val="none"/>
        </w:rPr>
        <w:t>综合布线、时钟系统、专业业务系统，以及上述未提及的其它需进行系统联合调试的专业工程），及上述各系统包含的软件系统联合调试工作所需的费用，包括系统的衔接及调试、试运行、压力测试等，直至整个工程能按发包人及实际使用单位的要求正常运行并通过验收合格所发生的一切费用（含调试所需的水、电等费用），同时涵盖单机及专业系统调试费用。投标人报价时应充分考虑系统联合调试的复杂性、技术要求及所需的人力、物力投入，确保费用覆盖调试前准备、调试实施、问题整改及验收配合等全过程，</w:t>
      </w:r>
      <w:r>
        <w:rPr>
          <w:rFonts w:hint="eastAsia" w:hAnsi="仿宋_GB2312" w:cs="仿宋_GB2312"/>
          <w:color w:val="auto"/>
        </w:rPr>
        <w:t>该费用已包含在投标报价中，结算时不作调整</w:t>
      </w:r>
      <w:r>
        <w:rPr>
          <w:rFonts w:hint="eastAsia"/>
          <w:color w:val="auto"/>
          <w:highlight w:val="none"/>
        </w:rPr>
        <w:t>。</w:t>
      </w:r>
    </w:p>
    <w:p w14:paraId="1BC518A0">
      <w:pPr>
        <w:pStyle w:val="27"/>
        <w:rPr>
          <w:color w:val="auto"/>
          <w:highlight w:val="none"/>
        </w:rPr>
      </w:pPr>
      <w:r>
        <w:rPr>
          <w:rFonts w:hint="eastAsia"/>
          <w:color w:val="auto"/>
          <w:highlight w:val="none"/>
          <w:lang w:val="en-US" w:eastAsia="zh-CN"/>
        </w:rPr>
        <w:t>5</w:t>
      </w:r>
      <w:r>
        <w:rPr>
          <w:rFonts w:hint="eastAsia"/>
          <w:color w:val="auto"/>
          <w:highlight w:val="none"/>
        </w:rPr>
        <w:t>、材料（含设备）看样考察调研所需发生的调研费、监造费</w:t>
      </w:r>
      <w:bookmarkEnd w:id="57"/>
      <w:bookmarkEnd w:id="58"/>
      <w:bookmarkEnd w:id="59"/>
      <w:bookmarkEnd w:id="60"/>
    </w:p>
    <w:p w14:paraId="55DC0391">
      <w:pPr>
        <w:pStyle w:val="43"/>
        <w:spacing w:before="156"/>
        <w:rPr>
          <w:rFonts w:hAnsi="仿宋_GB2312" w:cs="仿宋_GB2312"/>
          <w:color w:val="auto"/>
        </w:rPr>
      </w:pPr>
      <w:bookmarkStart w:id="61" w:name="_Toc484527837"/>
      <w:bookmarkStart w:id="62" w:name="_Toc6738"/>
      <w:bookmarkStart w:id="63" w:name="_Toc497727692"/>
      <w:bookmarkStart w:id="64" w:name="_TOC_250009"/>
      <w:r>
        <w:rPr>
          <w:rFonts w:hint="eastAsia" w:hAnsi="仿宋_GB2312" w:cs="仿宋_GB2312"/>
          <w:color w:val="auto"/>
        </w:rPr>
        <w:t>技术方案论证、材料（含设备）看样考察调研所需发生的调研费、监造费，指对于本工程的施工组织设计、专项技术方案、材料（含设备）订购前，到申报品牌（包括所有推荐品牌）工厂或制造商及其工程实例进行看样考察，以及实施过程中材料设备监造，承包人必须组织调研和专家论证工作所产生的费用。该费用包括所有组织调研和专家论证工作所需的差旅费、交通费、专家费、会务费等各种费用。投标人应根据考察调研的范围、频次、专家邀请情况及监造的材料设备种类、数量和监造要求，结合市场服务价格合理测算费用，该费用已包含在投标报价中，结算时不作调整。</w:t>
      </w:r>
    </w:p>
    <w:p w14:paraId="50975974">
      <w:pPr>
        <w:pStyle w:val="27"/>
        <w:rPr>
          <w:color w:val="auto"/>
          <w:highlight w:val="none"/>
        </w:rPr>
      </w:pPr>
      <w:r>
        <w:rPr>
          <w:rFonts w:hint="eastAsia"/>
          <w:color w:val="auto"/>
          <w:highlight w:val="none"/>
          <w:lang w:val="en-US" w:eastAsia="zh-CN"/>
        </w:rPr>
        <w:t>6</w:t>
      </w:r>
      <w:r>
        <w:rPr>
          <w:rFonts w:hint="eastAsia"/>
          <w:color w:val="auto"/>
          <w:highlight w:val="none"/>
        </w:rPr>
        <w:t>、垂直运输费</w:t>
      </w:r>
      <w:bookmarkEnd w:id="61"/>
      <w:bookmarkEnd w:id="62"/>
      <w:bookmarkEnd w:id="63"/>
    </w:p>
    <w:bookmarkEnd w:id="64"/>
    <w:p w14:paraId="758A23A5">
      <w:pPr>
        <w:pStyle w:val="43"/>
        <w:spacing w:before="156"/>
        <w:rPr>
          <w:rFonts w:hint="eastAsia" w:hAnsi="仿宋_GB2312" w:cs="仿宋_GB2312"/>
          <w:strike w:val="0"/>
          <w:color w:val="auto"/>
          <w:spacing w:val="6"/>
          <w:highlight w:val="none"/>
        </w:rPr>
      </w:pPr>
      <w:bookmarkStart w:id="65" w:name="_Toc22970"/>
      <w:r>
        <w:rPr>
          <w:rFonts w:hint="eastAsia" w:hAnsi="仿宋_GB2312" w:cs="仿宋_GB2312"/>
          <w:color w:val="auto"/>
        </w:rPr>
        <w:t>垂直运输费指施工工期内完成全部工程，将所需人工、材料、机具自地面垂直提升到所需高度而发生的费用。本费用属合价包干项目，投标人应根据工程的垂直运输需求、选用的运输设备类型、使用期限及市场租赁或购置价格，结合施工方案合理测算费用，该费用已包含在投标报价中，结算时不作调整</w:t>
      </w:r>
      <w:r>
        <w:rPr>
          <w:rFonts w:hint="eastAsia" w:hAnsi="仿宋_GB2312" w:cs="仿宋_GB2312"/>
          <w:strike w:val="0"/>
          <w:color w:val="auto"/>
          <w:spacing w:val="6"/>
          <w:highlight w:val="none"/>
        </w:rPr>
        <w:t>。</w:t>
      </w:r>
    </w:p>
    <w:p w14:paraId="33A1496D">
      <w:pPr>
        <w:pStyle w:val="43"/>
        <w:numPr>
          <w:ilvl w:val="0"/>
          <w:numId w:val="2"/>
        </w:numPr>
        <w:spacing w:before="156"/>
        <w:rPr>
          <w:rFonts w:hint="eastAsia" w:hAnsi="仿宋_GB2312" w:cs="仿宋_GB2312"/>
          <w:strike w:val="0"/>
          <w:color w:val="auto"/>
          <w:spacing w:val="6"/>
          <w:highlight w:val="none"/>
          <w:lang w:val="en-US" w:eastAsia="zh-CN"/>
        </w:rPr>
      </w:pPr>
      <w:r>
        <w:rPr>
          <w:rFonts w:hint="eastAsia" w:hAnsi="仿宋_GB2312" w:cs="仿宋_GB2312"/>
          <w:strike w:val="0"/>
          <w:color w:val="auto"/>
          <w:spacing w:val="6"/>
          <w:highlight w:val="none"/>
          <w:lang w:val="en-US" w:eastAsia="zh-CN"/>
        </w:rPr>
        <w:t>赶工措施费</w:t>
      </w:r>
    </w:p>
    <w:p w14:paraId="36E7E703">
      <w:pPr>
        <w:pStyle w:val="43"/>
        <w:spacing w:before="156"/>
        <w:rPr>
          <w:rFonts w:hAnsi="仿宋_GB2312" w:cs="仿宋_GB2312"/>
          <w:color w:val="auto"/>
          <w:highlight w:val="none"/>
        </w:rPr>
      </w:pPr>
      <w:r>
        <w:rPr>
          <w:rFonts w:hint="default" w:hAnsi="仿宋_GB2312" w:cs="仿宋_GB2312"/>
          <w:strike w:val="0"/>
          <w:color w:val="auto"/>
          <w:spacing w:val="6"/>
          <w:highlight w:val="none"/>
          <w:lang w:val="en-US" w:eastAsia="zh-CN"/>
        </w:rPr>
        <w:t>指投标人（承包人）在杜绝发生一般事故等级及以上的伤亡事故且工伤事故伤亡人数为零的前提下，在确保质量和一次竣工验收合格的前提下，为达到本项目合同工期要求，而相应增加人工、材料、机械等投入所产生的所有费用。赶工方案须经监理及招标人审核同意，投标人（承包人）必须依据合同工期严密组织，切实加大投入，施工应充分考虑赶工所需相关费用。</w:t>
      </w:r>
      <w:r>
        <w:rPr>
          <w:rFonts w:hint="eastAsia" w:hAnsi="仿宋_GB2312" w:cs="仿宋_GB2312"/>
          <w:color w:val="auto"/>
        </w:rPr>
        <w:t>该费用已包含在投标报价中，结算时不作调整</w:t>
      </w:r>
      <w:r>
        <w:rPr>
          <w:rFonts w:hint="eastAsia" w:hAnsi="仿宋_GB2312" w:cs="仿宋_GB2312"/>
          <w:color w:val="auto"/>
          <w:lang w:eastAsia="zh-CN"/>
        </w:rPr>
        <w:t>。</w:t>
      </w:r>
    </w:p>
    <w:p w14:paraId="55841D25">
      <w:pPr>
        <w:pStyle w:val="27"/>
        <w:ind w:firstLine="653" w:firstLineChars="250"/>
        <w:rPr>
          <w:rFonts w:hint="eastAsia"/>
          <w:strike/>
          <w:color w:val="auto"/>
          <w:highlight w:val="none"/>
          <w:lang w:val="en-US" w:eastAsia="en-US"/>
        </w:rPr>
      </w:pPr>
      <w:r>
        <w:rPr>
          <w:rFonts w:hint="eastAsia"/>
          <w:color w:val="auto"/>
          <w:highlight w:val="none"/>
          <w:lang w:val="en-US" w:eastAsia="zh-CN"/>
        </w:rPr>
        <w:t>8、材料检验试验费</w:t>
      </w:r>
      <w:r>
        <w:rPr>
          <w:rFonts w:hint="eastAsia"/>
          <w:strike w:val="0"/>
          <w:color w:val="auto"/>
          <w:highlight w:val="none"/>
          <w:lang w:val="en-US" w:eastAsia="zh-CN"/>
        </w:rPr>
        <w:t>、检（监）测费用和第三方检（监）测配合费</w:t>
      </w:r>
      <w:bookmarkEnd w:id="65"/>
    </w:p>
    <w:p w14:paraId="6B87E40C">
      <w:pPr>
        <w:pStyle w:val="43"/>
        <w:spacing w:before="156"/>
        <w:rPr>
          <w:rFonts w:hAnsi="仿宋_GB2312" w:cs="仿宋_GB2312"/>
          <w:strike w:val="0"/>
          <w:color w:val="auto"/>
        </w:rPr>
      </w:pPr>
      <w:bookmarkStart w:id="66" w:name="_Toc7030020"/>
      <w:bookmarkStart w:id="67" w:name="_Toc12346"/>
      <w:bookmarkStart w:id="68" w:name="_Toc29121"/>
      <w:r>
        <w:rPr>
          <w:rFonts w:hint="eastAsia" w:hAnsi="仿宋_GB2312" w:cs="仿宋_GB2312"/>
          <w:strike w:val="0"/>
          <w:color w:val="auto"/>
        </w:rPr>
        <w:t>该合价项目包含以下方面内容：</w:t>
      </w:r>
    </w:p>
    <w:p w14:paraId="35CF5A52">
      <w:pPr>
        <w:pStyle w:val="43"/>
        <w:spacing w:before="156"/>
        <w:rPr>
          <w:rFonts w:hAnsi="仿宋_GB2312" w:cs="仿宋_GB2312"/>
          <w:color w:val="auto"/>
        </w:rPr>
      </w:pPr>
      <w:r>
        <w:rPr>
          <w:rFonts w:hint="eastAsia" w:hAnsi="仿宋_GB2312" w:cs="仿宋_GB2312"/>
          <w:strike w:val="0"/>
          <w:color w:val="auto"/>
        </w:rPr>
        <w:t>（1）</w:t>
      </w:r>
      <w:r>
        <w:rPr>
          <w:rFonts w:hint="eastAsia" w:hAnsi="仿宋_GB2312" w:cs="仿宋_GB2312"/>
          <w:color w:val="auto"/>
        </w:rPr>
        <w:t>材料检验试验费指依据国家有关法律、法规和工程建设强制性标准，对进入施工现场的材料设备、构配件的送检、见证取样、监督抽检的检验试验检测费用和工料费用。</w:t>
      </w:r>
    </w:p>
    <w:p w14:paraId="581DBC83">
      <w:pPr>
        <w:pStyle w:val="43"/>
        <w:spacing w:before="156"/>
        <w:rPr>
          <w:rFonts w:hAnsi="仿宋_GB2312" w:cs="仿宋_GB2312"/>
          <w:strike w:val="0"/>
          <w:color w:val="auto"/>
        </w:rPr>
      </w:pPr>
      <w:r>
        <w:rPr>
          <w:rFonts w:hint="eastAsia" w:hAnsi="仿宋_GB2312" w:cs="仿宋_GB2312"/>
          <w:strike w:val="0"/>
          <w:color w:val="auto"/>
        </w:rPr>
        <w:t>（2）检测（监）测费用指承包人依据国家有关法律、法规和工程建设强制性标准，按现行国家、行业法规和工程建设强制性标准等规定为工程中间验收和竣工验收所须进行检测、试验、监测所发生的一切费用，具体指本条16小点明确由发包人委托第三方检（监）测项目以外的其它一切检测、监测内容。</w:t>
      </w:r>
    </w:p>
    <w:p w14:paraId="33CFE000">
      <w:pPr>
        <w:pStyle w:val="43"/>
        <w:spacing w:before="156"/>
        <w:rPr>
          <w:rFonts w:hAnsi="仿宋_GB2312" w:cs="仿宋_GB2312"/>
          <w:strike w:val="0"/>
          <w:color w:val="auto"/>
        </w:rPr>
      </w:pPr>
      <w:r>
        <w:rPr>
          <w:rFonts w:hint="eastAsia" w:hAnsi="仿宋_GB2312" w:cs="仿宋_GB2312"/>
          <w:strike w:val="0"/>
          <w:color w:val="auto"/>
        </w:rPr>
        <w:t>发包人委托第三方检（监）测项目包括：</w:t>
      </w:r>
    </w:p>
    <w:p w14:paraId="27F6C78F">
      <w:pPr>
        <w:pStyle w:val="43"/>
        <w:spacing w:before="156"/>
        <w:rPr>
          <w:rFonts w:hAnsi="仿宋_GB2312" w:cs="仿宋_GB2312"/>
          <w:strike w:val="0"/>
          <w:color w:val="auto"/>
        </w:rPr>
      </w:pPr>
      <w:r>
        <w:rPr>
          <w:rFonts w:hint="eastAsia" w:hAnsi="仿宋_GB2312" w:cs="仿宋_GB2312"/>
          <w:strike w:val="0"/>
          <w:color w:val="auto"/>
        </w:rPr>
        <w:t>①地基基础工程检测：地基及复合地基承载力静载检测、桩的承载力检测、桩身完整性检测、锚杆抗拨试验（参数包括锁定力、抗拔力、变形系数等）等；</w:t>
      </w:r>
    </w:p>
    <w:p w14:paraId="33260305">
      <w:pPr>
        <w:pStyle w:val="43"/>
        <w:spacing w:before="156"/>
        <w:rPr>
          <w:rFonts w:hAnsi="仿宋_GB2312" w:cs="仿宋_GB2312"/>
          <w:strike w:val="0"/>
          <w:color w:val="auto"/>
        </w:rPr>
      </w:pPr>
      <w:r>
        <w:rPr>
          <w:rFonts w:hint="eastAsia" w:hAnsi="仿宋_GB2312" w:cs="仿宋_GB2312"/>
          <w:strike w:val="0"/>
          <w:color w:val="auto"/>
        </w:rPr>
        <w:t>②主体结构工程现场检测：（混凝土、砂浆、砌体强度现场检测、钢筋保护层厚度检测、混凝土预制构件结构性能检测、后置埋件的力学性能检测）；</w:t>
      </w:r>
    </w:p>
    <w:p w14:paraId="5BA17B55">
      <w:pPr>
        <w:pStyle w:val="43"/>
        <w:spacing w:before="156"/>
        <w:rPr>
          <w:rFonts w:hAnsi="仿宋_GB2312" w:cs="仿宋_GB2312"/>
          <w:strike w:val="0"/>
          <w:color w:val="auto"/>
        </w:rPr>
      </w:pPr>
      <w:r>
        <w:rPr>
          <w:rFonts w:hint="eastAsia" w:hAnsi="仿宋_GB2312" w:cs="仿宋_GB2312"/>
          <w:strike w:val="0"/>
          <w:color w:val="auto"/>
        </w:rPr>
        <w:t>③建筑幕墙工程检测（建筑幕墙的气密性、水密性、风压变形性能、层间变位性能检测、硅酮结构胶相容性检测）</w:t>
      </w:r>
    </w:p>
    <w:p w14:paraId="3B614B3A">
      <w:pPr>
        <w:pStyle w:val="43"/>
        <w:spacing w:before="156"/>
        <w:rPr>
          <w:rFonts w:hAnsi="仿宋_GB2312" w:cs="仿宋_GB2312"/>
          <w:strike w:val="0"/>
          <w:color w:val="auto"/>
        </w:rPr>
      </w:pPr>
      <w:r>
        <w:rPr>
          <w:rFonts w:hint="eastAsia" w:hAnsi="仿宋_GB2312" w:cs="仿宋_GB2312"/>
          <w:strike w:val="0"/>
          <w:color w:val="auto"/>
        </w:rPr>
        <w:t>④钢结构工程检测（钢结构焊接质量无损检测、钢结构防腐及防火涂装检测、钢结构节点、机械连接用紧固标准件及高强度螺栓力学性能检测、钢网架结构的变形检测）</w:t>
      </w:r>
    </w:p>
    <w:p w14:paraId="3780BA72">
      <w:pPr>
        <w:pStyle w:val="43"/>
        <w:spacing w:before="156"/>
        <w:rPr>
          <w:rFonts w:hAnsi="仿宋_GB2312" w:cs="仿宋_GB2312"/>
          <w:strike w:val="0"/>
          <w:color w:val="auto"/>
        </w:rPr>
      </w:pPr>
      <w:r>
        <w:rPr>
          <w:rFonts w:hint="eastAsia" w:hAnsi="仿宋_GB2312" w:cs="仿宋_GB2312"/>
          <w:strike w:val="0"/>
          <w:color w:val="auto"/>
        </w:rPr>
        <w:t>⑤基坑监测（水平位移、竖向位移、倾斜、裂缝等）；</w:t>
      </w:r>
    </w:p>
    <w:p w14:paraId="788160BC">
      <w:pPr>
        <w:pStyle w:val="43"/>
        <w:spacing w:before="156"/>
        <w:rPr>
          <w:rFonts w:hAnsi="仿宋_GB2312" w:cs="仿宋_GB2312"/>
          <w:strike w:val="0"/>
          <w:color w:val="auto"/>
        </w:rPr>
      </w:pPr>
      <w:r>
        <w:rPr>
          <w:rFonts w:hint="eastAsia" w:hAnsi="仿宋_GB2312" w:cs="仿宋_GB2312"/>
          <w:strike w:val="0"/>
          <w:color w:val="auto"/>
        </w:rPr>
        <w:t>⑥软基处理监测（地表沉降、膜下真空压力、孔隙水压力、侧向位移、深层分层沉降、地下水位等）</w:t>
      </w:r>
    </w:p>
    <w:p w14:paraId="1E7A105C">
      <w:pPr>
        <w:pStyle w:val="43"/>
        <w:spacing w:before="156"/>
        <w:rPr>
          <w:rFonts w:hAnsi="仿宋_GB2312" w:cs="仿宋_GB2312"/>
          <w:strike w:val="0"/>
          <w:color w:val="auto"/>
        </w:rPr>
      </w:pPr>
      <w:r>
        <w:rPr>
          <w:rFonts w:hint="eastAsia" w:hAnsi="仿宋_GB2312" w:cs="仿宋_GB2312"/>
          <w:strike w:val="0"/>
          <w:color w:val="auto"/>
        </w:rPr>
        <w:t>⑦管道检测（CCTV检测、QV或声纳检测等）</w:t>
      </w:r>
    </w:p>
    <w:p w14:paraId="3F914914">
      <w:pPr>
        <w:pStyle w:val="43"/>
        <w:spacing w:before="156"/>
        <w:rPr>
          <w:rFonts w:hAnsi="仿宋_GB2312" w:cs="仿宋_GB2312"/>
          <w:strike w:val="0"/>
          <w:color w:val="auto"/>
        </w:rPr>
      </w:pPr>
      <w:r>
        <w:rPr>
          <w:rFonts w:hint="eastAsia" w:hAnsi="仿宋_GB2312" w:cs="仿宋_GB2312"/>
          <w:strike w:val="0"/>
          <w:color w:val="auto"/>
        </w:rPr>
        <w:t>⑧深基坑开挖影响周边建构筑物的环境调查</w:t>
      </w:r>
    </w:p>
    <w:p w14:paraId="38E33DCC">
      <w:pPr>
        <w:pStyle w:val="43"/>
        <w:spacing w:before="156"/>
        <w:rPr>
          <w:rFonts w:hAnsi="仿宋_GB2312" w:cs="仿宋_GB2312"/>
          <w:strike w:val="0"/>
          <w:color w:val="auto"/>
        </w:rPr>
      </w:pPr>
      <w:r>
        <w:rPr>
          <w:rFonts w:hint="eastAsia" w:hAnsi="仿宋_GB2312" w:cs="仿宋_GB2312"/>
          <w:strike w:val="0"/>
          <w:color w:val="auto"/>
        </w:rPr>
        <w:t>⑨土壤氡浓度检测、环境噪声检测；</w:t>
      </w:r>
    </w:p>
    <w:p w14:paraId="3255B679">
      <w:pPr>
        <w:pStyle w:val="43"/>
        <w:spacing w:before="156"/>
        <w:rPr>
          <w:rFonts w:hAnsi="仿宋_GB2312" w:cs="仿宋_GB2312"/>
          <w:strike w:val="0"/>
          <w:color w:val="auto"/>
        </w:rPr>
      </w:pPr>
      <w:r>
        <w:rPr>
          <w:rFonts w:hint="eastAsia" w:hAnsi="仿宋_GB2312" w:cs="仿宋_GB2312"/>
          <w:strike w:val="0"/>
          <w:color w:val="auto"/>
        </w:rPr>
        <w:t>⑩节能检测；</w:t>
      </w:r>
    </w:p>
    <w:p w14:paraId="68D35021">
      <w:pPr>
        <w:pStyle w:val="43"/>
        <w:spacing w:before="156"/>
        <w:rPr>
          <w:rFonts w:hAnsi="仿宋_GB2312" w:cs="仿宋_GB2312"/>
          <w:strike w:val="0"/>
          <w:color w:val="auto"/>
        </w:rPr>
      </w:pPr>
      <w:r>
        <w:rPr>
          <w:rFonts w:hint="eastAsia" w:hAnsi="仿宋_GB2312" w:cs="仿宋_GB2312"/>
          <w:strike w:val="0"/>
          <w:color w:val="auto"/>
        </w:rPr>
        <w:t>⑪环境噪声检测</w:t>
      </w:r>
    </w:p>
    <w:p w14:paraId="274480DD">
      <w:pPr>
        <w:pStyle w:val="43"/>
        <w:spacing w:before="156"/>
        <w:rPr>
          <w:rFonts w:hAnsi="仿宋_GB2312" w:cs="仿宋_GB2312"/>
          <w:strike w:val="0"/>
          <w:color w:val="auto"/>
        </w:rPr>
      </w:pPr>
      <w:r>
        <w:rPr>
          <w:rFonts w:hint="eastAsia" w:hAnsi="仿宋_GB2312" w:cs="仿宋_GB2312"/>
          <w:strike w:val="0"/>
          <w:color w:val="auto"/>
        </w:rPr>
        <w:t>⑫白蚁防治;</w:t>
      </w:r>
    </w:p>
    <w:p w14:paraId="404216A0">
      <w:pPr>
        <w:pStyle w:val="43"/>
        <w:spacing w:before="156"/>
        <w:rPr>
          <w:rFonts w:hAnsi="仿宋_GB2312" w:cs="仿宋_GB2312"/>
          <w:strike w:val="0"/>
          <w:color w:val="auto"/>
        </w:rPr>
      </w:pPr>
      <w:r>
        <w:rPr>
          <w:rFonts w:hint="eastAsia" w:hAnsi="仿宋_GB2312" w:cs="仿宋_GB2312"/>
          <w:strike w:val="0"/>
          <w:color w:val="auto"/>
        </w:rPr>
        <w:t>⑬防雷检测；</w:t>
      </w:r>
    </w:p>
    <w:p w14:paraId="6284412A">
      <w:pPr>
        <w:pStyle w:val="43"/>
        <w:spacing w:before="156"/>
        <w:rPr>
          <w:rFonts w:hAnsi="仿宋_GB2312" w:cs="仿宋_GB2312"/>
          <w:strike w:val="0"/>
          <w:color w:val="auto"/>
        </w:rPr>
      </w:pPr>
      <w:r>
        <w:rPr>
          <w:rFonts w:hint="eastAsia" w:hAnsi="仿宋_GB2312" w:cs="仿宋_GB2312"/>
          <w:strike w:val="0"/>
          <w:color w:val="auto"/>
        </w:rPr>
        <w:t>⑭室内空气检测；</w:t>
      </w:r>
    </w:p>
    <w:p w14:paraId="5758EEE1">
      <w:pPr>
        <w:pStyle w:val="43"/>
        <w:spacing w:before="156"/>
        <w:rPr>
          <w:rFonts w:hAnsi="仿宋_GB2312" w:cs="仿宋_GB2312"/>
          <w:strike w:val="0"/>
          <w:color w:val="auto"/>
        </w:rPr>
      </w:pPr>
      <w:r>
        <w:rPr>
          <w:rFonts w:hint="eastAsia" w:hAnsi="仿宋_GB2312" w:cs="仿宋_GB2312"/>
          <w:strike w:val="0"/>
          <w:color w:val="auto"/>
        </w:rPr>
        <w:t>⑮消防设施第三方检测</w:t>
      </w:r>
    </w:p>
    <w:p w14:paraId="1A150D1C">
      <w:pPr>
        <w:pStyle w:val="43"/>
        <w:spacing w:before="156"/>
        <w:ind w:firstLine="523"/>
        <w:rPr>
          <w:rFonts w:hAnsi="仿宋_GB2312" w:cs="仿宋_GB2312"/>
          <w:strike w:val="0"/>
          <w:color w:val="auto"/>
        </w:rPr>
      </w:pPr>
      <w:r>
        <w:rPr>
          <w:rFonts w:hint="eastAsia" w:hAnsi="仿宋_GB2312" w:cs="仿宋_GB2312"/>
          <w:strike w:val="0"/>
          <w:color w:val="auto"/>
        </w:rPr>
        <w:fldChar w:fldCharType="begin"/>
      </w:r>
      <w:r>
        <w:rPr>
          <w:rFonts w:hint="eastAsia" w:hAnsi="仿宋_GB2312" w:cs="仿宋_GB2312"/>
          <w:strike w:val="0"/>
          <w:color w:val="auto"/>
        </w:rPr>
        <w:instrText xml:space="preserve"> EQ \o\ac(</w:instrText>
      </w:r>
      <w:r>
        <w:rPr>
          <w:rFonts w:hint="eastAsia" w:hAnsi="仿宋_GB2312" w:cs="仿宋_GB2312"/>
          <w:strike w:val="0"/>
          <w:color w:val="auto"/>
          <w:position w:val="-5"/>
          <w:sz w:val="39"/>
        </w:rPr>
        <w:instrText xml:space="preserve">○</w:instrText>
      </w:r>
      <w:r>
        <w:rPr>
          <w:rFonts w:hint="eastAsia" w:hAnsi="仿宋_GB2312" w:cs="仿宋_GB2312"/>
          <w:strike w:val="0"/>
          <w:color w:val="auto"/>
        </w:rPr>
        <w:instrText xml:space="preserve">,16)</w:instrText>
      </w:r>
      <w:r>
        <w:rPr>
          <w:rFonts w:hint="eastAsia" w:hAnsi="仿宋_GB2312" w:cs="仿宋_GB2312"/>
          <w:strike w:val="0"/>
          <w:color w:val="auto"/>
        </w:rPr>
        <w:fldChar w:fldCharType="end"/>
      </w:r>
      <w:r>
        <w:rPr>
          <w:rFonts w:hint="eastAsia" w:hAnsi="仿宋_GB2312" w:cs="仿宋_GB2312"/>
          <w:strike w:val="0"/>
          <w:color w:val="auto"/>
        </w:rPr>
        <w:t>绿色建筑工程验收检测。</w:t>
      </w:r>
    </w:p>
    <w:p w14:paraId="77797852">
      <w:pPr>
        <w:pStyle w:val="43"/>
        <w:spacing w:before="156"/>
        <w:rPr>
          <w:rFonts w:hAnsi="仿宋_GB2312" w:cs="仿宋_GB2312"/>
          <w:color w:val="auto"/>
        </w:rPr>
      </w:pPr>
      <w:r>
        <w:rPr>
          <w:rFonts w:hint="eastAsia" w:hAnsi="仿宋_GB2312" w:cs="仿宋_GB2312"/>
          <w:color w:val="auto"/>
        </w:rPr>
        <w:t>发包人委托第三方检(监)测费用不含在投标报价内，其检(监)测费用由发包人另行支付给第三方检(监)测单位。其他检测内容由承包人负责，相应费用已包含在合同总价中。</w:t>
      </w:r>
    </w:p>
    <w:p w14:paraId="67102115">
      <w:pPr>
        <w:pStyle w:val="43"/>
        <w:spacing w:before="156"/>
        <w:rPr>
          <w:rFonts w:hAnsi="仿宋_GB2312" w:cs="仿宋_GB2312"/>
          <w:color w:val="auto"/>
        </w:rPr>
      </w:pPr>
      <w:r>
        <w:rPr>
          <w:rFonts w:hint="eastAsia" w:hAnsi="仿宋_GB2312" w:cs="仿宋_GB2312"/>
          <w:color w:val="auto"/>
        </w:rPr>
        <w:t>（3）第三方检（监）测配合费：指承包人配合发包人委托第三方检（监）测项目所发生的人工、材料如送检材料样品、机械及配合费用（提供检测监测工作条件）及对检（监）测造成的孔洞等由承包人按技术要求采用合格材料修补恢复的费用,</w:t>
      </w:r>
      <w:r>
        <w:rPr>
          <w:rFonts w:hint="eastAsia" w:hAnsi="仿宋_GB2312" w:cs="仿宋_GB2312"/>
          <w:color w:val="auto"/>
          <w:lang w:eastAsia="zh-CN"/>
        </w:rPr>
        <w:t>包括</w:t>
      </w:r>
      <w:r>
        <w:rPr>
          <w:rFonts w:hint="eastAsia" w:hAnsi="仿宋_GB2312" w:cs="仿宋_GB2312"/>
          <w:color w:val="auto"/>
        </w:rPr>
        <w:t>提供工作面、提供水电等。</w:t>
      </w:r>
    </w:p>
    <w:p w14:paraId="2619E965">
      <w:pPr>
        <w:pStyle w:val="43"/>
        <w:spacing w:before="156"/>
        <w:rPr>
          <w:rFonts w:hAnsi="仿宋_GB2312" w:cs="仿宋_GB2312"/>
          <w:color w:val="auto"/>
        </w:rPr>
      </w:pPr>
      <w:r>
        <w:rPr>
          <w:rFonts w:hint="eastAsia" w:hAnsi="仿宋_GB2312" w:cs="仿宋_GB2312"/>
          <w:color w:val="auto"/>
        </w:rPr>
        <w:t>发包人委托第三方检（监）测的项目，如果检测一次或数次不合格，其检测费用由承包人承担，发包人只承担检测合格时的检测费用，检测不合格的工程项目承包人须免费返工到合格为止。</w:t>
      </w:r>
    </w:p>
    <w:p w14:paraId="53E6BCCB">
      <w:pPr>
        <w:pStyle w:val="43"/>
        <w:spacing w:before="156" w:line="480" w:lineRule="exact"/>
        <w:rPr>
          <w:rFonts w:hAnsi="仿宋_GB2312" w:cs="仿宋_GB2312"/>
          <w:color w:val="auto"/>
        </w:rPr>
      </w:pPr>
      <w:r>
        <w:rPr>
          <w:rFonts w:hint="eastAsia" w:cs="仿宋_GB2312"/>
          <w:color w:val="auto"/>
        </w:rPr>
        <w:t>该项工作内容发生的</w:t>
      </w:r>
      <w:r>
        <w:rPr>
          <w:rFonts w:hint="eastAsia"/>
          <w:color w:val="auto"/>
        </w:rPr>
        <w:t>费用含在投标报价中，不另外计算。</w:t>
      </w:r>
    </w:p>
    <w:p w14:paraId="7E104DF8">
      <w:pPr>
        <w:pStyle w:val="27"/>
        <w:ind w:firstLine="653" w:firstLineChars="250"/>
        <w:rPr>
          <w:strike w:val="0"/>
          <w:color w:val="auto"/>
          <w:highlight w:val="none"/>
        </w:rPr>
      </w:pPr>
      <w:r>
        <w:rPr>
          <w:rFonts w:hint="eastAsia"/>
          <w:strike w:val="0"/>
          <w:color w:val="auto"/>
          <w:highlight w:val="none"/>
          <w:lang w:val="en-US" w:eastAsia="zh-CN"/>
        </w:rPr>
        <w:t>9</w:t>
      </w:r>
      <w:r>
        <w:rPr>
          <w:rFonts w:hint="eastAsia"/>
          <w:strike w:val="0"/>
          <w:color w:val="auto"/>
          <w:highlight w:val="none"/>
        </w:rPr>
        <w:t>、其它措施项目费</w:t>
      </w:r>
      <w:bookmarkEnd w:id="66"/>
      <w:bookmarkEnd w:id="67"/>
      <w:bookmarkEnd w:id="68"/>
    </w:p>
    <w:p w14:paraId="58FD5891">
      <w:pPr>
        <w:pStyle w:val="43"/>
        <w:spacing w:before="156"/>
        <w:ind w:firstLine="523"/>
        <w:rPr>
          <w:strike w:val="0"/>
          <w:color w:val="auto"/>
          <w:highlight w:val="none"/>
        </w:rPr>
      </w:pPr>
      <w:r>
        <w:rPr>
          <w:rFonts w:hint="eastAsia" w:hAnsi="仿宋_GB2312" w:cs="仿宋_GB2312"/>
          <w:bCs w:val="0"/>
          <w:strike w:val="0"/>
          <w:snapToGrid/>
          <w:color w:val="auto"/>
          <w:spacing w:val="0"/>
        </w:rPr>
        <w:t>凡以上措施项目没有体现的</w:t>
      </w:r>
      <w:r>
        <w:rPr>
          <w:rFonts w:hint="eastAsia" w:hAnsi="仿宋_GB2312" w:cs="仿宋_GB2312"/>
          <w:bCs w:val="0"/>
          <w:strike w:val="0"/>
          <w:snapToGrid/>
          <w:color w:val="auto"/>
          <w:spacing w:val="0"/>
          <w:highlight w:val="none"/>
        </w:rPr>
        <w:t>，</w:t>
      </w:r>
      <w:r>
        <w:rPr>
          <w:rFonts w:hint="eastAsia" w:hAnsi="仿宋_GB2312" w:cs="仿宋_GB2312"/>
          <w:bCs w:val="0"/>
          <w:strike w:val="0"/>
          <w:snapToGrid/>
          <w:color w:val="auto"/>
          <w:spacing w:val="0"/>
        </w:rPr>
        <w:t>工程实施过程中又必须发生或者投标人认为为完成本工程将会发生的其它措施费用均在本清单项内考虑。本费用在完成规定内容且验收符合要求的前提下属合价包干项目，结算时不作调整；若未完成规定内容或验收不符合要求的，则本费用不予结算。</w:t>
      </w:r>
    </w:p>
    <w:p w14:paraId="3C9CFC96">
      <w:pPr>
        <w:pStyle w:val="43"/>
        <w:spacing w:before="156"/>
        <w:ind w:left="0" w:leftChars="0" w:firstLine="0" w:firstLineChars="0"/>
        <w:rPr>
          <w:color w:val="auto"/>
          <w:highlight w:val="none"/>
        </w:rPr>
      </w:pPr>
    </w:p>
    <w:p w14:paraId="34B54744">
      <w:pPr>
        <w:pStyle w:val="27"/>
        <w:rPr>
          <w:color w:val="auto"/>
          <w:highlight w:val="none"/>
        </w:rPr>
      </w:pPr>
      <w:bookmarkStart w:id="69" w:name="_Toc2676"/>
      <w:bookmarkStart w:id="70" w:name="_Toc452295653"/>
      <w:bookmarkStart w:id="71" w:name="_Toc29953"/>
      <w:bookmarkStart w:id="72" w:name="_Toc14083"/>
      <w:bookmarkStart w:id="73" w:name="_Toc8656"/>
      <w:bookmarkStart w:id="74" w:name="_Toc416250237"/>
      <w:bookmarkStart w:id="75" w:name="_Toc7030021"/>
      <w:bookmarkStart w:id="76" w:name="_Toc430873081"/>
      <w:bookmarkStart w:id="77" w:name="_Toc11094"/>
      <w:bookmarkStart w:id="78" w:name="_Toc26864"/>
      <w:r>
        <w:rPr>
          <w:rFonts w:hint="eastAsia"/>
          <w:color w:val="auto"/>
          <w:highlight w:val="none"/>
        </w:rPr>
        <w:t>二、其他项目清单计价说明</w:t>
      </w:r>
      <w:bookmarkEnd w:id="69"/>
      <w:bookmarkEnd w:id="70"/>
      <w:bookmarkEnd w:id="71"/>
      <w:bookmarkEnd w:id="72"/>
      <w:bookmarkEnd w:id="73"/>
      <w:bookmarkEnd w:id="74"/>
      <w:bookmarkEnd w:id="75"/>
      <w:bookmarkEnd w:id="76"/>
      <w:bookmarkEnd w:id="77"/>
      <w:bookmarkEnd w:id="78"/>
    </w:p>
    <w:p w14:paraId="79D3F6C3">
      <w:pPr>
        <w:pStyle w:val="27"/>
        <w:rPr>
          <w:strike w:val="0"/>
          <w:color w:val="auto"/>
          <w:highlight w:val="none"/>
        </w:rPr>
      </w:pPr>
      <w:bookmarkStart w:id="79" w:name="_Toc13870"/>
      <w:bookmarkStart w:id="80" w:name="_Toc1166"/>
      <w:bookmarkStart w:id="81" w:name="_Toc7030023"/>
      <w:bookmarkStart w:id="82" w:name="_Toc452295654"/>
      <w:r>
        <w:rPr>
          <w:rFonts w:hint="eastAsia"/>
          <w:strike w:val="0"/>
          <w:color w:val="auto"/>
          <w:highlight w:val="none"/>
          <w:lang w:val="en-US" w:eastAsia="zh-CN"/>
        </w:rPr>
        <w:t>1</w:t>
      </w:r>
      <w:r>
        <w:rPr>
          <w:rFonts w:hint="eastAsia"/>
          <w:strike w:val="0"/>
          <w:color w:val="auto"/>
          <w:highlight w:val="none"/>
        </w:rPr>
        <w:t>、预算包干费</w:t>
      </w:r>
      <w:bookmarkEnd w:id="79"/>
      <w:bookmarkEnd w:id="80"/>
      <w:bookmarkEnd w:id="81"/>
    </w:p>
    <w:bookmarkEnd w:id="82"/>
    <w:p w14:paraId="1790674F">
      <w:pPr>
        <w:pStyle w:val="43"/>
        <w:spacing w:before="156"/>
        <w:rPr>
          <w:rFonts w:hAnsi="仿宋_GB2312" w:cs="仿宋_GB2312"/>
          <w:strike w:val="0"/>
          <w:color w:val="auto"/>
        </w:rPr>
      </w:pPr>
      <w:bookmarkStart w:id="83" w:name="_Toc7030024"/>
      <w:bookmarkStart w:id="84" w:name="_Toc11872"/>
      <w:bookmarkStart w:id="85" w:name="_Toc13592"/>
      <w:r>
        <w:rPr>
          <w:rFonts w:hint="eastAsia" w:hAnsi="仿宋_GB2312" w:cs="仿宋_GB2312"/>
          <w:strike w:val="0"/>
          <w:color w:val="auto"/>
        </w:rPr>
        <w:t>预算包干费</w:t>
      </w:r>
      <w:r>
        <w:rPr>
          <w:rFonts w:hint="eastAsia" w:hAnsi="仿宋_GB2312" w:cs="仿宋_GB2312"/>
          <w:strike w:val="0"/>
          <w:color w:val="auto"/>
          <w:lang w:eastAsia="zh-CN"/>
        </w:rPr>
        <w:t>包括</w:t>
      </w:r>
      <w:r>
        <w:rPr>
          <w:rFonts w:hint="eastAsia" w:hAnsi="仿宋_GB2312" w:cs="仿宋_GB2312"/>
          <w:strike w:val="0"/>
          <w:color w:val="auto"/>
        </w:rPr>
        <w:t>：施工雨（污）水的排除、材料和设备二次或多次运输（包括场内料具陆上水上的多次搬迁、施工巷道狭窄引起的多次水平及垂直运输、人工水平或垂直搬运等）、工程用水加压措施、场地清理及垃圾外运、施工材料堆放场地的整理、施工中的临时停水停电、已完工程成品及设备保护等发生的费用（包括竣工验收后移交产权或管养单位前成品设备保护发生的费用）；补洞工料费；日间施工照明增加费；特殊工程培训费、地上（地下）设施，建筑物的临时保护设施费和二次加工基地设施费、雨季施工增加费等。</w:t>
      </w:r>
    </w:p>
    <w:p w14:paraId="0C99E9E0">
      <w:pPr>
        <w:pStyle w:val="43"/>
        <w:spacing w:before="156"/>
        <w:rPr>
          <w:rFonts w:hAnsi="仿宋_GB2312" w:cs="仿宋_GB2312"/>
          <w:strike w:val="0"/>
          <w:color w:val="auto"/>
        </w:rPr>
      </w:pPr>
      <w:r>
        <w:rPr>
          <w:rFonts w:hint="eastAsia" w:hAnsi="仿宋_GB2312" w:cs="仿宋_GB2312"/>
          <w:strike w:val="0"/>
          <w:color w:val="auto"/>
        </w:rPr>
        <w:t>对于场地内、外清理及垃圾外运项，若承包人未按规定及时进行清运则由发包人另行委托队伍进行清运，实际清运费用由承包人承担。若场内、外垃圾责任划分不清且不按规定及时进行清运的，则由发包人另行委托队伍进行清运，实际清运费用由各地块承包单位按各自施工承包合同造价比例分摊。</w:t>
      </w:r>
    </w:p>
    <w:p w14:paraId="61E0C5DD">
      <w:pPr>
        <w:pStyle w:val="43"/>
        <w:spacing w:before="156"/>
        <w:rPr>
          <w:rFonts w:hAnsi="仿宋_GB2312" w:cs="仿宋_GB2312"/>
          <w:strike w:val="0"/>
          <w:color w:val="auto"/>
        </w:rPr>
      </w:pPr>
      <w:r>
        <w:rPr>
          <w:rFonts w:hint="eastAsia" w:hAnsi="仿宋_GB2312" w:cs="仿宋_GB2312"/>
          <w:strike w:val="0"/>
          <w:color w:val="auto"/>
        </w:rPr>
        <w:t>场外安全保卫项，由发包人另行委托队伍，实际费用由各地块承包单位按各自施工承包合同造价比例分摊。</w:t>
      </w:r>
    </w:p>
    <w:p w14:paraId="525571A2">
      <w:pPr>
        <w:pStyle w:val="43"/>
        <w:spacing w:before="156"/>
        <w:rPr>
          <w:rFonts w:hAnsi="仿宋_GB2312" w:cs="仿宋_GB2312"/>
          <w:strike w:val="0"/>
          <w:color w:val="auto"/>
        </w:rPr>
      </w:pPr>
      <w:r>
        <w:rPr>
          <w:rFonts w:hint="eastAsia" w:hAnsi="仿宋_GB2312" w:cs="仿宋_GB2312"/>
          <w:strike w:val="0"/>
          <w:color w:val="auto"/>
        </w:rPr>
        <w:t>补洞工料费是指其他专业单位安装后的修补、塞洞补洞、塞缝和恢复费用，含各时期各类设计变更引起的补洞工料。其他专业单位开洞24小时前、完工后24小时内通知总监理工程师，均由承包人补回原貌。</w:t>
      </w:r>
    </w:p>
    <w:p w14:paraId="6932F089">
      <w:pPr>
        <w:pStyle w:val="43"/>
        <w:spacing w:before="156"/>
        <w:rPr>
          <w:rFonts w:hAnsi="仿宋_GB2312" w:cs="仿宋_GB2312"/>
          <w:color w:val="auto"/>
        </w:rPr>
      </w:pPr>
      <w:r>
        <w:rPr>
          <w:rFonts w:hint="eastAsia" w:hAnsi="仿宋_GB2312" w:cs="仿宋_GB2312"/>
          <w:strike w:val="0"/>
          <w:color w:val="auto"/>
        </w:rPr>
        <w:t>本费用在完成规定内容且验收符合要求的前提下属合价包干项目，除合同另有约定外，结算时不作调整。</w:t>
      </w:r>
    </w:p>
    <w:p w14:paraId="24A2E482">
      <w:pPr>
        <w:pStyle w:val="27"/>
        <w:rPr>
          <w:color w:val="auto"/>
          <w:highlight w:val="none"/>
        </w:rPr>
      </w:pPr>
      <w:r>
        <w:rPr>
          <w:rFonts w:hint="eastAsia"/>
          <w:color w:val="auto"/>
          <w:highlight w:val="none"/>
          <w:lang w:val="en-US" w:eastAsia="zh-CN"/>
        </w:rPr>
        <w:t>2</w:t>
      </w:r>
      <w:r>
        <w:rPr>
          <w:rFonts w:hint="eastAsia"/>
          <w:color w:val="auto"/>
          <w:highlight w:val="none"/>
        </w:rPr>
        <w:t>、</w:t>
      </w:r>
      <w:r>
        <w:rPr>
          <w:rFonts w:hint="eastAsia"/>
          <w:strike w:val="0"/>
          <w:color w:val="auto"/>
          <w:highlight w:val="none"/>
        </w:rPr>
        <w:t>不可预见及风</w:t>
      </w:r>
      <w:r>
        <w:rPr>
          <w:rFonts w:hint="eastAsia"/>
          <w:color w:val="auto"/>
          <w:highlight w:val="none"/>
        </w:rPr>
        <w:t>险包干费</w:t>
      </w:r>
      <w:bookmarkEnd w:id="83"/>
      <w:bookmarkEnd w:id="84"/>
      <w:bookmarkEnd w:id="85"/>
    </w:p>
    <w:p w14:paraId="02C1090A">
      <w:pPr>
        <w:pStyle w:val="43"/>
        <w:spacing w:before="156"/>
        <w:rPr>
          <w:rFonts w:hAnsi="仿宋_GB2312" w:cs="仿宋_GB2312"/>
          <w:color w:val="auto"/>
        </w:rPr>
      </w:pPr>
      <w:bookmarkStart w:id="86" w:name="_Toc4765"/>
      <w:bookmarkStart w:id="87" w:name="_Toc32021"/>
      <w:bookmarkStart w:id="88" w:name="_Toc7030026"/>
      <w:r>
        <w:rPr>
          <w:rFonts w:hint="eastAsia" w:hAnsi="仿宋_GB2312" w:cs="仿宋_GB2312"/>
          <w:strike w:val="0"/>
          <w:color w:val="auto"/>
        </w:rPr>
        <w:t>不可预见及风险</w:t>
      </w:r>
      <w:r>
        <w:rPr>
          <w:rFonts w:hint="eastAsia" w:hAnsi="仿宋_GB2312" w:cs="仿宋_GB2312"/>
          <w:color w:val="auto"/>
        </w:rPr>
        <w:t>包干费是指建设期可能发生的风险因素而导致的施工增加费用及各类应急救援措施费用，发生的费用含在已报价项目的综合单价和合价中。风险因素</w:t>
      </w:r>
      <w:r>
        <w:rPr>
          <w:rFonts w:hint="eastAsia" w:hAnsi="仿宋_GB2312" w:cs="仿宋_GB2312"/>
          <w:color w:val="auto"/>
          <w:lang w:eastAsia="zh-CN"/>
        </w:rPr>
        <w:t>包括</w:t>
      </w:r>
      <w:r>
        <w:rPr>
          <w:rFonts w:hint="eastAsia" w:hAnsi="仿宋_GB2312" w:cs="仿宋_GB2312"/>
          <w:color w:val="auto"/>
        </w:rPr>
        <w:t>：</w:t>
      </w:r>
    </w:p>
    <w:p w14:paraId="08F760C3">
      <w:pPr>
        <w:pStyle w:val="43"/>
        <w:spacing w:before="156"/>
        <w:rPr>
          <w:rFonts w:hAnsi="仿宋_GB2312" w:cs="仿宋_GB2312"/>
          <w:color w:val="auto"/>
        </w:rPr>
      </w:pPr>
      <w:r>
        <w:rPr>
          <w:rFonts w:hint="eastAsia" w:hAnsi="仿宋_GB2312" w:cs="仿宋_GB2312"/>
          <w:color w:val="auto"/>
        </w:rPr>
        <w:t>（1）市场物价的不稳定因素和政府部门颁发的各项调价文件引起造价的变化(合同约定可调整的除外）；</w:t>
      </w:r>
    </w:p>
    <w:p w14:paraId="46EA17D9">
      <w:pPr>
        <w:pStyle w:val="43"/>
        <w:spacing w:before="156"/>
        <w:ind w:firstLine="637" w:firstLineChars="238"/>
        <w:rPr>
          <w:rFonts w:hAnsi="仿宋_GB2312" w:cs="仿宋_GB2312"/>
          <w:color w:val="auto"/>
        </w:rPr>
      </w:pPr>
      <w:r>
        <w:rPr>
          <w:rFonts w:hint="eastAsia" w:hAnsi="仿宋_GB2312" w:cs="仿宋_GB2312"/>
          <w:color w:val="auto"/>
        </w:rPr>
        <w:t>（2）各种原因引起的窝工、部分或全部机械停滞；</w:t>
      </w:r>
    </w:p>
    <w:p w14:paraId="00B60FE7">
      <w:pPr>
        <w:pStyle w:val="43"/>
        <w:spacing w:before="156"/>
        <w:rPr>
          <w:rFonts w:hAnsi="仿宋_GB2312" w:cs="仿宋_GB2312"/>
          <w:color w:val="auto"/>
        </w:rPr>
      </w:pPr>
      <w:r>
        <w:rPr>
          <w:rFonts w:hint="eastAsia" w:hAnsi="仿宋_GB2312" w:cs="仿宋_GB2312"/>
          <w:color w:val="auto"/>
        </w:rPr>
        <w:t>（</w:t>
      </w:r>
      <w:r>
        <w:rPr>
          <w:rFonts w:hint="eastAsia" w:hAnsi="仿宋_GB2312" w:cs="仿宋_GB2312"/>
          <w:color w:val="auto"/>
          <w:lang w:val="en-US" w:eastAsia="zh-CN"/>
        </w:rPr>
        <w:t>3</w:t>
      </w:r>
      <w:r>
        <w:rPr>
          <w:rFonts w:hint="eastAsia" w:hAnsi="仿宋_GB2312" w:cs="仿宋_GB2312"/>
          <w:color w:val="auto"/>
        </w:rPr>
        <w:t>）凡因该工程施工影响到民居、商业区等建构筑物、市政设施（电力、通讯、给排水等设施）、城市环境（道路整洁、绿化破坏等）及第三方财产与人身安全的，承包人应采取措施进行保护，出现损坏则需由承包人修复；承包人需采取措施避免施工噪声、振动、水质和土壤污染及地表下沉等对周边环境的影响，且需保证施工现场及周边居民生活、商业区营业等出入交通不受影响；上述各种因素所发生的费用；</w:t>
      </w:r>
    </w:p>
    <w:p w14:paraId="2DC788C3">
      <w:pPr>
        <w:pStyle w:val="43"/>
        <w:spacing w:before="156"/>
        <w:rPr>
          <w:rFonts w:hAnsi="仿宋_GB2312" w:cs="仿宋_GB2312"/>
          <w:color w:val="auto"/>
        </w:rPr>
      </w:pPr>
      <w:r>
        <w:rPr>
          <w:rFonts w:hint="eastAsia" w:hAnsi="仿宋_GB2312" w:cs="仿宋_GB2312"/>
          <w:color w:val="auto"/>
        </w:rPr>
        <w:t>（</w:t>
      </w:r>
      <w:r>
        <w:rPr>
          <w:rFonts w:hint="eastAsia" w:hAnsi="仿宋_GB2312" w:cs="仿宋_GB2312"/>
          <w:color w:val="auto"/>
          <w:lang w:val="en-US" w:eastAsia="zh-CN"/>
        </w:rPr>
        <w:t>4</w:t>
      </w:r>
      <w:r>
        <w:rPr>
          <w:rFonts w:hint="eastAsia" w:hAnsi="仿宋_GB2312" w:cs="仿宋_GB2312"/>
          <w:color w:val="auto"/>
        </w:rPr>
        <w:t>）气候等自然条件的不利影响（比如台风、潮汐等影响）所发生的费用；各类应急救援措施所发生的一切费用；技术经济条件发生变化（如资源、劳力、交通条件等）所发生的费用；</w:t>
      </w:r>
    </w:p>
    <w:p w14:paraId="5D2DAC10">
      <w:pPr>
        <w:pStyle w:val="43"/>
        <w:spacing w:before="156"/>
        <w:rPr>
          <w:rFonts w:hAnsi="仿宋_GB2312" w:cs="仿宋_GB2312"/>
          <w:color w:val="auto"/>
        </w:rPr>
      </w:pPr>
      <w:r>
        <w:rPr>
          <w:rFonts w:hint="eastAsia" w:hAnsi="仿宋_GB2312" w:cs="仿宋_GB2312"/>
          <w:color w:val="auto"/>
        </w:rPr>
        <w:t>（</w:t>
      </w:r>
      <w:r>
        <w:rPr>
          <w:rFonts w:hint="eastAsia" w:hAnsi="仿宋_GB2312" w:cs="仿宋_GB2312"/>
          <w:color w:val="auto"/>
          <w:lang w:val="en-US" w:eastAsia="zh-CN"/>
        </w:rPr>
        <w:t>5</w:t>
      </w:r>
      <w:r>
        <w:rPr>
          <w:rFonts w:hint="eastAsia" w:hAnsi="仿宋_GB2312" w:cs="仿宋_GB2312"/>
          <w:color w:val="auto"/>
        </w:rPr>
        <w:t>）因各种原因导致项目终止或是实际工程规模缩减或是暂缓实施，发包人按合同计费原则支付实际完成的工作或是缩减后工程规模对应的费用，其他间接损失不予以赔偿的风险；</w:t>
      </w:r>
    </w:p>
    <w:p w14:paraId="7BFC3AA9">
      <w:pPr>
        <w:pStyle w:val="43"/>
        <w:spacing w:before="156"/>
        <w:rPr>
          <w:rFonts w:hAnsi="仿宋_GB2312" w:cs="仿宋_GB2312"/>
          <w:color w:val="auto"/>
        </w:rPr>
      </w:pPr>
      <w:r>
        <w:rPr>
          <w:rFonts w:hint="eastAsia" w:hAnsi="仿宋_GB2312" w:cs="仿宋_GB2312"/>
          <w:color w:val="auto"/>
        </w:rPr>
        <w:t>（</w:t>
      </w:r>
      <w:r>
        <w:rPr>
          <w:rFonts w:hint="eastAsia" w:hAnsi="仿宋_GB2312" w:cs="仿宋_GB2312"/>
          <w:color w:val="auto"/>
          <w:lang w:val="en-US" w:eastAsia="zh-CN"/>
        </w:rPr>
        <w:t>6</w:t>
      </w:r>
      <w:r>
        <w:rPr>
          <w:rFonts w:hint="eastAsia" w:hAnsi="仿宋_GB2312" w:cs="仿宋_GB2312"/>
          <w:color w:val="auto"/>
        </w:rPr>
        <w:t>）因政府、行业主管部门和发包人要求，为满足市容市貌、接待或重大节日、重要活动或为满足某一特定专项要求，而必须进行的施工区域和周边进行一次或多次围挡围护、宣传、美化等发生的费用；</w:t>
      </w:r>
    </w:p>
    <w:p w14:paraId="43F55986">
      <w:pPr>
        <w:pStyle w:val="43"/>
        <w:spacing w:before="156"/>
        <w:rPr>
          <w:rFonts w:hAnsi="仿宋_GB2312" w:cs="仿宋_GB2312"/>
          <w:color w:val="auto"/>
        </w:rPr>
      </w:pPr>
      <w:r>
        <w:rPr>
          <w:rFonts w:hint="eastAsia" w:hAnsi="仿宋_GB2312" w:cs="仿宋_GB2312"/>
          <w:color w:val="auto"/>
        </w:rPr>
        <w:t>（</w:t>
      </w:r>
      <w:r>
        <w:rPr>
          <w:rFonts w:hint="eastAsia" w:hAnsi="仿宋_GB2312" w:cs="仿宋_GB2312"/>
          <w:color w:val="auto"/>
          <w:lang w:val="en-US" w:eastAsia="zh-CN"/>
        </w:rPr>
        <w:t>7</w:t>
      </w:r>
      <w:r>
        <w:rPr>
          <w:rFonts w:hint="eastAsia" w:hAnsi="仿宋_GB2312" w:cs="仿宋_GB2312"/>
          <w:color w:val="auto"/>
        </w:rPr>
        <w:t>）实施性施工组织设计涉及内容所发生的费用；项目实施过程中可能存在的一次或多次样板引路所发生的费用；</w:t>
      </w:r>
    </w:p>
    <w:p w14:paraId="0134DF91">
      <w:pPr>
        <w:pStyle w:val="43"/>
        <w:spacing w:before="156"/>
        <w:rPr>
          <w:rFonts w:hAnsi="仿宋_GB2312" w:cs="仿宋_GB2312"/>
          <w:color w:val="auto"/>
        </w:rPr>
      </w:pPr>
      <w:r>
        <w:rPr>
          <w:rFonts w:hint="eastAsia" w:hAnsi="仿宋_GB2312" w:cs="仿宋_GB2312"/>
          <w:color w:val="auto"/>
        </w:rPr>
        <w:t>（</w:t>
      </w:r>
      <w:r>
        <w:rPr>
          <w:rFonts w:hint="eastAsia" w:hAnsi="仿宋_GB2312" w:cs="仿宋_GB2312"/>
          <w:color w:val="auto"/>
          <w:lang w:val="en-US" w:eastAsia="zh-CN"/>
        </w:rPr>
        <w:t>8</w:t>
      </w:r>
      <w:r>
        <w:rPr>
          <w:rFonts w:hint="eastAsia" w:hAnsi="仿宋_GB2312" w:cs="仿宋_GB2312"/>
          <w:color w:val="auto"/>
        </w:rPr>
        <w:t>）现场施工条件变化、运输方式变化、工期变化、工料机价格市场变化（合同另有约定除外）、施工机械设备调试、工程保修、配合发包人完成方案论证、方案测试等工作影响工程实施或导致窝工或机械停滞等引起的费用；</w:t>
      </w:r>
    </w:p>
    <w:p w14:paraId="08E348AB">
      <w:pPr>
        <w:pStyle w:val="43"/>
        <w:spacing w:before="156"/>
        <w:rPr>
          <w:rFonts w:hAnsi="仿宋_GB2312" w:cs="仿宋_GB2312"/>
          <w:color w:val="auto"/>
        </w:rPr>
      </w:pPr>
      <w:r>
        <w:rPr>
          <w:rFonts w:hint="eastAsia" w:hAnsi="仿宋_GB2312" w:cs="仿宋_GB2312"/>
          <w:color w:val="auto"/>
          <w:lang w:eastAsia="zh-CN"/>
        </w:rPr>
        <w:t>（</w:t>
      </w:r>
      <w:r>
        <w:rPr>
          <w:rFonts w:hint="eastAsia" w:hAnsi="仿宋_GB2312" w:cs="仿宋_GB2312"/>
          <w:color w:val="auto"/>
          <w:lang w:val="en-US" w:eastAsia="zh-CN"/>
        </w:rPr>
        <w:t>9</w:t>
      </w:r>
      <w:r>
        <w:rPr>
          <w:rFonts w:hint="eastAsia" w:hAnsi="仿宋_GB2312" w:cs="仿宋_GB2312"/>
          <w:color w:val="auto"/>
        </w:rPr>
        <w:t>）政府部门关于环保、航道、交通等方面的规定引起建筑材料水路及陆路运输受限；</w:t>
      </w:r>
    </w:p>
    <w:p w14:paraId="07EFD6F7">
      <w:pPr>
        <w:pStyle w:val="43"/>
        <w:spacing w:before="156"/>
        <w:rPr>
          <w:rFonts w:hAnsi="仿宋_GB2312" w:cs="仿宋_GB2312"/>
          <w:color w:val="auto"/>
        </w:rPr>
      </w:pPr>
      <w:r>
        <w:rPr>
          <w:rFonts w:hint="eastAsia" w:hAnsi="仿宋_GB2312" w:cs="仿宋_GB2312"/>
          <w:color w:val="auto"/>
        </w:rPr>
        <w:t>（1</w:t>
      </w:r>
      <w:r>
        <w:rPr>
          <w:rFonts w:hint="eastAsia" w:hAnsi="仿宋_GB2312" w:cs="仿宋_GB2312"/>
          <w:color w:val="auto"/>
          <w:lang w:val="en-US" w:eastAsia="zh-CN"/>
        </w:rPr>
        <w:t>0</w:t>
      </w:r>
      <w:r>
        <w:rPr>
          <w:rFonts w:hint="eastAsia" w:hAnsi="仿宋_GB2312" w:cs="仿宋_GB2312"/>
          <w:color w:val="auto"/>
        </w:rPr>
        <w:t>）场地排水（包含雨水、地下水、海水、沟渠水等）不通畅需采取的各项措施及降排水措施；</w:t>
      </w:r>
    </w:p>
    <w:p w14:paraId="0B114606">
      <w:pPr>
        <w:pStyle w:val="43"/>
        <w:spacing w:before="156"/>
        <w:rPr>
          <w:rFonts w:hAnsi="仿宋_GB2312" w:cs="仿宋_GB2312"/>
          <w:color w:val="auto"/>
        </w:rPr>
      </w:pPr>
      <w:r>
        <w:rPr>
          <w:rFonts w:hint="eastAsia" w:hAnsi="仿宋_GB2312" w:cs="仿宋_GB2312"/>
          <w:color w:val="auto"/>
        </w:rPr>
        <w:t>（1</w:t>
      </w:r>
      <w:r>
        <w:rPr>
          <w:rFonts w:hint="eastAsia" w:hAnsi="仿宋_GB2312" w:cs="仿宋_GB2312"/>
          <w:color w:val="auto"/>
          <w:lang w:val="en-US" w:eastAsia="zh-CN"/>
        </w:rPr>
        <w:t>1</w:t>
      </w:r>
      <w:r>
        <w:rPr>
          <w:rFonts w:hint="eastAsia" w:hAnsi="仿宋_GB2312" w:cs="仿宋_GB2312"/>
          <w:color w:val="auto"/>
        </w:rPr>
        <w:t>）临时用水、用电工程中管道或电缆敷设路径因跨越不同地形而采取的各类施工及保护措施费用；</w:t>
      </w:r>
    </w:p>
    <w:p w14:paraId="06EA8A3B">
      <w:pPr>
        <w:pStyle w:val="43"/>
        <w:spacing w:before="156"/>
        <w:rPr>
          <w:rFonts w:hAnsi="仿宋_GB2312" w:cs="仿宋_GB2312"/>
          <w:color w:val="auto"/>
        </w:rPr>
      </w:pPr>
      <w:r>
        <w:rPr>
          <w:rFonts w:hint="eastAsia" w:hAnsi="仿宋_GB2312" w:cs="仿宋_GB2312"/>
          <w:color w:val="auto"/>
        </w:rPr>
        <w:t>（1</w:t>
      </w:r>
      <w:r>
        <w:rPr>
          <w:rFonts w:hint="eastAsia" w:hAnsi="仿宋_GB2312" w:cs="仿宋_GB2312"/>
          <w:color w:val="auto"/>
          <w:lang w:val="en-US" w:eastAsia="zh-CN"/>
        </w:rPr>
        <w:t>2</w:t>
      </w:r>
      <w:r>
        <w:rPr>
          <w:rFonts w:hint="eastAsia" w:hAnsi="仿宋_GB2312" w:cs="仿宋_GB2312"/>
          <w:color w:val="auto"/>
        </w:rPr>
        <w:t>）施工及生活用水用电的来源（如向总承包单位接驳、车载运水或水管接驳供水、柴油发电等）；</w:t>
      </w:r>
    </w:p>
    <w:p w14:paraId="3F2E176E">
      <w:pPr>
        <w:pStyle w:val="43"/>
        <w:spacing w:before="156"/>
        <w:rPr>
          <w:rFonts w:hAnsi="仿宋_GB2312" w:cs="仿宋_GB2312"/>
          <w:color w:val="auto"/>
        </w:rPr>
      </w:pPr>
      <w:r>
        <w:rPr>
          <w:rFonts w:hint="eastAsia" w:hAnsi="仿宋_GB2312" w:cs="仿宋_GB2312"/>
          <w:color w:val="auto"/>
        </w:rPr>
        <w:t>（1</w:t>
      </w:r>
      <w:r>
        <w:rPr>
          <w:rFonts w:hint="eastAsia" w:hAnsi="仿宋_GB2312" w:cs="仿宋_GB2312"/>
          <w:color w:val="auto"/>
          <w:lang w:val="en-US" w:eastAsia="zh-CN"/>
        </w:rPr>
        <w:t>3</w:t>
      </w:r>
      <w:r>
        <w:rPr>
          <w:rFonts w:hint="eastAsia" w:hAnsi="仿宋_GB2312" w:cs="仿宋_GB2312"/>
          <w:color w:val="auto"/>
        </w:rPr>
        <w:t>）因该工程施工影响到民居、邻近厂房等建构筑物、市政设施（电力、通讯、给排水等设施）、城市环境（道路整洁、绿化破坏等）及第三方财产与人身安全的采取保护措施，因损坏而发生的修复、采取措施避免施工噪声、振动、水质和土壤污染及地表下沉等对周边环境的影、且需保证施工现场及周边居民生活、工厂生产作业等出入交通不受影响所发生的费用。</w:t>
      </w:r>
    </w:p>
    <w:p w14:paraId="261C6A9F">
      <w:pPr>
        <w:pStyle w:val="43"/>
        <w:spacing w:before="156"/>
        <w:rPr>
          <w:rFonts w:hAnsi="仿宋_GB2312" w:cs="仿宋_GB2312"/>
          <w:color w:val="auto"/>
        </w:rPr>
      </w:pPr>
      <w:r>
        <w:rPr>
          <w:rFonts w:hint="eastAsia" w:hAnsi="仿宋_GB2312" w:cs="仿宋_GB2312"/>
          <w:color w:val="auto"/>
        </w:rPr>
        <w:t>(1</w:t>
      </w:r>
      <w:r>
        <w:rPr>
          <w:rFonts w:hint="eastAsia" w:hAnsi="仿宋_GB2312" w:cs="仿宋_GB2312"/>
          <w:color w:val="auto"/>
          <w:lang w:val="en-US" w:eastAsia="zh-CN"/>
        </w:rPr>
        <w:t>4</w:t>
      </w:r>
      <w:r>
        <w:rPr>
          <w:rFonts w:hint="eastAsia" w:hAnsi="仿宋_GB2312" w:cs="仿宋_GB2312"/>
          <w:color w:val="auto"/>
        </w:rPr>
        <w:t>)现场施工条件变化、运输方式变化、工期变化、工料机价格市场变化、混凝土泵送、施工机械设备调试、工程保修等引起的一切相关费用。</w:t>
      </w:r>
    </w:p>
    <w:p w14:paraId="1E5D6987">
      <w:pPr>
        <w:pStyle w:val="43"/>
        <w:spacing w:before="156"/>
        <w:rPr>
          <w:rFonts w:hint="eastAsia" w:hAnsi="仿宋_GB2312" w:cs="仿宋_GB2312"/>
          <w:color w:val="auto"/>
        </w:rPr>
      </w:pPr>
      <w:r>
        <w:rPr>
          <w:rFonts w:hint="eastAsia" w:hAnsi="仿宋_GB2312" w:cs="仿宋_GB2312"/>
          <w:color w:val="auto"/>
        </w:rPr>
        <w:t>（</w:t>
      </w:r>
      <w:r>
        <w:rPr>
          <w:rFonts w:hint="eastAsia" w:hAnsi="仿宋_GB2312" w:cs="仿宋_GB2312"/>
          <w:color w:val="auto"/>
          <w:lang w:val="en-US" w:eastAsia="zh-CN"/>
        </w:rPr>
        <w:t>15</w:t>
      </w:r>
      <w:r>
        <w:rPr>
          <w:rFonts w:hint="eastAsia" w:hAnsi="仿宋_GB2312" w:cs="仿宋_GB2312"/>
          <w:color w:val="auto"/>
        </w:rPr>
        <w:t>）确保本项目各类施工机械（</w:t>
      </w:r>
      <w:r>
        <w:rPr>
          <w:rFonts w:hint="eastAsia" w:hAnsi="仿宋_GB2312" w:cs="仿宋_GB2312"/>
          <w:color w:val="auto"/>
          <w:lang w:eastAsia="zh-CN"/>
        </w:rPr>
        <w:t>包括</w:t>
      </w:r>
      <w:r>
        <w:rPr>
          <w:rFonts w:hint="eastAsia" w:hAnsi="仿宋_GB2312" w:cs="仿宋_GB2312"/>
          <w:color w:val="auto"/>
          <w:lang w:val="en-US" w:eastAsia="zh-CN"/>
        </w:rPr>
        <w:t>垂直运输</w:t>
      </w:r>
      <w:r>
        <w:rPr>
          <w:rFonts w:hint="eastAsia" w:hAnsi="仿宋_GB2312" w:cs="仿宋_GB2312"/>
          <w:color w:val="auto"/>
        </w:rPr>
        <w:t>设备、各类运输机械其他其他满足工程需要进场作业的施工机械）安全进入到项目现场作业所需要对场地进行加固换填铺设钢板或其他相关费用。</w:t>
      </w:r>
    </w:p>
    <w:p w14:paraId="1631A451">
      <w:pPr>
        <w:pStyle w:val="43"/>
        <w:spacing w:before="156"/>
        <w:rPr>
          <w:rFonts w:hint="eastAsia" w:hAnsi="仿宋_GB2312" w:eastAsia="仿宋_GB2312" w:cs="仿宋_GB2312"/>
          <w:color w:val="auto"/>
          <w:lang w:eastAsia="zh-CN"/>
        </w:rPr>
      </w:pPr>
      <w:r>
        <w:rPr>
          <w:rFonts w:hint="eastAsia" w:hAnsi="仿宋_GB2312" w:cs="仿宋_GB2312"/>
          <w:color w:val="auto"/>
          <w:lang w:eastAsia="zh-CN"/>
        </w:rPr>
        <w:t>（</w:t>
      </w:r>
      <w:r>
        <w:rPr>
          <w:rFonts w:hint="eastAsia" w:hAnsi="仿宋_GB2312" w:cs="仿宋_GB2312"/>
          <w:color w:val="auto"/>
          <w:lang w:val="en-US" w:eastAsia="zh-CN"/>
        </w:rPr>
        <w:t>16</w:t>
      </w:r>
      <w:r>
        <w:rPr>
          <w:rFonts w:hint="eastAsia" w:hAnsi="仿宋_GB2312" w:cs="仿宋_GB2312"/>
          <w:color w:val="auto"/>
          <w:lang w:eastAsia="zh-CN"/>
        </w:rPr>
        <w:t>）在幕墙封板前，告知幕墙</w:t>
      </w:r>
      <w:r>
        <w:rPr>
          <w:rFonts w:hint="eastAsia" w:hAnsi="仿宋_GB2312" w:cs="仿宋_GB2312"/>
          <w:color w:val="auto"/>
          <w:lang w:val="en-US" w:eastAsia="zh-CN"/>
        </w:rPr>
        <w:t>施工方</w:t>
      </w:r>
      <w:r>
        <w:rPr>
          <w:rFonts w:hint="eastAsia" w:hAnsi="仿宋_GB2312" w:cs="仿宋_GB2312"/>
          <w:color w:val="auto"/>
          <w:lang w:eastAsia="zh-CN"/>
        </w:rPr>
        <w:t>泛光照明安装工程可能对幕墙产生影响的事项，并预早提交相关图纸描述清楚，如预埋件、预留槽等位置并做好相关协调工作，因泛光照明施工单位原因对幕墙</w:t>
      </w:r>
      <w:r>
        <w:rPr>
          <w:rFonts w:hint="eastAsia" w:hAnsi="仿宋_GB2312" w:cs="仿宋_GB2312"/>
          <w:color w:val="auto"/>
          <w:lang w:val="en-US" w:eastAsia="zh-CN"/>
        </w:rPr>
        <w:t>施工方</w:t>
      </w:r>
      <w:r>
        <w:rPr>
          <w:rFonts w:hint="eastAsia" w:hAnsi="仿宋_GB2312" w:cs="仿宋_GB2312"/>
          <w:color w:val="auto"/>
          <w:lang w:eastAsia="zh-CN"/>
        </w:rPr>
        <w:t>造成的损失及费用，需承担相应责任</w:t>
      </w:r>
    </w:p>
    <w:p w14:paraId="38D4CA35">
      <w:pPr>
        <w:pStyle w:val="43"/>
        <w:spacing w:before="156"/>
        <w:rPr>
          <w:rFonts w:hint="eastAsia" w:hAnsi="仿宋_GB2312" w:eastAsia="仿宋_GB2312" w:cs="仿宋_GB2312"/>
          <w:color w:val="auto"/>
          <w:lang w:eastAsia="zh-CN"/>
        </w:rPr>
      </w:pPr>
      <w:r>
        <w:rPr>
          <w:rFonts w:hint="eastAsia" w:hAnsi="仿宋_GB2312" w:cs="仿宋_GB2312"/>
          <w:color w:val="auto"/>
          <w:lang w:eastAsia="zh-CN"/>
        </w:rPr>
        <w:t>（</w:t>
      </w:r>
      <w:r>
        <w:rPr>
          <w:rFonts w:hint="eastAsia" w:hAnsi="仿宋_GB2312" w:cs="仿宋_GB2312"/>
          <w:color w:val="auto"/>
          <w:lang w:val="en-US" w:eastAsia="zh-CN"/>
        </w:rPr>
        <w:t>16</w:t>
      </w:r>
      <w:r>
        <w:rPr>
          <w:rFonts w:hint="eastAsia" w:hAnsi="仿宋_GB2312" w:cs="仿宋_GB2312"/>
          <w:color w:val="auto"/>
          <w:lang w:eastAsia="zh-CN"/>
        </w:rPr>
        <w:t>）</w:t>
      </w:r>
      <w:r>
        <w:rPr>
          <w:rFonts w:hint="eastAsia" w:ascii="宋体" w:hAnsi="宋体" w:cs="宋体"/>
          <w:color w:val="auto"/>
        </w:rPr>
        <w:t>成品保护：</w:t>
      </w:r>
      <w:r>
        <w:rPr>
          <w:rFonts w:hint="eastAsia" w:hAnsi="仿宋_GB2312" w:cs="仿宋_GB2312"/>
          <w:color w:val="auto"/>
          <w:lang w:val="en-US" w:eastAsia="zh-CN"/>
        </w:rPr>
        <w:t>包括但不限于</w:t>
      </w:r>
      <w:r>
        <w:rPr>
          <w:rFonts w:hint="eastAsia" w:hAnsi="仿宋_GB2312" w:cs="仿宋_GB2312"/>
          <w:color w:val="auto"/>
          <w:lang w:eastAsia="zh-CN"/>
        </w:rPr>
        <w:t>本</w:t>
      </w:r>
      <w:r>
        <w:rPr>
          <w:rFonts w:hint="eastAsia" w:hAnsi="仿宋_GB2312" w:cs="仿宋_GB2312"/>
          <w:color w:val="auto"/>
          <w:lang w:val="en-US" w:eastAsia="zh-CN"/>
        </w:rPr>
        <w:t>项目</w:t>
      </w:r>
      <w:r>
        <w:rPr>
          <w:rFonts w:hint="eastAsia" w:hAnsi="仿宋_GB2312" w:cs="仿宋_GB2312"/>
          <w:color w:val="auto"/>
          <w:lang w:eastAsia="zh-CN"/>
        </w:rPr>
        <w:t>已完成饰面及施工区域中机电末端的已完成工程。如过程中有保护材料出现损坏，需及时修补/更换或赔偿。该费用属合价包干项目，除合同另有约定外，结算时不作调整。</w:t>
      </w:r>
    </w:p>
    <w:p w14:paraId="70A331B4">
      <w:pPr>
        <w:pStyle w:val="43"/>
        <w:spacing w:before="156" w:line="240" w:lineRule="auto"/>
        <w:rPr>
          <w:rFonts w:hAnsi="仿宋_GB2312" w:cs="仿宋_GB2312"/>
          <w:strike/>
          <w:color w:val="auto"/>
        </w:rPr>
      </w:pPr>
      <w:r>
        <w:rPr>
          <w:rFonts w:hint="eastAsia" w:hAnsi="仿宋_GB2312" w:cs="仿宋_GB2312"/>
          <w:strike w:val="0"/>
          <w:color w:val="auto"/>
        </w:rPr>
        <w:t>（</w:t>
      </w:r>
      <w:r>
        <w:rPr>
          <w:rFonts w:hint="eastAsia" w:hAnsi="仿宋_GB2312" w:cs="仿宋_GB2312"/>
          <w:strike w:val="0"/>
          <w:color w:val="auto"/>
          <w:lang w:eastAsia="zh-CN"/>
        </w:rPr>
        <w:t>1</w:t>
      </w:r>
      <w:r>
        <w:rPr>
          <w:rFonts w:hint="eastAsia" w:hAnsi="仿宋_GB2312" w:cs="仿宋_GB2312"/>
          <w:strike w:val="0"/>
          <w:color w:val="auto"/>
          <w:lang w:val="en-US" w:eastAsia="zh-CN"/>
        </w:rPr>
        <w:t>7</w:t>
      </w:r>
      <w:r>
        <w:rPr>
          <w:rFonts w:hint="eastAsia" w:hAnsi="仿宋_GB2312" w:cs="仿宋_GB2312"/>
          <w:strike w:val="0"/>
          <w:color w:val="auto"/>
        </w:rPr>
        <w:t>）凡是在以上（1）至（</w:t>
      </w:r>
      <w:r>
        <w:rPr>
          <w:rFonts w:hint="eastAsia" w:hAnsi="仿宋_GB2312" w:cs="仿宋_GB2312"/>
          <w:strike w:val="0"/>
          <w:color w:val="auto"/>
          <w:lang w:eastAsia="zh-CN"/>
        </w:rPr>
        <w:t>1</w:t>
      </w:r>
      <w:r>
        <w:rPr>
          <w:rFonts w:hint="eastAsia" w:hAnsi="仿宋_GB2312" w:cs="仿宋_GB2312"/>
          <w:strike w:val="0"/>
          <w:color w:val="auto"/>
          <w:lang w:val="en-US" w:eastAsia="zh-CN"/>
        </w:rPr>
        <w:t>6</w:t>
      </w:r>
      <w:r>
        <w:rPr>
          <w:rFonts w:hint="eastAsia" w:hAnsi="仿宋_GB2312" w:cs="仿宋_GB2312"/>
          <w:strike w:val="0"/>
          <w:color w:val="auto"/>
        </w:rPr>
        <w:t>）条未提及但可能发生的费用内容。以上工作可能产生的相关费用已包含在投标报价中，发包人不另行支付。</w:t>
      </w:r>
    </w:p>
    <w:p w14:paraId="7A32C53D">
      <w:pPr>
        <w:pStyle w:val="27"/>
        <w:rPr>
          <w:color w:val="auto"/>
          <w:highlight w:val="none"/>
        </w:rPr>
      </w:pPr>
      <w:r>
        <w:rPr>
          <w:rFonts w:hint="eastAsia"/>
          <w:color w:val="auto"/>
          <w:highlight w:val="none"/>
          <w:lang w:val="en-US" w:eastAsia="zh-CN"/>
        </w:rPr>
        <w:t>3</w:t>
      </w:r>
      <w:r>
        <w:rPr>
          <w:rFonts w:hint="eastAsia"/>
          <w:color w:val="auto"/>
          <w:highlight w:val="none"/>
        </w:rPr>
        <w:t>、暂列金额</w:t>
      </w:r>
      <w:bookmarkEnd w:id="86"/>
      <w:bookmarkEnd w:id="87"/>
      <w:bookmarkEnd w:id="88"/>
    </w:p>
    <w:p w14:paraId="079F973A">
      <w:pPr>
        <w:pStyle w:val="43"/>
        <w:spacing w:before="156"/>
        <w:rPr>
          <w:rFonts w:hAnsi="仿宋_GB2312" w:cs="仿宋_GB2312"/>
          <w:color w:val="auto"/>
        </w:rPr>
      </w:pPr>
      <w:r>
        <w:rPr>
          <w:rFonts w:hint="eastAsia" w:hAnsi="仿宋_GB2312" w:cs="仿宋_GB2312"/>
          <w:color w:val="auto"/>
        </w:rPr>
        <w:t>暂列金额为合同总价中可调整的内容，暂列金额未使用部分仍归发包人所有，暂列金额主要用于施工合同签订时尚未确定或者不可预见的所需材料、设备、服务的采购，施工中可能发生的工程变更、合同约定调整因素出现时的工程价款调整以及发生的</w:t>
      </w:r>
      <w:r>
        <w:rPr>
          <w:rFonts w:hint="eastAsia" w:ascii="宋体" w:hAnsi="宋体"/>
          <w:color w:val="auto"/>
          <w:szCs w:val="21"/>
          <w:highlight w:val="none"/>
          <w:lang w:eastAsia="zh-CN"/>
        </w:rPr>
        <w:t>工程</w:t>
      </w:r>
      <w:r>
        <w:rPr>
          <w:rFonts w:hint="eastAsia" w:ascii="宋体" w:hAnsi="宋体"/>
          <w:color w:val="auto"/>
          <w:szCs w:val="21"/>
          <w:highlight w:val="none"/>
          <w:lang w:val="en-US" w:eastAsia="zh-CN"/>
        </w:rPr>
        <w:t>变更、计日工、返工工程</w:t>
      </w:r>
      <w:r>
        <w:rPr>
          <w:rFonts w:hint="eastAsia" w:ascii="宋体" w:hAnsi="宋体"/>
          <w:strike w:val="0"/>
          <w:color w:val="auto"/>
          <w:szCs w:val="21"/>
          <w:highlight w:val="none"/>
        </w:rPr>
        <w:t>及</w:t>
      </w:r>
      <w:r>
        <w:rPr>
          <w:rFonts w:hint="eastAsia" w:ascii="宋体" w:hAnsi="宋体"/>
          <w:strike w:val="0"/>
          <w:color w:val="auto"/>
          <w:szCs w:val="21"/>
          <w:highlight w:val="none"/>
          <w:lang w:val="en-US" w:eastAsia="zh-CN"/>
        </w:rPr>
        <w:t>新增工程</w:t>
      </w:r>
      <w:r>
        <w:rPr>
          <w:rFonts w:hint="eastAsia" w:hAnsi="仿宋_GB2312" w:cs="仿宋_GB2312"/>
          <w:color w:val="auto"/>
        </w:rPr>
        <w:t>等费用。</w:t>
      </w:r>
    </w:p>
    <w:p w14:paraId="3EB8E1A5">
      <w:pPr>
        <w:pStyle w:val="43"/>
        <w:spacing w:before="156"/>
        <w:rPr>
          <w:color w:val="auto"/>
          <w:highlight w:val="none"/>
        </w:rPr>
      </w:pPr>
      <w:r>
        <w:rPr>
          <w:rFonts w:hint="eastAsia" w:hAnsi="仿宋_GB2312" w:cs="仿宋_GB2312"/>
          <w:color w:val="auto"/>
        </w:rPr>
        <w:t>本费用不参与竞争。投标人在投标报价时必须按照标书规定的金额填报。</w:t>
      </w: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ECBB">
    <w:pPr>
      <w:pStyle w:val="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EA4A">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C334">
    <w:pPr>
      <w:pStyle w:val="2"/>
      <w:jc w:val="center"/>
      <w:rPr>
        <w:rStyle w:val="36"/>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AF807">
                          <w:pPr>
                            <w:pStyle w:val="2"/>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2AF807">
                    <w:pPr>
                      <w:pStyle w:val="2"/>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28</w:t>
                    </w:r>
                    <w:r>
                      <w:t xml:space="preserve"> 页</w:t>
                    </w:r>
                  </w:p>
                </w:txbxContent>
              </v:textbox>
            </v:shape>
          </w:pict>
        </mc:Fallback>
      </mc:AlternateContent>
    </w:r>
  </w:p>
  <w:p w14:paraId="608167C6">
    <w:pPr>
      <w:pStyle w:val="2"/>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D1CFC">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A77B4">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4749">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6F780"/>
    <w:multiLevelType w:val="singleLevel"/>
    <w:tmpl w:val="CFC6F780"/>
    <w:lvl w:ilvl="0" w:tentative="0">
      <w:start w:val="3"/>
      <w:numFmt w:val="chineseCounting"/>
      <w:suff w:val="nothing"/>
      <w:lvlText w:val="%1、"/>
      <w:lvlJc w:val="left"/>
      <w:rPr>
        <w:rFonts w:hint="eastAsia"/>
      </w:rPr>
    </w:lvl>
  </w:abstractNum>
  <w:abstractNum w:abstractNumId="1">
    <w:nsid w:val="701AC1B5"/>
    <w:multiLevelType w:val="singleLevel"/>
    <w:tmpl w:val="701AC1B5"/>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ZTE4ZmNiMDkxZmEwOWZjNTNlOWQ1NGI5MmFmMmUifQ=="/>
  </w:docVars>
  <w:rsids>
    <w:rsidRoot w:val="00000000"/>
    <w:rsid w:val="003266B5"/>
    <w:rsid w:val="007A51B4"/>
    <w:rsid w:val="00B0507A"/>
    <w:rsid w:val="01514AA9"/>
    <w:rsid w:val="02724E47"/>
    <w:rsid w:val="02FE20CD"/>
    <w:rsid w:val="03117995"/>
    <w:rsid w:val="039C6A9B"/>
    <w:rsid w:val="03A20683"/>
    <w:rsid w:val="03C638F5"/>
    <w:rsid w:val="040571E4"/>
    <w:rsid w:val="0479107B"/>
    <w:rsid w:val="06361B7E"/>
    <w:rsid w:val="06475B39"/>
    <w:rsid w:val="074D65E9"/>
    <w:rsid w:val="07A06798"/>
    <w:rsid w:val="08264295"/>
    <w:rsid w:val="09625D47"/>
    <w:rsid w:val="09774987"/>
    <w:rsid w:val="09ED4C49"/>
    <w:rsid w:val="0A081A83"/>
    <w:rsid w:val="0A424F95"/>
    <w:rsid w:val="0A47022C"/>
    <w:rsid w:val="0B3C4B15"/>
    <w:rsid w:val="0C395F24"/>
    <w:rsid w:val="0CB633E4"/>
    <w:rsid w:val="0CFB615D"/>
    <w:rsid w:val="0D2C0E00"/>
    <w:rsid w:val="0DA22F44"/>
    <w:rsid w:val="0DC045D6"/>
    <w:rsid w:val="0F905226"/>
    <w:rsid w:val="101403A8"/>
    <w:rsid w:val="105E41AB"/>
    <w:rsid w:val="1219184B"/>
    <w:rsid w:val="128558C7"/>
    <w:rsid w:val="12AA2C5A"/>
    <w:rsid w:val="13020D1E"/>
    <w:rsid w:val="146F4B6F"/>
    <w:rsid w:val="14ED07FE"/>
    <w:rsid w:val="15001CD4"/>
    <w:rsid w:val="15C6159D"/>
    <w:rsid w:val="15CA0BBE"/>
    <w:rsid w:val="16247C45"/>
    <w:rsid w:val="166C6CA1"/>
    <w:rsid w:val="16A11295"/>
    <w:rsid w:val="194F425A"/>
    <w:rsid w:val="19924EC5"/>
    <w:rsid w:val="19D41982"/>
    <w:rsid w:val="1A4F015C"/>
    <w:rsid w:val="1AA17AB6"/>
    <w:rsid w:val="1ADE4866"/>
    <w:rsid w:val="1BDF2274"/>
    <w:rsid w:val="1CF40773"/>
    <w:rsid w:val="1E312EFF"/>
    <w:rsid w:val="1F8852E1"/>
    <w:rsid w:val="20000DDB"/>
    <w:rsid w:val="20901366"/>
    <w:rsid w:val="20F41F94"/>
    <w:rsid w:val="2206534F"/>
    <w:rsid w:val="22F95FB5"/>
    <w:rsid w:val="2369313B"/>
    <w:rsid w:val="248875F1"/>
    <w:rsid w:val="257149F9"/>
    <w:rsid w:val="257C40E4"/>
    <w:rsid w:val="26293D78"/>
    <w:rsid w:val="26AB75C6"/>
    <w:rsid w:val="271909D4"/>
    <w:rsid w:val="272A26DD"/>
    <w:rsid w:val="277327DA"/>
    <w:rsid w:val="27BD1CA7"/>
    <w:rsid w:val="27E965F8"/>
    <w:rsid w:val="2A6F5586"/>
    <w:rsid w:val="2A741495"/>
    <w:rsid w:val="2AF93424"/>
    <w:rsid w:val="2B0D5692"/>
    <w:rsid w:val="2B1C6CE5"/>
    <w:rsid w:val="2B397896"/>
    <w:rsid w:val="2BC03B14"/>
    <w:rsid w:val="2C3F08AA"/>
    <w:rsid w:val="2C5A3F68"/>
    <w:rsid w:val="2DA73C80"/>
    <w:rsid w:val="2E405253"/>
    <w:rsid w:val="2E4C168F"/>
    <w:rsid w:val="2EA0145F"/>
    <w:rsid w:val="2ED0406E"/>
    <w:rsid w:val="2F121BB0"/>
    <w:rsid w:val="2F1F0B51"/>
    <w:rsid w:val="2FD63906"/>
    <w:rsid w:val="30C13DA9"/>
    <w:rsid w:val="30F20495"/>
    <w:rsid w:val="310A0894"/>
    <w:rsid w:val="31554318"/>
    <w:rsid w:val="31AF08B2"/>
    <w:rsid w:val="323A770A"/>
    <w:rsid w:val="32C317A3"/>
    <w:rsid w:val="32E76A1A"/>
    <w:rsid w:val="331309CD"/>
    <w:rsid w:val="335E42F3"/>
    <w:rsid w:val="33C00B55"/>
    <w:rsid w:val="33EA3E24"/>
    <w:rsid w:val="33FD3B57"/>
    <w:rsid w:val="341D3232"/>
    <w:rsid w:val="343A30E2"/>
    <w:rsid w:val="34E5238D"/>
    <w:rsid w:val="367E2601"/>
    <w:rsid w:val="36A26EA0"/>
    <w:rsid w:val="36C4095C"/>
    <w:rsid w:val="370B1802"/>
    <w:rsid w:val="37835E73"/>
    <w:rsid w:val="37960DE8"/>
    <w:rsid w:val="38B923C7"/>
    <w:rsid w:val="39A75ECA"/>
    <w:rsid w:val="39BC3D54"/>
    <w:rsid w:val="39F84443"/>
    <w:rsid w:val="3A296D28"/>
    <w:rsid w:val="3B130C19"/>
    <w:rsid w:val="3B214E00"/>
    <w:rsid w:val="3B343BD6"/>
    <w:rsid w:val="3CAF0A33"/>
    <w:rsid w:val="3EA01CAF"/>
    <w:rsid w:val="3EE576C2"/>
    <w:rsid w:val="3EE84C70"/>
    <w:rsid w:val="3F717E02"/>
    <w:rsid w:val="402A0A9B"/>
    <w:rsid w:val="403737A6"/>
    <w:rsid w:val="408353E4"/>
    <w:rsid w:val="40DD55AC"/>
    <w:rsid w:val="421E752E"/>
    <w:rsid w:val="42F75C15"/>
    <w:rsid w:val="432E73F0"/>
    <w:rsid w:val="43460CF2"/>
    <w:rsid w:val="4354303B"/>
    <w:rsid w:val="44060BEB"/>
    <w:rsid w:val="44A60D0E"/>
    <w:rsid w:val="44D77AAC"/>
    <w:rsid w:val="44EC4BA8"/>
    <w:rsid w:val="44FE772F"/>
    <w:rsid w:val="45132AAF"/>
    <w:rsid w:val="466B2BA2"/>
    <w:rsid w:val="472F1E22"/>
    <w:rsid w:val="47463930"/>
    <w:rsid w:val="47C3256A"/>
    <w:rsid w:val="483F6D63"/>
    <w:rsid w:val="4841458E"/>
    <w:rsid w:val="48553492"/>
    <w:rsid w:val="48651C3F"/>
    <w:rsid w:val="48E47247"/>
    <w:rsid w:val="491D656E"/>
    <w:rsid w:val="49B72C62"/>
    <w:rsid w:val="49CB02BF"/>
    <w:rsid w:val="4A2C089A"/>
    <w:rsid w:val="4B0C36FB"/>
    <w:rsid w:val="4B5C51AF"/>
    <w:rsid w:val="4C093B2B"/>
    <w:rsid w:val="4C4D6CF9"/>
    <w:rsid w:val="4D2B00D0"/>
    <w:rsid w:val="4D2E492A"/>
    <w:rsid w:val="4D6A3F7C"/>
    <w:rsid w:val="4D8E55A6"/>
    <w:rsid w:val="4EB06BD3"/>
    <w:rsid w:val="4ED11A10"/>
    <w:rsid w:val="4EE51018"/>
    <w:rsid w:val="4F5D5052"/>
    <w:rsid w:val="50996514"/>
    <w:rsid w:val="50D83DE3"/>
    <w:rsid w:val="5156444F"/>
    <w:rsid w:val="51A82C92"/>
    <w:rsid w:val="521452EB"/>
    <w:rsid w:val="5224454D"/>
    <w:rsid w:val="53393EB6"/>
    <w:rsid w:val="536040EB"/>
    <w:rsid w:val="552C5BF2"/>
    <w:rsid w:val="55F63C1B"/>
    <w:rsid w:val="577F12B3"/>
    <w:rsid w:val="579B3F05"/>
    <w:rsid w:val="57C97313"/>
    <w:rsid w:val="57CA0779"/>
    <w:rsid w:val="58A81A34"/>
    <w:rsid w:val="58D0449D"/>
    <w:rsid w:val="59B237E8"/>
    <w:rsid w:val="59F522D1"/>
    <w:rsid w:val="5AF32D0E"/>
    <w:rsid w:val="5AFB08C6"/>
    <w:rsid w:val="5AFE5CA8"/>
    <w:rsid w:val="5B3900B7"/>
    <w:rsid w:val="5B7934F9"/>
    <w:rsid w:val="5BAD52F6"/>
    <w:rsid w:val="5C834301"/>
    <w:rsid w:val="5CAE15E3"/>
    <w:rsid w:val="5CD728E8"/>
    <w:rsid w:val="5DA00F15"/>
    <w:rsid w:val="5DE50123"/>
    <w:rsid w:val="5E007D87"/>
    <w:rsid w:val="5E53556C"/>
    <w:rsid w:val="620C3D2E"/>
    <w:rsid w:val="630C3E19"/>
    <w:rsid w:val="63DD630A"/>
    <w:rsid w:val="65420E01"/>
    <w:rsid w:val="66501015"/>
    <w:rsid w:val="66BA79BE"/>
    <w:rsid w:val="66F127F8"/>
    <w:rsid w:val="676B2854"/>
    <w:rsid w:val="683B74A5"/>
    <w:rsid w:val="68A51AEC"/>
    <w:rsid w:val="694D5313"/>
    <w:rsid w:val="6A042842"/>
    <w:rsid w:val="6BB10B38"/>
    <w:rsid w:val="6BFA06A9"/>
    <w:rsid w:val="6C007039"/>
    <w:rsid w:val="6C8906E7"/>
    <w:rsid w:val="6D3E250F"/>
    <w:rsid w:val="6D836174"/>
    <w:rsid w:val="6D883E9C"/>
    <w:rsid w:val="6DA95D3B"/>
    <w:rsid w:val="6DE8611F"/>
    <w:rsid w:val="6E6B2E90"/>
    <w:rsid w:val="6F264249"/>
    <w:rsid w:val="6FFD592E"/>
    <w:rsid w:val="700B46B2"/>
    <w:rsid w:val="71024CFF"/>
    <w:rsid w:val="716F41B7"/>
    <w:rsid w:val="719A3A8C"/>
    <w:rsid w:val="71DA7A16"/>
    <w:rsid w:val="72D40A66"/>
    <w:rsid w:val="735C724B"/>
    <w:rsid w:val="73B40E35"/>
    <w:rsid w:val="745D680F"/>
    <w:rsid w:val="74AD4144"/>
    <w:rsid w:val="75FB0F9D"/>
    <w:rsid w:val="76531674"/>
    <w:rsid w:val="772C162A"/>
    <w:rsid w:val="77495D38"/>
    <w:rsid w:val="77613082"/>
    <w:rsid w:val="77894635"/>
    <w:rsid w:val="78174088"/>
    <w:rsid w:val="782A2EE0"/>
    <w:rsid w:val="795D1B72"/>
    <w:rsid w:val="799F7E92"/>
    <w:rsid w:val="79D15E31"/>
    <w:rsid w:val="7A6F3D08"/>
    <w:rsid w:val="7B18614D"/>
    <w:rsid w:val="7B387A1F"/>
    <w:rsid w:val="7BAB6FC2"/>
    <w:rsid w:val="7BB3231A"/>
    <w:rsid w:val="7BF85F7F"/>
    <w:rsid w:val="7C72188D"/>
    <w:rsid w:val="7CAB4D9F"/>
    <w:rsid w:val="7CF60725"/>
    <w:rsid w:val="7DDC74FC"/>
    <w:rsid w:val="7EEB3B79"/>
    <w:rsid w:val="7F323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tLeast"/>
      <w:ind w:firstLine="200" w:firstLineChars="200"/>
      <w:outlineLvl w:val="0"/>
    </w:pPr>
    <w:rPr>
      <w:rFonts w:ascii="仿宋_GB2312" w:hAnsi="仿宋_GB2312" w:eastAsia="仿宋_GB2312"/>
      <w:b/>
      <w:bCs/>
      <w:kern w:val="44"/>
      <w:sz w:val="44"/>
      <w:szCs w:val="44"/>
    </w:rPr>
  </w:style>
  <w:style w:type="paragraph" w:styleId="4">
    <w:name w:val="heading 2"/>
    <w:basedOn w:val="1"/>
    <w:next w:val="1"/>
    <w:link w:val="47"/>
    <w:qFormat/>
    <w:uiPriority w:val="9"/>
    <w:pPr>
      <w:keepNext/>
      <w:keepLines/>
      <w:spacing w:before="260" w:after="260" w:line="416" w:lineRule="atLeast"/>
      <w:ind w:firstLine="200" w:firstLineChars="200"/>
      <w:outlineLvl w:val="1"/>
    </w:pPr>
    <w:rPr>
      <w:rFonts w:ascii="Arial" w:hAnsi="Arial" w:eastAsia="仿宋_GB2312"/>
      <w:b/>
      <w:bCs/>
      <w:sz w:val="32"/>
      <w:szCs w:val="32"/>
    </w:rPr>
  </w:style>
  <w:style w:type="paragraph" w:styleId="5">
    <w:name w:val="heading 3"/>
    <w:basedOn w:val="1"/>
    <w:next w:val="1"/>
    <w:link w:val="61"/>
    <w:qFormat/>
    <w:uiPriority w:val="0"/>
    <w:pPr>
      <w:keepNext/>
      <w:keepLines/>
      <w:spacing w:before="260" w:after="260" w:line="416" w:lineRule="atLeast"/>
      <w:ind w:firstLine="200" w:firstLineChars="200"/>
      <w:outlineLvl w:val="2"/>
    </w:pPr>
    <w:rPr>
      <w:rFonts w:ascii="仿宋_GB2312" w:hAnsi="仿宋_GB2312" w:eastAsia="仿宋_GB2312"/>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Cambria" w:hAnsi="Cambria"/>
      <w:b/>
      <w:bCs/>
      <w:sz w:val="28"/>
      <w:szCs w:val="28"/>
    </w:r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footer"/>
    <w:basedOn w:val="1"/>
    <w:next w:val="1"/>
    <w:link w:val="41"/>
    <w:qFormat/>
    <w:uiPriority w:val="0"/>
    <w:pPr>
      <w:tabs>
        <w:tab w:val="center" w:pos="4153"/>
        <w:tab w:val="right" w:pos="8306"/>
      </w:tabs>
      <w:snapToGrid w:val="0"/>
      <w:jc w:val="left"/>
    </w:pPr>
    <w:rPr>
      <w:sz w:val="18"/>
      <w:szCs w:val="18"/>
    </w:rPr>
  </w:style>
  <w:style w:type="paragraph" w:styleId="7">
    <w:name w:val="toc 7"/>
    <w:basedOn w:val="1"/>
    <w:next w:val="1"/>
    <w:qFormat/>
    <w:uiPriority w:val="39"/>
    <w:pPr>
      <w:ind w:left="2520" w:leftChars="1200"/>
    </w:pPr>
    <w:rPr>
      <w:rFonts w:ascii="Calibri" w:hAnsi="Calibri" w:eastAsia="宋体" w:cs="宋体"/>
    </w:rPr>
  </w:style>
  <w:style w:type="paragraph" w:styleId="8">
    <w:name w:val="Document Map"/>
    <w:basedOn w:val="1"/>
    <w:link w:val="54"/>
    <w:qFormat/>
    <w:uiPriority w:val="0"/>
    <w:pPr>
      <w:shd w:val="clear" w:color="auto" w:fill="000080"/>
    </w:pPr>
    <w:rPr>
      <w:rFonts w:ascii="Times New Roman" w:hAnsi="Times New Roman"/>
      <w:szCs w:val="24"/>
    </w:rPr>
  </w:style>
  <w:style w:type="paragraph" w:styleId="9">
    <w:name w:val="annotation text"/>
    <w:basedOn w:val="1"/>
    <w:link w:val="45"/>
    <w:qFormat/>
    <w:uiPriority w:val="0"/>
    <w:pPr>
      <w:spacing w:line="460" w:lineRule="exact"/>
      <w:ind w:firstLine="200" w:firstLineChars="200"/>
      <w:jc w:val="left"/>
    </w:pPr>
    <w:rPr>
      <w:rFonts w:ascii="仿宋_GB2312" w:hAnsi="仿宋_GB2312" w:eastAsia="仿宋_GB2312"/>
      <w:sz w:val="28"/>
      <w:szCs w:val="32"/>
    </w:rPr>
  </w:style>
  <w:style w:type="paragraph" w:styleId="10">
    <w:name w:val="Body Text Indent"/>
    <w:basedOn w:val="1"/>
    <w:link w:val="55"/>
    <w:qFormat/>
    <w:uiPriority w:val="0"/>
    <w:pPr>
      <w:spacing w:after="120"/>
      <w:ind w:left="420" w:leftChars="200"/>
    </w:pPr>
    <w:rPr>
      <w:rFonts w:ascii="Calibri" w:hAnsi="Calibri" w:eastAsia="宋体" w:cs="宋体"/>
      <w:szCs w:val="24"/>
    </w:rPr>
  </w:style>
  <w:style w:type="paragraph" w:styleId="11">
    <w:name w:val="List 2"/>
    <w:basedOn w:val="1"/>
    <w:qFormat/>
    <w:uiPriority w:val="0"/>
    <w:pPr>
      <w:ind w:left="100" w:leftChars="200" w:hanging="200" w:hangingChars="200"/>
    </w:pPr>
    <w:rPr>
      <w:rFonts w:ascii="Times New Roman" w:hAnsi="Times New Roman"/>
      <w:szCs w:val="24"/>
    </w:rPr>
  </w:style>
  <w:style w:type="paragraph" w:styleId="12">
    <w:name w:val="toc 5"/>
    <w:basedOn w:val="1"/>
    <w:next w:val="1"/>
    <w:qFormat/>
    <w:uiPriority w:val="39"/>
    <w:pPr>
      <w:ind w:left="1680" w:leftChars="800"/>
    </w:pPr>
    <w:rPr>
      <w:rFonts w:ascii="Calibri" w:hAnsi="Calibri" w:eastAsia="宋体" w:cs="宋体"/>
    </w:rPr>
  </w:style>
  <w:style w:type="paragraph" w:styleId="13">
    <w:name w:val="toc 3"/>
    <w:basedOn w:val="1"/>
    <w:next w:val="1"/>
    <w:qFormat/>
    <w:uiPriority w:val="39"/>
    <w:pPr>
      <w:ind w:left="840" w:leftChars="400"/>
    </w:pPr>
    <w:rPr>
      <w:rFonts w:ascii="Calibri" w:hAnsi="Calibri" w:eastAsia="宋体" w:cs="宋体"/>
    </w:rPr>
  </w:style>
  <w:style w:type="paragraph" w:styleId="14">
    <w:name w:val="toc 8"/>
    <w:basedOn w:val="1"/>
    <w:next w:val="1"/>
    <w:qFormat/>
    <w:uiPriority w:val="39"/>
    <w:pPr>
      <w:ind w:left="2940" w:leftChars="1400"/>
    </w:pPr>
    <w:rPr>
      <w:rFonts w:ascii="Calibri" w:hAnsi="Calibri" w:eastAsia="宋体" w:cs="宋体"/>
    </w:rPr>
  </w:style>
  <w:style w:type="paragraph" w:styleId="15">
    <w:name w:val="Date"/>
    <w:basedOn w:val="1"/>
    <w:next w:val="1"/>
    <w:link w:val="56"/>
    <w:qFormat/>
    <w:uiPriority w:val="0"/>
    <w:pPr>
      <w:ind w:left="100" w:leftChars="2500"/>
    </w:pPr>
    <w:rPr>
      <w:rFonts w:ascii="Calibri" w:hAnsi="Calibri" w:eastAsia="宋体" w:cs="宋体"/>
      <w:szCs w:val="24"/>
    </w:rPr>
  </w:style>
  <w:style w:type="paragraph" w:styleId="16">
    <w:name w:val="Body Text Indent 2"/>
    <w:basedOn w:val="1"/>
    <w:link w:val="57"/>
    <w:qFormat/>
    <w:uiPriority w:val="0"/>
    <w:pPr>
      <w:spacing w:after="120" w:line="480" w:lineRule="auto"/>
      <w:ind w:left="420" w:leftChars="200"/>
    </w:pPr>
    <w:rPr>
      <w:rFonts w:ascii="Times New Roman" w:hAnsi="Times New Roman"/>
      <w:szCs w:val="24"/>
    </w:rPr>
  </w:style>
  <w:style w:type="paragraph" w:styleId="17">
    <w:name w:val="Balloon Text"/>
    <w:basedOn w:val="1"/>
    <w:link w:val="46"/>
    <w:qFormat/>
    <w:uiPriority w:val="99"/>
    <w:rPr>
      <w:sz w:val="18"/>
      <w:szCs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4"/>
    <w:basedOn w:val="1"/>
    <w:next w:val="1"/>
    <w:qFormat/>
    <w:uiPriority w:val="39"/>
    <w:pPr>
      <w:ind w:left="1260" w:leftChars="600"/>
    </w:pPr>
    <w:rPr>
      <w:rFonts w:ascii="Calibri" w:hAnsi="Calibri" w:eastAsia="宋体" w:cs="宋体"/>
    </w:rPr>
  </w:style>
  <w:style w:type="paragraph" w:styleId="21">
    <w:name w:val="Subtitle"/>
    <w:basedOn w:val="1"/>
    <w:next w:val="1"/>
    <w:link w:val="58"/>
    <w:qFormat/>
    <w:uiPriority w:val="0"/>
    <w:pPr>
      <w:spacing w:before="240" w:after="60" w:line="312" w:lineRule="auto"/>
      <w:jc w:val="center"/>
      <w:outlineLvl w:val="1"/>
    </w:pPr>
    <w:rPr>
      <w:rFonts w:ascii="Cambria" w:hAnsi="Cambria"/>
      <w:b/>
      <w:bCs/>
      <w:kern w:val="28"/>
      <w:sz w:val="32"/>
      <w:szCs w:val="32"/>
    </w:rPr>
  </w:style>
  <w:style w:type="paragraph" w:styleId="22">
    <w:name w:val="toc 6"/>
    <w:basedOn w:val="1"/>
    <w:next w:val="1"/>
    <w:qFormat/>
    <w:uiPriority w:val="39"/>
    <w:pPr>
      <w:ind w:left="2100" w:leftChars="1000"/>
    </w:pPr>
    <w:rPr>
      <w:rFonts w:ascii="Calibri" w:hAnsi="Calibri" w:eastAsia="宋体" w:cs="宋体"/>
    </w:rPr>
  </w:style>
  <w:style w:type="paragraph" w:styleId="23">
    <w:name w:val="toc 2"/>
    <w:basedOn w:val="1"/>
    <w:next w:val="1"/>
    <w:qFormat/>
    <w:uiPriority w:val="39"/>
    <w:pPr>
      <w:spacing w:line="400" w:lineRule="exact"/>
    </w:pPr>
    <w:rPr>
      <w:rFonts w:ascii="仿宋_GB2312" w:hAnsi="仿宋_GB2312" w:eastAsia="仿宋_GB2312"/>
      <w:sz w:val="24"/>
      <w:szCs w:val="32"/>
    </w:rPr>
  </w:style>
  <w:style w:type="paragraph" w:styleId="24">
    <w:name w:val="toc 9"/>
    <w:basedOn w:val="1"/>
    <w:next w:val="1"/>
    <w:qFormat/>
    <w:uiPriority w:val="39"/>
    <w:pPr>
      <w:ind w:left="3360" w:leftChars="1600"/>
    </w:pPr>
    <w:rPr>
      <w:rFonts w:ascii="Calibri" w:hAnsi="Calibri" w:eastAsia="宋体" w:cs="宋体"/>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Title"/>
    <w:basedOn w:val="27"/>
    <w:next w:val="1"/>
    <w:link w:val="59"/>
    <w:qFormat/>
    <w:uiPriority w:val="0"/>
    <w:pPr>
      <w:spacing w:before="0" w:after="0"/>
      <w:ind w:firstLine="538" w:firstLineChars="200"/>
    </w:pPr>
    <w:rPr>
      <w:rFonts w:ascii="仿宋" w:hAnsi="仿宋" w:eastAsia="仿宋" w:cs="Times New Roman"/>
      <w:bCs w:val="0"/>
      <w:snapToGrid w:val="0"/>
      <w:spacing w:val="4"/>
      <w:kern w:val="0"/>
      <w:szCs w:val="26"/>
    </w:rPr>
  </w:style>
  <w:style w:type="paragraph" w:customStyle="1" w:styleId="27">
    <w:name w:val="样式 样式 样式 标题 2 + 仿宋_GB2312 首行缩进:  2 字符 + 首行缩进:  2 字符 + 13 磅 首行缩进..."/>
    <w:basedOn w:val="28"/>
    <w:qFormat/>
    <w:uiPriority w:val="0"/>
    <w:pPr>
      <w:keepNext/>
      <w:keepLines/>
      <w:spacing w:before="156" w:after="156" w:line="400" w:lineRule="exact"/>
      <w:outlineLvl w:val="0"/>
    </w:pPr>
    <w:rPr>
      <w:rFonts w:ascii="仿宋_GB2312" w:hAnsi="仿宋_GB2312" w:eastAsia="仿宋_GB2312" w:cs="宋体"/>
      <w:sz w:val="26"/>
      <w:szCs w:val="20"/>
    </w:rPr>
  </w:style>
  <w:style w:type="paragraph" w:customStyle="1" w:styleId="28">
    <w:name w:val="样式 样式 标题 2 + 仿宋_GB2312 首行缩进:  2 字符 + 首行缩进:  2 字符"/>
    <w:basedOn w:val="29"/>
    <w:qFormat/>
    <w:uiPriority w:val="0"/>
    <w:pPr>
      <w:ind w:firstLine="452" w:firstLineChars="150"/>
    </w:pPr>
  </w:style>
  <w:style w:type="paragraph" w:customStyle="1" w:styleId="29">
    <w:name w:val="样式 标题 2 + 仿宋_GB2312 首行缩进:  2 字符"/>
    <w:basedOn w:val="4"/>
    <w:qFormat/>
    <w:uiPriority w:val="0"/>
    <w:pPr>
      <w:spacing w:before="0" w:after="0" w:line="400" w:lineRule="atLeast"/>
      <w:ind w:firstLine="602"/>
    </w:pPr>
    <w:rPr>
      <w:rFonts w:ascii="仿宋_GB2312" w:hAnsi="仿宋_GB2312" w:cs="宋体"/>
      <w:sz w:val="30"/>
      <w:szCs w:val="20"/>
    </w:rPr>
  </w:style>
  <w:style w:type="paragraph" w:styleId="30">
    <w:name w:val="annotation subject"/>
    <w:basedOn w:val="9"/>
    <w:next w:val="9"/>
    <w:link w:val="49"/>
    <w:qFormat/>
    <w:uiPriority w:val="99"/>
    <w:pPr>
      <w:spacing w:line="240" w:lineRule="auto"/>
      <w:ind w:firstLine="0" w:firstLineChars="0"/>
    </w:pPr>
    <w:rPr>
      <w:rFonts w:ascii="Calibri" w:hAnsi="Calibri" w:eastAsia="宋体"/>
      <w:b/>
      <w:bCs/>
      <w:sz w:val="21"/>
      <w:szCs w:val="22"/>
    </w:rPr>
  </w:style>
  <w:style w:type="paragraph" w:styleId="31">
    <w:name w:val="Body Text First Indent 2"/>
    <w:basedOn w:val="10"/>
    <w:link w:val="60"/>
    <w:qFormat/>
    <w:uiPriority w:val="0"/>
    <w:pPr>
      <w:ind w:firstLine="420" w:firstLineChars="200"/>
    </w:pPr>
  </w:style>
  <w:style w:type="table" w:styleId="33">
    <w:name w:val="Table Grid"/>
    <w:basedOn w:val="32"/>
    <w:qFormat/>
    <w:uiPriority w:val="0"/>
    <w:pPr>
      <w:widowControl w:val="0"/>
      <w:spacing w:line="460" w:lineRule="exact"/>
      <w:ind w:firstLine="200" w:firstLineChars="20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Emphasis"/>
    <w:qFormat/>
    <w:uiPriority w:val="0"/>
    <w:rPr>
      <w:i/>
      <w:iCs/>
    </w:rPr>
  </w:style>
  <w:style w:type="character" w:styleId="38">
    <w:name w:val="Hyperlink"/>
    <w:qFormat/>
    <w:uiPriority w:val="99"/>
    <w:rPr>
      <w:color w:val="0000FF"/>
      <w:u w:val="single"/>
    </w:rPr>
  </w:style>
  <w:style w:type="character" w:styleId="39">
    <w:name w:val="annotation reference"/>
    <w:qFormat/>
    <w:uiPriority w:val="0"/>
    <w:rPr>
      <w:rFonts w:ascii="ˎ̥" w:hAnsi="ˎ̥" w:eastAsia="宋体" w:cs="宋体"/>
      <w:color w:val="51585D"/>
      <w:sz w:val="21"/>
      <w:szCs w:val="21"/>
      <w:lang w:val="en-US" w:eastAsia="zh-CN" w:bidi="ar-SA"/>
    </w:rPr>
  </w:style>
  <w:style w:type="character" w:customStyle="1" w:styleId="40">
    <w:name w:val="页眉 Char"/>
    <w:basedOn w:val="34"/>
    <w:link w:val="18"/>
    <w:qFormat/>
    <w:uiPriority w:val="0"/>
    <w:rPr>
      <w:sz w:val="18"/>
      <w:szCs w:val="18"/>
    </w:rPr>
  </w:style>
  <w:style w:type="character" w:customStyle="1" w:styleId="41">
    <w:name w:val="页脚 Char"/>
    <w:basedOn w:val="34"/>
    <w:link w:val="2"/>
    <w:qFormat/>
    <w:uiPriority w:val="0"/>
    <w:rPr>
      <w:sz w:val="18"/>
      <w:szCs w:val="18"/>
    </w:rPr>
  </w:style>
  <w:style w:type="paragraph" w:styleId="42">
    <w:name w:val="List Paragraph"/>
    <w:basedOn w:val="1"/>
    <w:qFormat/>
    <w:uiPriority w:val="34"/>
    <w:pPr>
      <w:ind w:firstLine="420" w:firstLineChars="200"/>
    </w:pPr>
  </w:style>
  <w:style w:type="paragraph" w:customStyle="1" w:styleId="43">
    <w:name w:val="样式 文一 + 13 磅 首行缩进:  2 字符"/>
    <w:basedOn w:val="44"/>
    <w:link w:val="50"/>
    <w:qFormat/>
    <w:uiPriority w:val="0"/>
    <w:pPr>
      <w:topLinePunct/>
      <w:adjustRightInd w:val="0"/>
      <w:snapToGrid w:val="0"/>
      <w:spacing w:beforeLines="50" w:line="360" w:lineRule="auto"/>
      <w:ind w:firstLine="539" w:firstLineChars="201"/>
      <w:textAlignment w:val="top"/>
    </w:pPr>
    <w:rPr>
      <w:rFonts w:ascii="仿宋_GB2312" w:hAnsi="仿宋" w:eastAsia="仿宋_GB2312" w:cs="仿宋"/>
      <w:bCs/>
      <w:color w:val="000000"/>
      <w:spacing w:val="4"/>
      <w:sz w:val="26"/>
      <w:szCs w:val="26"/>
    </w:rPr>
  </w:style>
  <w:style w:type="paragraph" w:customStyle="1" w:styleId="44">
    <w:name w:val="文一"/>
    <w:basedOn w:val="1"/>
    <w:link w:val="66"/>
    <w:qFormat/>
    <w:uiPriority w:val="99"/>
    <w:pPr>
      <w:topLinePunct/>
      <w:adjustRightInd w:val="0"/>
      <w:snapToGrid w:val="0"/>
      <w:spacing w:line="360" w:lineRule="auto"/>
      <w:ind w:firstLine="200" w:firstLineChars="200"/>
    </w:pPr>
    <w:rPr>
      <w:rFonts w:ascii="仿宋_GB2312" w:hAnsi="仿宋_GB2312" w:eastAsia="仿宋_GB2312" w:cs="宋体"/>
      <w:snapToGrid w:val="0"/>
      <w:spacing w:val="4"/>
      <w:sz w:val="24"/>
      <w:szCs w:val="32"/>
    </w:rPr>
  </w:style>
  <w:style w:type="character" w:customStyle="1" w:styleId="45">
    <w:name w:val="批注文字 Char"/>
    <w:basedOn w:val="34"/>
    <w:link w:val="9"/>
    <w:qFormat/>
    <w:uiPriority w:val="0"/>
    <w:rPr>
      <w:rFonts w:ascii="仿宋_GB2312" w:hAnsi="仿宋_GB2312" w:eastAsia="仿宋_GB2312" w:cs="Times New Roman"/>
      <w:sz w:val="28"/>
      <w:szCs w:val="32"/>
    </w:rPr>
  </w:style>
  <w:style w:type="character" w:customStyle="1" w:styleId="46">
    <w:name w:val="批注框文本 Char"/>
    <w:basedOn w:val="34"/>
    <w:link w:val="17"/>
    <w:qFormat/>
    <w:uiPriority w:val="99"/>
    <w:rPr>
      <w:sz w:val="18"/>
      <w:szCs w:val="18"/>
    </w:rPr>
  </w:style>
  <w:style w:type="character" w:customStyle="1" w:styleId="47">
    <w:name w:val="标题 2 Char"/>
    <w:basedOn w:val="34"/>
    <w:link w:val="4"/>
    <w:qFormat/>
    <w:uiPriority w:val="9"/>
    <w:rPr>
      <w:rFonts w:ascii="Arial" w:hAnsi="Arial" w:eastAsia="仿宋_GB2312" w:cs="Times New Roman"/>
      <w:b/>
      <w:bCs/>
      <w:sz w:val="32"/>
      <w:szCs w:val="32"/>
    </w:rPr>
  </w:style>
  <w:style w:type="paragraph" w:customStyle="1" w:styleId="48">
    <w:name w:val="样式 样式 小五 左侧:  0.74 厘米 行距: 固定值 23 磅 + 居中"/>
    <w:basedOn w:val="1"/>
    <w:qFormat/>
    <w:uiPriority w:val="0"/>
    <w:pPr>
      <w:spacing w:line="360" w:lineRule="exact"/>
      <w:jc w:val="center"/>
    </w:pPr>
    <w:rPr>
      <w:rFonts w:ascii="Times New Roman" w:hAnsi="Times New Roman" w:cs="宋体"/>
      <w:kern w:val="0"/>
      <w:sz w:val="18"/>
      <w:szCs w:val="20"/>
    </w:rPr>
  </w:style>
  <w:style w:type="character" w:customStyle="1" w:styleId="49">
    <w:name w:val="批注主题 Char"/>
    <w:basedOn w:val="45"/>
    <w:link w:val="30"/>
    <w:qFormat/>
    <w:uiPriority w:val="99"/>
    <w:rPr>
      <w:rFonts w:ascii="仿宋_GB2312" w:hAnsi="仿宋_GB2312" w:eastAsia="仿宋_GB2312" w:cs="Times New Roman"/>
      <w:b/>
      <w:bCs/>
      <w:kern w:val="2"/>
      <w:sz w:val="21"/>
      <w:szCs w:val="22"/>
    </w:rPr>
  </w:style>
  <w:style w:type="character" w:customStyle="1" w:styleId="50">
    <w:name w:val="样式 文一 + 13 磅 首行缩进:  2 字符 Char"/>
    <w:link w:val="43"/>
    <w:qFormat/>
    <w:uiPriority w:val="0"/>
    <w:rPr>
      <w:rFonts w:ascii="仿宋_GB2312" w:hAnsi="仿宋" w:eastAsia="仿宋_GB2312" w:cs="仿宋"/>
      <w:bCs/>
      <w:color w:val="000000"/>
      <w:spacing w:val="4"/>
      <w:kern w:val="2"/>
      <w:sz w:val="26"/>
      <w:szCs w:val="26"/>
    </w:rPr>
  </w:style>
  <w:style w:type="character" w:customStyle="1" w:styleId="51">
    <w:name w:val="标题 1 Char"/>
    <w:basedOn w:val="34"/>
    <w:link w:val="3"/>
    <w:qFormat/>
    <w:uiPriority w:val="9"/>
    <w:rPr>
      <w:rFonts w:ascii="仿宋_GB2312" w:hAnsi="仿宋_GB2312" w:eastAsia="仿宋_GB2312"/>
      <w:b/>
      <w:bCs/>
      <w:kern w:val="44"/>
      <w:sz w:val="44"/>
      <w:szCs w:val="44"/>
    </w:rPr>
  </w:style>
  <w:style w:type="character" w:customStyle="1" w:styleId="52">
    <w:name w:val="标题 3 Char"/>
    <w:basedOn w:val="34"/>
    <w:qFormat/>
    <w:uiPriority w:val="0"/>
    <w:rPr>
      <w:b/>
      <w:bCs/>
      <w:kern w:val="2"/>
      <w:sz w:val="32"/>
      <w:szCs w:val="32"/>
    </w:rPr>
  </w:style>
  <w:style w:type="character" w:customStyle="1" w:styleId="53">
    <w:name w:val="标题 4 Char"/>
    <w:basedOn w:val="34"/>
    <w:link w:val="6"/>
    <w:qFormat/>
    <w:uiPriority w:val="0"/>
    <w:rPr>
      <w:rFonts w:ascii="Cambria" w:hAnsi="Cambria"/>
      <w:b/>
      <w:bCs/>
      <w:kern w:val="2"/>
      <w:sz w:val="28"/>
      <w:szCs w:val="28"/>
    </w:rPr>
  </w:style>
  <w:style w:type="character" w:customStyle="1" w:styleId="54">
    <w:name w:val="文档结构图 Char"/>
    <w:basedOn w:val="34"/>
    <w:link w:val="8"/>
    <w:qFormat/>
    <w:uiPriority w:val="0"/>
    <w:rPr>
      <w:rFonts w:ascii="Times New Roman" w:hAnsi="Times New Roman"/>
      <w:kern w:val="2"/>
      <w:sz w:val="21"/>
      <w:szCs w:val="24"/>
      <w:shd w:val="clear" w:color="auto" w:fill="000080"/>
    </w:rPr>
  </w:style>
  <w:style w:type="character" w:customStyle="1" w:styleId="55">
    <w:name w:val="正文文本缩进 Char"/>
    <w:basedOn w:val="34"/>
    <w:link w:val="10"/>
    <w:qFormat/>
    <w:uiPriority w:val="0"/>
    <w:rPr>
      <w:rFonts w:ascii="Calibri" w:hAnsi="Calibri" w:eastAsia="宋体" w:cs="宋体"/>
      <w:kern w:val="2"/>
      <w:sz w:val="21"/>
      <w:szCs w:val="24"/>
    </w:rPr>
  </w:style>
  <w:style w:type="character" w:customStyle="1" w:styleId="56">
    <w:name w:val="日期 Char"/>
    <w:basedOn w:val="34"/>
    <w:link w:val="15"/>
    <w:qFormat/>
    <w:uiPriority w:val="0"/>
    <w:rPr>
      <w:rFonts w:ascii="Calibri" w:hAnsi="Calibri" w:eastAsia="宋体" w:cs="宋体"/>
      <w:kern w:val="2"/>
      <w:sz w:val="21"/>
      <w:szCs w:val="24"/>
    </w:rPr>
  </w:style>
  <w:style w:type="character" w:customStyle="1" w:styleId="57">
    <w:name w:val="正文文本缩进 2 Char"/>
    <w:basedOn w:val="34"/>
    <w:link w:val="16"/>
    <w:qFormat/>
    <w:uiPriority w:val="0"/>
    <w:rPr>
      <w:rFonts w:ascii="Times New Roman" w:hAnsi="Times New Roman"/>
      <w:kern w:val="2"/>
      <w:sz w:val="21"/>
      <w:szCs w:val="24"/>
    </w:rPr>
  </w:style>
  <w:style w:type="character" w:customStyle="1" w:styleId="58">
    <w:name w:val="副标题 Char"/>
    <w:basedOn w:val="34"/>
    <w:link w:val="21"/>
    <w:qFormat/>
    <w:uiPriority w:val="0"/>
    <w:rPr>
      <w:rFonts w:ascii="Cambria" w:hAnsi="Cambria"/>
      <w:b/>
      <w:bCs/>
      <w:kern w:val="28"/>
      <w:sz w:val="32"/>
      <w:szCs w:val="32"/>
    </w:rPr>
  </w:style>
  <w:style w:type="character" w:customStyle="1" w:styleId="59">
    <w:name w:val="标题 Char"/>
    <w:basedOn w:val="34"/>
    <w:link w:val="26"/>
    <w:qFormat/>
    <w:uiPriority w:val="0"/>
    <w:rPr>
      <w:rFonts w:ascii="仿宋" w:hAnsi="仿宋" w:eastAsia="仿宋"/>
      <w:b/>
      <w:snapToGrid w:val="0"/>
      <w:spacing w:val="4"/>
      <w:sz w:val="26"/>
      <w:szCs w:val="26"/>
    </w:rPr>
  </w:style>
  <w:style w:type="character" w:customStyle="1" w:styleId="60">
    <w:name w:val="正文首行缩进 2 Char"/>
    <w:basedOn w:val="55"/>
    <w:link w:val="31"/>
    <w:qFormat/>
    <w:uiPriority w:val="0"/>
    <w:rPr>
      <w:rFonts w:ascii="Calibri" w:hAnsi="Calibri" w:eastAsia="宋体" w:cs="宋体"/>
      <w:kern w:val="2"/>
      <w:sz w:val="21"/>
      <w:szCs w:val="24"/>
    </w:rPr>
  </w:style>
  <w:style w:type="character" w:customStyle="1" w:styleId="61">
    <w:name w:val="标题 3 Char1"/>
    <w:link w:val="5"/>
    <w:qFormat/>
    <w:uiPriority w:val="0"/>
    <w:rPr>
      <w:rFonts w:ascii="仿宋_GB2312" w:hAnsi="仿宋_GB2312" w:eastAsia="仿宋_GB2312"/>
      <w:b/>
      <w:bCs/>
      <w:kern w:val="2"/>
      <w:sz w:val="32"/>
      <w:szCs w:val="32"/>
    </w:rPr>
  </w:style>
  <w:style w:type="character" w:customStyle="1" w:styleId="62">
    <w:name w:val="样式 标题 3 + 仿宋 Char"/>
    <w:link w:val="63"/>
    <w:qFormat/>
    <w:uiPriority w:val="0"/>
    <w:rPr>
      <w:rFonts w:ascii="仿宋" w:hAnsi="仿宋" w:eastAsia="仿宋"/>
      <w:b/>
      <w:bCs/>
      <w:sz w:val="36"/>
      <w:szCs w:val="32"/>
    </w:rPr>
  </w:style>
  <w:style w:type="paragraph" w:customStyle="1" w:styleId="63">
    <w:name w:val="样式 标题 3 + 仿宋"/>
    <w:basedOn w:val="5"/>
    <w:link w:val="62"/>
    <w:qFormat/>
    <w:uiPriority w:val="0"/>
    <w:rPr>
      <w:rFonts w:ascii="仿宋" w:hAnsi="仿宋" w:eastAsia="仿宋"/>
      <w:kern w:val="0"/>
      <w:sz w:val="36"/>
    </w:rPr>
  </w:style>
  <w:style w:type="character" w:customStyle="1" w:styleId="64">
    <w:name w:val="章节三 Char"/>
    <w:link w:val="65"/>
    <w:qFormat/>
    <w:uiPriority w:val="99"/>
    <w:rPr>
      <w:rFonts w:ascii="黑体" w:hAnsi="宋体" w:eastAsia="黑体"/>
      <w:b/>
      <w:snapToGrid w:val="0"/>
      <w:spacing w:val="4"/>
      <w:sz w:val="24"/>
      <w:szCs w:val="32"/>
    </w:rPr>
  </w:style>
  <w:style w:type="paragraph" w:customStyle="1" w:styleId="65">
    <w:name w:val="章节三"/>
    <w:basedOn w:val="44"/>
    <w:next w:val="44"/>
    <w:link w:val="64"/>
    <w:qFormat/>
    <w:uiPriority w:val="99"/>
    <w:pPr>
      <w:spacing w:beforeLines="50" w:afterLines="50" w:line="240" w:lineRule="auto"/>
      <w:ind w:firstLine="0" w:firstLineChars="0"/>
      <w:jc w:val="left"/>
      <w:outlineLvl w:val="2"/>
    </w:pPr>
    <w:rPr>
      <w:rFonts w:ascii="黑体" w:hAnsi="宋体" w:eastAsia="黑体" w:cs="Times New Roman"/>
      <w:b/>
      <w:kern w:val="0"/>
    </w:rPr>
  </w:style>
  <w:style w:type="character" w:customStyle="1" w:styleId="66">
    <w:name w:val="文一 Char"/>
    <w:link w:val="44"/>
    <w:qFormat/>
    <w:uiPriority w:val="99"/>
    <w:rPr>
      <w:rFonts w:ascii="仿宋_GB2312" w:hAnsi="仿宋_GB2312" w:eastAsia="仿宋_GB2312" w:cs="宋体"/>
      <w:snapToGrid w:val="0"/>
      <w:spacing w:val="4"/>
      <w:kern w:val="2"/>
      <w:sz w:val="24"/>
      <w:szCs w:val="32"/>
    </w:rPr>
  </w:style>
  <w:style w:type="character" w:customStyle="1" w:styleId="67">
    <w:name w:val="正文文本缩进 Char1"/>
    <w:basedOn w:val="34"/>
    <w:qFormat/>
    <w:uiPriority w:val="99"/>
    <w:rPr>
      <w:rFonts w:ascii="Times New Roman" w:hAnsi="Times New Roman" w:eastAsia="宋体" w:cs="Times New Roman"/>
      <w:szCs w:val="24"/>
    </w:rPr>
  </w:style>
  <w:style w:type="character" w:customStyle="1" w:styleId="68">
    <w:name w:val="正文首行缩进 2 Char1"/>
    <w:basedOn w:val="67"/>
    <w:qFormat/>
    <w:uiPriority w:val="99"/>
    <w:rPr>
      <w:rFonts w:ascii="Times New Roman" w:hAnsi="Times New Roman" w:eastAsia="宋体" w:cs="Times New Roman"/>
      <w:szCs w:val="24"/>
    </w:rPr>
  </w:style>
  <w:style w:type="paragraph" w:customStyle="1" w:styleId="69">
    <w:name w:val="封二"/>
    <w:basedOn w:val="44"/>
    <w:next w:val="44"/>
    <w:qFormat/>
    <w:uiPriority w:val="0"/>
    <w:pPr>
      <w:ind w:firstLine="0" w:firstLineChars="0"/>
      <w:jc w:val="center"/>
    </w:pPr>
    <w:rPr>
      <w:rFonts w:eastAsia="黑体"/>
      <w:b/>
      <w:sz w:val="36"/>
      <w:szCs w:val="36"/>
    </w:rPr>
  </w:style>
  <w:style w:type="paragraph" w:customStyle="1" w:styleId="70">
    <w:name w:val="样式 样式 样式 样式 标题 3 + 首行缩进:  2.57 字符 + 首行缩进:  2 字符 + 首行缩进:  2 字符 + ..."/>
    <w:basedOn w:val="1"/>
    <w:qFormat/>
    <w:uiPriority w:val="0"/>
    <w:pPr>
      <w:keepNext/>
      <w:keepLines/>
      <w:snapToGrid w:val="0"/>
      <w:spacing w:line="520" w:lineRule="exact"/>
      <w:ind w:firstLine="200" w:firstLineChars="200"/>
      <w:outlineLvl w:val="2"/>
    </w:pPr>
    <w:rPr>
      <w:rFonts w:ascii="仿宋_GB2312" w:hAnsi="仿宋_GB2312" w:eastAsia="仿宋_GB2312" w:cs="宋体"/>
      <w:b/>
      <w:bCs/>
      <w:sz w:val="32"/>
      <w:szCs w:val="20"/>
    </w:rPr>
  </w:style>
  <w:style w:type="paragraph" w:customStyle="1" w:styleId="71">
    <w:name w:val="_Style 6"/>
    <w:basedOn w:val="1"/>
    <w:qFormat/>
    <w:uiPriority w:val="0"/>
    <w:rPr>
      <w:rFonts w:ascii="Times New Roman" w:hAnsi="Times New Roman"/>
      <w:szCs w:val="24"/>
    </w:rPr>
  </w:style>
  <w:style w:type="paragraph" w:customStyle="1" w:styleId="72">
    <w:name w:val="样式 章节三 + 仿宋_GB2312 自动设置 段前: 0.5 行 段后: 0.5 行 行距: 固定值 28 磅"/>
    <w:basedOn w:val="65"/>
    <w:qFormat/>
    <w:uiPriority w:val="0"/>
    <w:pPr>
      <w:spacing w:line="440" w:lineRule="exact"/>
      <w:ind w:firstLine="496"/>
    </w:pPr>
    <w:rPr>
      <w:rFonts w:ascii="仿宋_GB2312" w:eastAsia="仿宋_GB2312" w:cs="宋体"/>
      <w:bCs/>
      <w:szCs w:val="20"/>
    </w:rPr>
  </w:style>
  <w:style w:type="paragraph" w:customStyle="1" w:styleId="73">
    <w:name w:val="Char Char Char Char Char Char Char Char Char"/>
    <w:basedOn w:val="8"/>
    <w:qFormat/>
    <w:uiPriority w:val="0"/>
    <w:rPr>
      <w:rFonts w:ascii="Tahoma" w:hAnsi="Tahoma"/>
      <w:sz w:val="24"/>
    </w:rPr>
  </w:style>
  <w:style w:type="paragraph" w:customStyle="1" w:styleId="74">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75">
    <w:name w:val="章节一"/>
    <w:basedOn w:val="44"/>
    <w:next w:val="44"/>
    <w:qFormat/>
    <w:uiPriority w:val="0"/>
    <w:pPr>
      <w:spacing w:beforeLines="50" w:afterLines="50" w:line="240" w:lineRule="auto"/>
      <w:ind w:firstLine="0" w:firstLineChars="0"/>
      <w:jc w:val="center"/>
      <w:outlineLvl w:val="0"/>
    </w:pPr>
    <w:rPr>
      <w:rFonts w:eastAsia="黑体"/>
      <w:b/>
      <w:sz w:val="36"/>
      <w:szCs w:val="36"/>
    </w:rPr>
  </w:style>
  <w:style w:type="paragraph" w:customStyle="1" w:styleId="76">
    <w:name w:val="样式 样式 文一 + 仿宋_GB2312 自动设置 首行缩进:  2 字符 段前: 6 磅 段后: 6 磅 行距: 固定值 ....."/>
    <w:basedOn w:val="1"/>
    <w:qFormat/>
    <w:uiPriority w:val="0"/>
    <w:pPr>
      <w:topLinePunct/>
      <w:adjustRightInd w:val="0"/>
      <w:snapToGrid w:val="0"/>
      <w:spacing w:line="400" w:lineRule="exact"/>
      <w:ind w:firstLine="496" w:firstLineChars="200"/>
    </w:pPr>
    <w:rPr>
      <w:rFonts w:ascii="仿宋_GB2312" w:hAnsi="宋体" w:eastAsia="仿宋_GB2312" w:cs="宋体"/>
      <w:snapToGrid w:val="0"/>
      <w:spacing w:val="4"/>
      <w:kern w:val="0"/>
      <w:sz w:val="24"/>
      <w:szCs w:val="20"/>
    </w:rPr>
  </w:style>
  <w:style w:type="paragraph" w:customStyle="1" w:styleId="77">
    <w:name w:val="章节二"/>
    <w:basedOn w:val="44"/>
    <w:next w:val="44"/>
    <w:qFormat/>
    <w:uiPriority w:val="0"/>
    <w:pPr>
      <w:spacing w:beforeLines="50" w:afterLines="50" w:line="240" w:lineRule="auto"/>
      <w:ind w:firstLine="0" w:firstLineChars="0"/>
      <w:jc w:val="center"/>
      <w:outlineLvl w:val="1"/>
    </w:pPr>
    <w:rPr>
      <w:rFonts w:ascii="华文仿宋" w:hAnsi="华文仿宋" w:eastAsia="黑体"/>
      <w:b/>
      <w:bCs/>
      <w:color w:val="000000"/>
      <w:sz w:val="30"/>
      <w:szCs w:val="30"/>
    </w:rPr>
  </w:style>
  <w:style w:type="paragraph" w:customStyle="1" w:styleId="78">
    <w:name w:val="正题"/>
    <w:basedOn w:val="44"/>
    <w:next w:val="44"/>
    <w:qFormat/>
    <w:uiPriority w:val="0"/>
    <w:pPr>
      <w:ind w:firstLine="0" w:firstLineChars="0"/>
      <w:jc w:val="center"/>
    </w:pPr>
    <w:rPr>
      <w:rFonts w:ascii="Times New Roman" w:hAnsi="Times New Roman" w:eastAsia="黑体"/>
      <w:b/>
      <w:sz w:val="36"/>
      <w:szCs w:val="36"/>
    </w:rPr>
  </w:style>
  <w:style w:type="paragraph" w:customStyle="1" w:styleId="79">
    <w:name w:val="样式 小五 左侧:  0.74 厘米 行距: 固定值 23 磅"/>
    <w:basedOn w:val="1"/>
    <w:qFormat/>
    <w:uiPriority w:val="0"/>
    <w:pPr>
      <w:spacing w:line="360" w:lineRule="exact"/>
    </w:pPr>
    <w:rPr>
      <w:rFonts w:ascii="Times New Roman" w:hAnsi="Times New Roman" w:cs="宋体"/>
      <w:kern w:val="0"/>
      <w:sz w:val="18"/>
      <w:szCs w:val="20"/>
    </w:rPr>
  </w:style>
  <w:style w:type="paragraph" w:customStyle="1" w:styleId="80">
    <w:name w:val="Char Char Char Char Char Char Char Char Char1"/>
    <w:basedOn w:val="8"/>
    <w:qFormat/>
    <w:uiPriority w:val="0"/>
    <w:rPr>
      <w:rFonts w:ascii="Tahoma" w:hAnsi="Tahoma"/>
      <w:sz w:val="24"/>
    </w:rPr>
  </w:style>
  <w:style w:type="paragraph" w:customStyle="1" w:styleId="81">
    <w:name w:val="修订1"/>
    <w:qFormat/>
    <w:uiPriority w:val="99"/>
    <w:rPr>
      <w:rFonts w:ascii="Times New Roman" w:hAnsi="Times New Roman" w:eastAsia="宋体" w:cs="Times New Roman"/>
      <w:kern w:val="2"/>
      <w:sz w:val="21"/>
      <w:szCs w:val="24"/>
      <w:lang w:val="en-US" w:eastAsia="zh-CN" w:bidi="ar-SA"/>
    </w:rPr>
  </w:style>
  <w:style w:type="character" w:customStyle="1" w:styleId="82">
    <w:name w:val="书籍标题1"/>
    <w:qFormat/>
    <w:uiPriority w:val="33"/>
    <w:rPr>
      <w:b/>
      <w:bCs/>
      <w:smallCaps/>
      <w:spacing w:val="5"/>
    </w:rPr>
  </w:style>
  <w:style w:type="character" w:customStyle="1" w:styleId="83">
    <w:name w:val="日期 Char1"/>
    <w:basedOn w:val="34"/>
    <w:qFormat/>
    <w:uiPriority w:val="0"/>
    <w:rPr>
      <w:rFonts w:ascii="Times New Roman" w:hAnsi="Times New Roman" w:eastAsia="宋体" w:cs="Times New Roman"/>
      <w:szCs w:val="24"/>
    </w:rPr>
  </w:style>
  <w:style w:type="paragraph" w:customStyle="1" w:styleId="84">
    <w:name w:val="TOC 标题1"/>
    <w:basedOn w:val="3"/>
    <w:next w:val="1"/>
    <w:qFormat/>
    <w:uiPriority w:val="39"/>
    <w:pPr>
      <w:widowControl/>
      <w:spacing w:before="480" w:after="0" w:line="276" w:lineRule="auto"/>
      <w:ind w:firstLine="0" w:firstLineChars="0"/>
      <w:jc w:val="left"/>
      <w:outlineLvl w:val="9"/>
    </w:pPr>
    <w:rPr>
      <w:rFonts w:ascii="Cambria" w:hAnsi="Cambria" w:eastAsia="宋体"/>
      <w:color w:val="365F91"/>
      <w:kern w:val="0"/>
      <w:sz w:val="28"/>
      <w:szCs w:val="28"/>
    </w:rPr>
  </w:style>
  <w:style w:type="paragraph" w:customStyle="1" w:styleId="85">
    <w:name w:val="样式 标题 2 + 首行缩进:  2 字符1"/>
    <w:basedOn w:val="4"/>
    <w:qFormat/>
    <w:uiPriority w:val="0"/>
    <w:pPr>
      <w:spacing w:before="0" w:after="0" w:line="0" w:lineRule="atLeast"/>
      <w:jc w:val="left"/>
    </w:pPr>
    <w:rPr>
      <w:rFonts w:eastAsia="仿宋" w:cs="宋体"/>
      <w:kern w:val="0"/>
      <w:sz w:val="30"/>
      <w:szCs w:val="20"/>
    </w:rPr>
  </w:style>
  <w:style w:type="character" w:customStyle="1" w:styleId="86">
    <w:name w:val="未处理的提及1"/>
    <w:basedOn w:val="34"/>
    <w:qFormat/>
    <w:uiPriority w:val="99"/>
    <w:rPr>
      <w:color w:val="605E5C"/>
      <w:shd w:val="clear" w:color="auto" w:fill="E1DFDD"/>
    </w:rPr>
  </w:style>
  <w:style w:type="paragraph" w:customStyle="1" w:styleId="87">
    <w:name w:val="样式 文一 + 13 磅 首行缩进: 2 字符"/>
    <w:qFormat/>
    <w:uiPriority w:val="0"/>
    <w:pPr>
      <w:keepNext w:val="0"/>
      <w:keepLines w:val="0"/>
      <w:widowControl w:val="0"/>
      <w:suppressLineNumbers w:val="0"/>
      <w:topLinePunct/>
      <w:adjustRightInd w:val="0"/>
      <w:snapToGrid w:val="0"/>
      <w:spacing w:beforeLines="50" w:beforeAutospacing="0" w:line="360" w:lineRule="auto"/>
      <w:ind w:firstLine="539" w:firstLineChars="200"/>
      <w:jc w:val="both"/>
      <w:textAlignment w:val="top"/>
    </w:pPr>
    <w:rPr>
      <w:rFonts w:hint="default" w:ascii="仿宋_GB2312" w:hAnsi="仿宋" w:eastAsia="仿宋_GB2312" w:cs="仿宋"/>
      <w:bCs/>
      <w:snapToGrid/>
      <w:color w:val="000000"/>
      <w:spacing w:val="4"/>
      <w:kern w:val="2"/>
      <w:sz w:val="26"/>
      <w:szCs w:val="26"/>
      <w:lang w:val="en-US" w:eastAsia="zh-CN" w:bidi="ar"/>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15"/>
    <w:basedOn w:val="34"/>
    <w:qFormat/>
    <w:uiPriority w:val="0"/>
    <w:rPr>
      <w:rFonts w:hint="default" w:ascii="Calibri" w:hAnsi="Calibri" w:cs="Calibri"/>
    </w:rPr>
  </w:style>
  <w:style w:type="character" w:customStyle="1" w:styleId="90">
    <w:name w:val="10"/>
    <w:basedOn w:val="34"/>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E4D78-7466-4927-8AD1-F61B28E115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12123</Words>
  <Characters>12265</Characters>
  <Lines>1</Lines>
  <Paragraphs>1</Paragraphs>
  <TotalTime>2</TotalTime>
  <ScaleCrop>false</ScaleCrop>
  <LinksUpToDate>false</LinksUpToDate>
  <CharactersWithSpaces>12266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2023-05-15T13:10:00Z</dcterms:created>
  <dc:creator>胡艳</dc:creator>
  <cp:lastModifiedBy>崔帅</cp:lastModifiedBy>
  <cp:lastPrinted>2023-05-17T12:08:00Z</cp:lastPrinted>
  <dcterms:modified xsi:type="dcterms:W3CDTF">2025-12-05T01:09:12Z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34988D1AE93E47B780E85656BAF9EACA_13</vt:lpwstr>
  </property>
  <property fmtid="{D5CDD505-2E9C-101B-9397-08002B2CF9AE}" pid="4" name="KSOTemplateDocerSaveRecord">
    <vt:lpwstr>eyJoZGlkIjoiNDI1NGQ4MDY4NjMxYWVlMzc3ODM2NDE0MmU1ODUxYzYiLCJ1c2VySWQiOiIxNTY4OTA2ODQzIn0=</vt:lpwstr>
  </property>
</Properties>
</file>