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jc w:val="center"/>
        <w:outlineLvl w:val="1"/>
        <w:rPr>
          <w:rFonts w:hint="eastAsia" w:ascii="宋体" w:hAnsi="宋体"/>
          <w:b/>
          <w:bCs/>
          <w:szCs w:val="21"/>
        </w:rPr>
      </w:pPr>
      <w:bookmarkStart w:id="0" w:name="_Toc2650"/>
      <w:bookmarkStart w:id="1" w:name="_Toc14647"/>
      <w:bookmarkStart w:id="2" w:name="_Toc11260"/>
      <w:bookmarkStart w:id="3" w:name="_Toc25284"/>
      <w:bookmarkStart w:id="4" w:name="_Toc7753"/>
      <w:bookmarkStart w:id="5" w:name="_Toc1549"/>
      <w:bookmarkStart w:id="6" w:name="_Toc24616"/>
      <w:bookmarkStart w:id="7" w:name="_Toc32762"/>
      <w:bookmarkStart w:id="8" w:name="_Toc23463"/>
      <w:bookmarkStart w:id="9" w:name="_Toc32392"/>
      <w:bookmarkStart w:id="10" w:name="_Toc16649"/>
      <w:bookmarkStart w:id="11" w:name="_Toc2836"/>
      <w:bookmarkStart w:id="12" w:name="_Toc21483"/>
      <w:bookmarkStart w:id="13" w:name="_Toc7931"/>
      <w:bookmarkStart w:id="14" w:name="_Toc18692"/>
      <w:bookmarkStart w:id="15" w:name="_Toc15659"/>
      <w:bookmarkStart w:id="16" w:name="_Toc18780"/>
      <w:bookmarkStart w:id="17" w:name="_Toc20823"/>
      <w:bookmarkStart w:id="18" w:name="_Toc14144"/>
      <w:bookmarkStart w:id="19" w:name="_Toc17695"/>
      <w:bookmarkStart w:id="20" w:name="_Toc10344"/>
      <w:bookmarkStart w:id="21" w:name="_Toc13944"/>
      <w:bookmarkStart w:id="22" w:name="_Toc36"/>
      <w:bookmarkStart w:id="23" w:name="_Toc10618"/>
      <w:bookmarkStart w:id="24" w:name="_Toc11786"/>
      <w:bookmarkStart w:id="25" w:name="_Toc20407"/>
      <w:bookmarkStart w:id="26" w:name="_Toc9964"/>
      <w:bookmarkStart w:id="27" w:name="_Toc27055"/>
      <w:bookmarkStart w:id="28" w:name="_Toc8485"/>
      <w:bookmarkStart w:id="29" w:name="_Toc16510"/>
      <w:bookmarkStart w:id="30" w:name="_Toc9208"/>
      <w:bookmarkStart w:id="31" w:name="_Toc17548"/>
      <w:bookmarkStart w:id="32" w:name="_Toc25098"/>
      <w:bookmarkStart w:id="33" w:name="_Toc24843"/>
      <w:bookmarkStart w:id="34" w:name="_Toc18484"/>
      <w:r>
        <w:rPr>
          <w:rFonts w:hint="eastAsia" w:ascii="宋体" w:hAnsi="宋体"/>
          <w:b/>
          <w:bCs/>
          <w:szCs w:val="21"/>
        </w:rPr>
        <w:t>广州发展新能源集团股份有限公司2025-2026年度小微分布式光伏设备集成及开发移交一体化服务</w:t>
      </w:r>
      <w:bookmarkEnd w:id="0"/>
      <w:bookmarkStart w:id="35" w:name="_Toc22792"/>
      <w:r>
        <w:rPr>
          <w:rFonts w:hint="eastAsia" w:ascii="宋体" w:hAnsi="宋体"/>
          <w:b/>
          <w:bCs/>
          <w:szCs w:val="21"/>
        </w:rPr>
        <w:t>企业库（第四批）建库项目建库公告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adjustRightInd w:val="0"/>
        <w:snapToGrid w:val="0"/>
        <w:spacing w:line="360" w:lineRule="exact"/>
        <w:ind w:firstLine="422" w:firstLineChars="200"/>
        <w:jc w:val="center"/>
        <w:rPr>
          <w:rFonts w:hint="eastAsia" w:ascii="宋体" w:hAnsi="宋体"/>
          <w:b/>
          <w:bCs/>
          <w:szCs w:val="21"/>
        </w:rPr>
      </w:pPr>
    </w:p>
    <w:p>
      <w:pPr>
        <w:adjustRightInd w:val="0"/>
        <w:snapToGrid w:val="0"/>
        <w:spacing w:line="360" w:lineRule="auto"/>
        <w:ind w:firstLine="420" w:firstLineChars="200"/>
        <w:rPr>
          <w:rFonts w:hint="eastAsia" w:ascii="宋体" w:hAnsi="宋体"/>
          <w:szCs w:val="21"/>
        </w:rPr>
      </w:pPr>
      <w:r>
        <w:rPr>
          <w:rFonts w:hint="eastAsia" w:ascii="宋体" w:hAnsi="宋体"/>
          <w:szCs w:val="21"/>
        </w:rPr>
        <w:t>广州发展新能源集团股份有限公司2025-2026年度小微分布式光伏设备集成及开发移交一体化服务企业库（第四批）建库项目已由</w:t>
      </w:r>
      <w:r>
        <w:rPr>
          <w:rFonts w:hint="eastAsia" w:ascii="宋体" w:hAnsi="宋体"/>
          <w:szCs w:val="21"/>
          <w:u w:val="single"/>
        </w:rPr>
        <w:t>广州发展新能源集团股份有限公司</w:t>
      </w:r>
      <w:r>
        <w:rPr>
          <w:rFonts w:hint="eastAsia" w:ascii="宋体" w:hAnsi="宋体"/>
          <w:szCs w:val="21"/>
        </w:rPr>
        <w:t>批准建设，项目业主为</w:t>
      </w:r>
      <w:r>
        <w:rPr>
          <w:rFonts w:hint="eastAsia" w:ascii="宋体" w:hAnsi="宋体"/>
          <w:szCs w:val="21"/>
          <w:u w:val="single"/>
        </w:rPr>
        <w:t>广州发展新能源集团股份有限公司</w:t>
      </w:r>
      <w:r>
        <w:rPr>
          <w:rFonts w:hint="eastAsia" w:ascii="宋体" w:hAnsi="宋体"/>
          <w:szCs w:val="21"/>
        </w:rPr>
        <w:t>，建设资金来自</w:t>
      </w:r>
      <w:r>
        <w:rPr>
          <w:rFonts w:hint="eastAsia" w:ascii="宋体" w:hAnsi="宋体"/>
          <w:szCs w:val="21"/>
          <w:u w:val="single"/>
        </w:rPr>
        <w:t>企业自筹</w:t>
      </w:r>
      <w:r>
        <w:rPr>
          <w:rFonts w:hint="eastAsia" w:ascii="宋体" w:hAnsi="宋体"/>
          <w:szCs w:val="21"/>
        </w:rPr>
        <w:t>，建库代理单位为</w:t>
      </w:r>
      <w:r>
        <w:rPr>
          <w:rFonts w:hint="eastAsia" w:ascii="宋体" w:hAnsi="宋体"/>
          <w:szCs w:val="21"/>
          <w:u w:val="single"/>
        </w:rPr>
        <w:t>广州市广州工程建设监理有限公司</w:t>
      </w:r>
      <w:r>
        <w:rPr>
          <w:rFonts w:hint="eastAsia" w:ascii="宋体" w:hAnsi="宋体"/>
          <w:szCs w:val="21"/>
        </w:rPr>
        <w:t>。现对本项目进行国内公开建库。欢迎合格的入库申请人参加入库申请。</w:t>
      </w:r>
    </w:p>
    <w:p>
      <w:pPr>
        <w:pStyle w:val="3"/>
        <w:spacing w:line="360" w:lineRule="auto"/>
        <w:ind w:left="0" w:firstLine="482" w:firstLineChars="200"/>
        <w:rPr>
          <w:color w:val="auto"/>
          <w:sz w:val="24"/>
        </w:rPr>
      </w:pPr>
      <w:bookmarkStart w:id="36" w:name="_Toc24804"/>
      <w:bookmarkStart w:id="37" w:name="_Toc15475"/>
      <w:bookmarkStart w:id="38" w:name="_Toc22187"/>
      <w:bookmarkStart w:id="39" w:name="_Toc10336"/>
      <w:bookmarkStart w:id="40" w:name="_Toc8657"/>
      <w:bookmarkStart w:id="41" w:name="_Toc4886"/>
      <w:bookmarkStart w:id="42" w:name="_Toc14636"/>
      <w:bookmarkStart w:id="43" w:name="_Toc28570"/>
      <w:bookmarkStart w:id="44" w:name="_Toc6188"/>
      <w:bookmarkStart w:id="45" w:name="_Toc20011"/>
      <w:bookmarkStart w:id="46" w:name="_Toc3262"/>
      <w:bookmarkStart w:id="47" w:name="_Toc18644"/>
      <w:bookmarkStart w:id="48" w:name="_Toc10869"/>
      <w:bookmarkStart w:id="49" w:name="_Toc25125"/>
      <w:bookmarkStart w:id="50" w:name="_Toc1324"/>
      <w:bookmarkStart w:id="51" w:name="_Toc19262"/>
      <w:bookmarkStart w:id="52" w:name="_Toc8349"/>
      <w:bookmarkStart w:id="53" w:name="_Toc22262"/>
      <w:bookmarkStart w:id="54" w:name="_Toc14845"/>
      <w:bookmarkStart w:id="55" w:name="_Toc21177"/>
      <w:bookmarkStart w:id="56" w:name="_Toc24205"/>
      <w:bookmarkStart w:id="57" w:name="_Toc23429"/>
      <w:bookmarkStart w:id="58" w:name="_Toc2217"/>
      <w:bookmarkStart w:id="59" w:name="_Toc24025"/>
      <w:bookmarkStart w:id="60" w:name="_Toc17246"/>
      <w:bookmarkStart w:id="61" w:name="_Toc17853"/>
      <w:bookmarkStart w:id="62" w:name="_Toc2822"/>
      <w:bookmarkStart w:id="63" w:name="_Toc3592"/>
      <w:bookmarkStart w:id="64" w:name="_Toc3813"/>
      <w:bookmarkStart w:id="65" w:name="_Toc19003"/>
      <w:bookmarkStart w:id="66" w:name="_Toc21517"/>
      <w:bookmarkStart w:id="67" w:name="_Toc8064"/>
      <w:bookmarkStart w:id="68" w:name="_Toc10406"/>
      <w:bookmarkStart w:id="69" w:name="_Toc1558"/>
      <w:r>
        <w:rPr>
          <w:rFonts w:hint="eastAsia"/>
          <w:color w:val="auto"/>
          <w:sz w:val="24"/>
        </w:rPr>
        <w:t>一、基本信息</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adjustRightInd/>
        <w:snapToGrid/>
        <w:spacing w:line="360" w:lineRule="auto"/>
        <w:ind w:firstLine="420" w:firstLineChars="200"/>
        <w:rPr>
          <w:rFonts w:hint="eastAsia" w:ascii="宋体" w:hAnsi="宋体"/>
          <w:szCs w:val="21"/>
        </w:rPr>
      </w:pPr>
      <w:r>
        <w:rPr>
          <w:rFonts w:hint="eastAsia" w:ascii="宋体" w:hAnsi="宋体"/>
          <w:szCs w:val="21"/>
        </w:rPr>
        <w:t>1.项目名称：</w:t>
      </w:r>
      <w:bookmarkStart w:id="70" w:name="OLE_LINK7"/>
      <w:r>
        <w:rPr>
          <w:rFonts w:hint="eastAsia" w:ascii="宋体" w:hAnsi="宋体"/>
          <w:szCs w:val="21"/>
        </w:rPr>
        <w:t>广州发展新能源集团股份有限公司2025-2026年度小微分布式光伏设备集成及开发移交一体化服务企业库（第四批）建库项目</w:t>
      </w:r>
      <w:bookmarkEnd w:id="70"/>
    </w:p>
    <w:p>
      <w:pPr>
        <w:adjustRightInd/>
        <w:snapToGrid/>
        <w:spacing w:line="360" w:lineRule="auto"/>
        <w:ind w:firstLine="420" w:firstLineChars="200"/>
        <w:rPr>
          <w:rFonts w:hint="eastAsia" w:ascii="宋体" w:hAnsi="宋体"/>
          <w:szCs w:val="21"/>
        </w:rPr>
      </w:pPr>
      <w:r>
        <w:rPr>
          <w:rFonts w:hint="eastAsia" w:ascii="宋体" w:hAnsi="宋体"/>
          <w:szCs w:val="21"/>
        </w:rPr>
        <w:t>2.建库目的：为</w:t>
      </w:r>
      <w:r>
        <w:rPr>
          <w:rFonts w:hint="eastAsia" w:ascii="宋体" w:hAnsi="宋体"/>
          <w:szCs w:val="21"/>
          <w:u w:val="single"/>
        </w:rPr>
        <w:t>广州发展新能源集团股份有限公司</w:t>
      </w:r>
      <w:r>
        <w:rPr>
          <w:rFonts w:hint="eastAsia" w:ascii="宋体" w:hAnsi="宋体"/>
          <w:szCs w:val="21"/>
        </w:rPr>
        <w:t>及其属下公司的非法定必须招标</w:t>
      </w:r>
      <w:r>
        <w:rPr>
          <w:rFonts w:hint="eastAsia"/>
        </w:rPr>
        <w:t>（单个子项金额不超过400万元）</w:t>
      </w:r>
      <w:r>
        <w:rPr>
          <w:rFonts w:hint="eastAsia" w:ascii="宋体" w:hAnsi="宋体"/>
          <w:szCs w:val="21"/>
        </w:rPr>
        <w:t>的</w:t>
      </w:r>
      <w:r>
        <w:rPr>
          <w:rFonts w:hint="eastAsia" w:ascii="宋体" w:hAnsi="宋体"/>
          <w:szCs w:val="21"/>
          <w:lang w:val="en-US" w:eastAsia="zh-CN"/>
        </w:rPr>
        <w:t>河北</w:t>
      </w:r>
      <w:r>
        <w:rPr>
          <w:rFonts w:hint="eastAsia" w:ascii="宋体" w:hAnsi="宋体"/>
          <w:szCs w:val="21"/>
        </w:rPr>
        <w:t>区域、苏皖浙湘鄂区域小微分布式光伏设备集成及开发移交一体化服务征集符合条件的单位，并组建上述项目的区域企业库。</w:t>
      </w:r>
    </w:p>
    <w:p>
      <w:pPr>
        <w:adjustRightInd/>
        <w:snapToGrid/>
        <w:spacing w:line="360" w:lineRule="auto"/>
        <w:ind w:firstLine="420" w:firstLineChars="200"/>
        <w:rPr>
          <w:rFonts w:hint="eastAsia" w:ascii="宋体" w:hAnsi="宋体"/>
          <w:szCs w:val="21"/>
        </w:rPr>
      </w:pPr>
      <w:r>
        <w:rPr>
          <w:rFonts w:hint="eastAsia" w:ascii="宋体" w:hAnsi="宋体"/>
          <w:szCs w:val="21"/>
        </w:rPr>
        <w:t>3.项目地点：</w:t>
      </w:r>
      <w:r>
        <w:rPr>
          <w:rFonts w:hint="eastAsia" w:ascii="宋体" w:hAnsi="宋体"/>
          <w:szCs w:val="21"/>
          <w:lang w:eastAsia="zh-CN"/>
        </w:rPr>
        <w:t>河北</w:t>
      </w:r>
      <w:r>
        <w:rPr>
          <w:rFonts w:hint="eastAsia" w:ascii="宋体" w:hAnsi="宋体"/>
          <w:szCs w:val="21"/>
        </w:rPr>
        <w:t>区域、苏皖浙湘鄂区域</w:t>
      </w:r>
    </w:p>
    <w:p>
      <w:pPr>
        <w:adjustRightInd/>
        <w:snapToGrid/>
        <w:spacing w:line="360" w:lineRule="auto"/>
        <w:ind w:firstLine="420" w:firstLineChars="200"/>
        <w:rPr>
          <w:rFonts w:hint="eastAsia" w:ascii="宋体" w:hAnsi="宋体"/>
          <w:szCs w:val="21"/>
        </w:rPr>
      </w:pPr>
      <w:r>
        <w:rPr>
          <w:rFonts w:hint="eastAsia" w:ascii="宋体" w:hAnsi="宋体"/>
          <w:szCs w:val="21"/>
        </w:rPr>
        <w:t>4.建库单位：</w:t>
      </w:r>
      <w:r>
        <w:rPr>
          <w:rFonts w:hint="eastAsia" w:ascii="宋体" w:hAnsi="宋体"/>
          <w:szCs w:val="21"/>
          <w:u w:val="single"/>
        </w:rPr>
        <w:t>广州发展新能源集团股份有限公司</w:t>
      </w:r>
    </w:p>
    <w:p>
      <w:pPr>
        <w:adjustRightInd/>
        <w:snapToGrid/>
        <w:spacing w:line="360" w:lineRule="auto"/>
        <w:ind w:firstLine="420" w:firstLineChars="200"/>
        <w:rPr>
          <w:rFonts w:hint="eastAsia" w:ascii="宋体" w:hAnsi="宋体"/>
          <w:szCs w:val="21"/>
        </w:rPr>
      </w:pPr>
      <w:r>
        <w:rPr>
          <w:rFonts w:hint="eastAsia" w:ascii="宋体" w:hAnsi="宋体"/>
          <w:szCs w:val="21"/>
        </w:rPr>
        <w:t>联系人：陈工           联系电话：020-87571846</w:t>
      </w:r>
    </w:p>
    <w:p>
      <w:pPr>
        <w:adjustRightInd/>
        <w:snapToGrid/>
        <w:spacing w:line="360" w:lineRule="auto"/>
        <w:ind w:firstLine="420" w:firstLineChars="200"/>
        <w:outlineLvl w:val="9"/>
        <w:rPr>
          <w:rFonts w:hint="eastAsia" w:ascii="宋体" w:hAnsi="宋体"/>
          <w:szCs w:val="21"/>
        </w:rPr>
      </w:pPr>
      <w:bookmarkStart w:id="71" w:name="_Toc17683"/>
      <w:r>
        <w:rPr>
          <w:rFonts w:hint="eastAsia" w:ascii="宋体" w:hAnsi="宋体"/>
          <w:szCs w:val="21"/>
        </w:rPr>
        <w:t>5.建库代理机构：</w:t>
      </w:r>
      <w:bookmarkEnd w:id="71"/>
      <w:r>
        <w:rPr>
          <w:rFonts w:hint="eastAsia" w:ascii="宋体" w:hAnsi="宋体"/>
          <w:szCs w:val="21"/>
          <w:u w:val="single"/>
        </w:rPr>
        <w:t>广州市广州工程建设监理有限公司</w:t>
      </w:r>
      <w:r>
        <w:rPr>
          <w:rFonts w:hint="eastAsia" w:ascii="宋体" w:hAnsi="宋体"/>
          <w:szCs w:val="21"/>
        </w:rPr>
        <w:t xml:space="preserve">             </w:t>
      </w:r>
    </w:p>
    <w:p>
      <w:pPr>
        <w:adjustRightInd/>
        <w:snapToGrid/>
        <w:spacing w:line="360" w:lineRule="auto"/>
        <w:ind w:firstLine="420" w:firstLineChars="200"/>
        <w:outlineLvl w:val="9"/>
        <w:rPr>
          <w:rFonts w:hint="eastAsia" w:ascii="宋体" w:hAnsi="宋体" w:cs="宋体"/>
          <w:szCs w:val="21"/>
        </w:rPr>
      </w:pPr>
      <w:bookmarkStart w:id="72" w:name="_Toc30495"/>
      <w:r>
        <w:rPr>
          <w:rFonts w:hint="eastAsia" w:ascii="宋体" w:hAnsi="宋体" w:cs="宋体"/>
          <w:szCs w:val="21"/>
        </w:rPr>
        <w:t>联系人：</w:t>
      </w:r>
      <w:r>
        <w:rPr>
          <w:rFonts w:hint="eastAsia" w:ascii="宋体" w:hAnsi="宋体" w:cs="宋体"/>
          <w:szCs w:val="21"/>
          <w:u w:val="single"/>
        </w:rPr>
        <w:t>林工</w:t>
      </w:r>
      <w:r>
        <w:rPr>
          <w:rFonts w:hint="eastAsia" w:ascii="宋体" w:hAnsi="宋体" w:cs="宋体"/>
          <w:szCs w:val="21"/>
        </w:rPr>
        <w:t xml:space="preserve">          联系电话：</w:t>
      </w:r>
      <w:bookmarkEnd w:id="72"/>
      <w:r>
        <w:rPr>
          <w:rFonts w:hint="eastAsia" w:ascii="宋体" w:hAnsi="宋体" w:cs="宋体"/>
          <w:szCs w:val="21"/>
          <w:u w:val="single"/>
        </w:rPr>
        <w:t>020-37608020</w:t>
      </w:r>
      <w:r>
        <w:rPr>
          <w:rFonts w:hint="eastAsia" w:ascii="宋体" w:hAnsi="宋体" w:cs="宋体"/>
          <w:szCs w:val="21"/>
        </w:rPr>
        <w:t xml:space="preserve">       </w:t>
      </w:r>
    </w:p>
    <w:p>
      <w:pPr>
        <w:adjustRightInd/>
        <w:snapToGrid/>
        <w:spacing w:line="360" w:lineRule="auto"/>
        <w:ind w:firstLine="420" w:firstLineChars="200"/>
        <w:rPr>
          <w:rFonts w:hint="eastAsia" w:ascii="宋体" w:hAnsi="宋体"/>
          <w:szCs w:val="21"/>
        </w:rPr>
      </w:pPr>
      <w:bookmarkStart w:id="73" w:name="_Toc3965"/>
      <w:r>
        <w:rPr>
          <w:rFonts w:hint="eastAsia" w:ascii="宋体" w:hAnsi="宋体"/>
          <w:szCs w:val="21"/>
        </w:rPr>
        <w:t>电子邮箱：</w:t>
      </w:r>
      <w:bookmarkEnd w:id="73"/>
      <w:r>
        <w:rPr>
          <w:rFonts w:hint="eastAsia" w:ascii="宋体" w:hAnsi="宋体"/>
          <w:szCs w:val="21"/>
          <w:u w:val="single"/>
        </w:rPr>
        <w:t>gzjlzb@126.com</w:t>
      </w:r>
      <w:r>
        <w:rPr>
          <w:rFonts w:hint="eastAsia" w:ascii="宋体" w:hAnsi="宋体"/>
          <w:szCs w:val="21"/>
        </w:rPr>
        <w:t xml:space="preserve">      </w:t>
      </w:r>
    </w:p>
    <w:p>
      <w:pPr>
        <w:adjustRightInd/>
        <w:snapToGrid/>
        <w:spacing w:line="360" w:lineRule="auto"/>
        <w:ind w:firstLine="420" w:firstLineChars="200"/>
        <w:outlineLvl w:val="9"/>
        <w:rPr>
          <w:rFonts w:hint="eastAsia" w:ascii="宋体" w:hAnsi="宋体"/>
          <w:szCs w:val="21"/>
        </w:rPr>
      </w:pPr>
      <w:bookmarkStart w:id="74" w:name="_Toc398"/>
      <w:r>
        <w:rPr>
          <w:rFonts w:hint="eastAsia" w:ascii="宋体" w:hAnsi="宋体"/>
          <w:szCs w:val="21"/>
        </w:rPr>
        <w:t>6.建库监督机构：广州发展集团股份有限公司招标管理部</w:t>
      </w:r>
      <w:bookmarkEnd w:id="74"/>
      <w:r>
        <w:rPr>
          <w:rFonts w:hint="eastAsia" w:ascii="宋体" w:hAnsi="宋体"/>
          <w:szCs w:val="21"/>
        </w:rPr>
        <w:t xml:space="preserve">  </w:t>
      </w:r>
    </w:p>
    <w:p>
      <w:pPr>
        <w:adjustRightInd/>
        <w:snapToGrid/>
        <w:spacing w:line="360" w:lineRule="auto"/>
        <w:ind w:firstLine="420" w:firstLineChars="200"/>
        <w:outlineLvl w:val="9"/>
        <w:rPr>
          <w:rFonts w:hint="eastAsia" w:ascii="宋体" w:hAnsi="宋体"/>
          <w:szCs w:val="21"/>
          <w:lang w:bidi="ar"/>
        </w:rPr>
      </w:pPr>
      <w:bookmarkStart w:id="75" w:name="_Toc26062"/>
      <w:r>
        <w:rPr>
          <w:rFonts w:hint="eastAsia" w:ascii="宋体" w:hAnsi="宋体"/>
          <w:szCs w:val="21"/>
          <w:lang w:bidi="ar"/>
        </w:rPr>
        <w:t>投诉电话：020-37850890</w:t>
      </w:r>
      <w:bookmarkEnd w:id="75"/>
    </w:p>
    <w:p>
      <w:pPr>
        <w:pStyle w:val="3"/>
        <w:spacing w:line="360" w:lineRule="auto"/>
        <w:ind w:left="0" w:firstLine="482" w:firstLineChars="200"/>
        <w:rPr>
          <w:color w:val="auto"/>
          <w:sz w:val="24"/>
        </w:rPr>
      </w:pPr>
      <w:bookmarkStart w:id="76" w:name="_Toc27594"/>
      <w:bookmarkStart w:id="77" w:name="_Toc8190"/>
      <w:bookmarkStart w:id="78" w:name="_Toc13341"/>
      <w:bookmarkStart w:id="79" w:name="_Toc475"/>
      <w:bookmarkStart w:id="80" w:name="_Toc18078"/>
      <w:bookmarkStart w:id="81" w:name="_Toc10035"/>
      <w:bookmarkStart w:id="82" w:name="_Toc11450"/>
      <w:bookmarkStart w:id="83" w:name="_Toc10897"/>
      <w:bookmarkStart w:id="84" w:name="_Toc28438"/>
      <w:bookmarkStart w:id="85" w:name="_Toc32155"/>
      <w:bookmarkStart w:id="86" w:name="_Toc22504"/>
      <w:bookmarkStart w:id="87" w:name="_Toc26425"/>
      <w:bookmarkStart w:id="88" w:name="_Toc16947"/>
      <w:bookmarkStart w:id="89" w:name="_Toc22067"/>
      <w:bookmarkStart w:id="90" w:name="_Toc20540"/>
      <w:bookmarkStart w:id="91" w:name="_Toc32756"/>
      <w:bookmarkStart w:id="92" w:name="_Toc9967"/>
      <w:bookmarkStart w:id="93" w:name="_Toc20675"/>
      <w:bookmarkStart w:id="94" w:name="_Toc7248"/>
      <w:bookmarkStart w:id="95" w:name="_Toc3610"/>
      <w:bookmarkStart w:id="96" w:name="_Toc4920"/>
      <w:bookmarkStart w:id="97" w:name="_Toc18329"/>
      <w:bookmarkStart w:id="98" w:name="_Toc2300"/>
      <w:bookmarkStart w:id="99" w:name="_Toc19308"/>
      <w:bookmarkStart w:id="100" w:name="_Toc19783"/>
      <w:bookmarkStart w:id="101" w:name="_Toc23419"/>
      <w:bookmarkStart w:id="102" w:name="_Toc14680"/>
      <w:bookmarkStart w:id="103" w:name="_Toc13603"/>
      <w:bookmarkStart w:id="104" w:name="_Toc3100"/>
      <w:bookmarkStart w:id="105" w:name="_Toc15099"/>
      <w:bookmarkStart w:id="106" w:name="_Toc1514"/>
      <w:bookmarkStart w:id="107" w:name="_Toc19605"/>
      <w:bookmarkStart w:id="108" w:name="_Toc21296"/>
      <w:bookmarkStart w:id="109" w:name="_Toc13225"/>
      <w:r>
        <w:rPr>
          <w:rFonts w:hint="eastAsia"/>
          <w:color w:val="auto"/>
          <w:sz w:val="24"/>
        </w:rPr>
        <w:t>二、承包范围</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13"/>
        <w:ind w:firstLine="420"/>
        <w:rPr>
          <w:rFonts w:hint="eastAsia" w:ascii="宋体" w:hAnsi="宋体"/>
          <w:sz w:val="21"/>
          <w:szCs w:val="21"/>
        </w:rPr>
      </w:pPr>
      <w:r>
        <w:rPr>
          <w:rFonts w:hint="eastAsia" w:ascii="宋体" w:hAnsi="宋体"/>
          <w:sz w:val="21"/>
          <w:szCs w:val="21"/>
        </w:rPr>
        <w:t>入库人须向建库人提供包括但不限于光伏组件、逆变器、支架、电缆、配电设备采购、设备安装、调试及试运行及相关服务（相关服务包含但不限于：入库人负责收集项目信息并报建库人审核确定、协助建库人与农户、工商业厂房、公共建筑物及闲置公共场地产权人签订租赁协议、项目落地后设备的生产、运输、保管、装卸、安装调试、验收及为保证具体项目能正常投运发电所必须的其他相关的一切服务等）等以及具体承包项目的首年运维工作，并承担全部相关费用。</w:t>
      </w:r>
    </w:p>
    <w:p>
      <w:pPr>
        <w:pStyle w:val="3"/>
        <w:spacing w:line="360" w:lineRule="auto"/>
        <w:ind w:left="0" w:firstLine="241" w:firstLineChars="100"/>
        <w:rPr>
          <w:color w:val="auto"/>
          <w:sz w:val="24"/>
        </w:rPr>
      </w:pPr>
      <w:bookmarkStart w:id="110" w:name="_Toc31541"/>
      <w:bookmarkStart w:id="111" w:name="_Toc2673"/>
      <w:bookmarkStart w:id="112" w:name="_Toc5539"/>
      <w:bookmarkStart w:id="113" w:name="_Toc1217"/>
      <w:bookmarkStart w:id="114" w:name="_Toc26988"/>
      <w:bookmarkStart w:id="115" w:name="_Toc3615"/>
      <w:bookmarkStart w:id="116" w:name="_Toc31451"/>
      <w:bookmarkStart w:id="117" w:name="_Toc21173"/>
      <w:bookmarkStart w:id="118" w:name="_Toc24586"/>
      <w:bookmarkStart w:id="119" w:name="_Toc22759"/>
      <w:bookmarkStart w:id="120" w:name="_Toc7023"/>
      <w:bookmarkStart w:id="121" w:name="_Toc13407"/>
      <w:bookmarkStart w:id="122" w:name="_Toc17120"/>
      <w:bookmarkStart w:id="123" w:name="_Toc11004"/>
      <w:bookmarkStart w:id="124" w:name="_Toc26435"/>
      <w:bookmarkStart w:id="125" w:name="_Toc10894"/>
      <w:bookmarkStart w:id="126" w:name="_Toc3241"/>
      <w:bookmarkStart w:id="127" w:name="_Toc25985"/>
      <w:bookmarkStart w:id="128" w:name="_Toc16576"/>
      <w:bookmarkStart w:id="129" w:name="_Toc19037"/>
      <w:bookmarkStart w:id="130" w:name="_Toc21929"/>
      <w:bookmarkStart w:id="131" w:name="_Toc19789"/>
      <w:bookmarkStart w:id="132" w:name="_Toc20785"/>
      <w:bookmarkStart w:id="133" w:name="_Toc12392"/>
      <w:bookmarkStart w:id="134" w:name="_Toc28351"/>
      <w:bookmarkStart w:id="135" w:name="_Toc26102"/>
      <w:bookmarkStart w:id="136" w:name="_Toc31183"/>
      <w:bookmarkStart w:id="137" w:name="_Toc1843"/>
      <w:bookmarkStart w:id="138" w:name="_Toc9505"/>
      <w:bookmarkStart w:id="139" w:name="_Toc9687"/>
      <w:bookmarkStart w:id="140" w:name="_Toc10220"/>
      <w:bookmarkStart w:id="141" w:name="_Toc13143"/>
      <w:bookmarkStart w:id="142" w:name="_Toc5668"/>
      <w:bookmarkStart w:id="143" w:name="_Toc13142"/>
      <w:bookmarkStart w:id="144" w:name="_Toc28440"/>
      <w:r>
        <w:rPr>
          <w:rFonts w:hint="eastAsia"/>
          <w:color w:val="auto"/>
          <w:sz w:val="24"/>
        </w:rPr>
        <w:t>三、建库数量</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color w:val="auto"/>
          <w:sz w:val="24"/>
        </w:rPr>
        <w:t>及相关内容</w:t>
      </w: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1.本批次建库按区域划分为二个区域企业库，每个区域企业库具体划分区域及具体区域的总装机容量上限如下：</w:t>
      </w:r>
    </w:p>
    <w:p>
      <w:pPr>
        <w:snapToGrid w:val="0"/>
        <w:spacing w:line="360" w:lineRule="auto"/>
        <w:jc w:val="left"/>
      </w:pPr>
      <w:r>
        <w:rPr>
          <w:rFonts w:hint="eastAsia" w:ascii="宋体" w:hAnsi="宋体"/>
          <w:b/>
          <w:bCs/>
          <w:szCs w:val="21"/>
        </w:rPr>
        <w:t>（1）</w:t>
      </w:r>
      <w:bookmarkStart w:id="145" w:name="OLE_LINK10"/>
      <w:r>
        <w:rPr>
          <w:rFonts w:hint="eastAsia" w:ascii="宋体" w:hAnsi="宋体"/>
          <w:b/>
          <w:bCs/>
          <w:szCs w:val="21"/>
        </w:rPr>
        <w:t>区域企业库一：</w:t>
      </w:r>
      <w:r>
        <w:rPr>
          <w:rFonts w:hint="eastAsia" w:ascii="宋体" w:hAnsi="宋体"/>
          <w:b/>
          <w:bCs/>
          <w:szCs w:val="21"/>
          <w:lang w:val="en-US" w:eastAsia="zh-CN"/>
        </w:rPr>
        <w:t>河北</w:t>
      </w:r>
      <w:r>
        <w:rPr>
          <w:rFonts w:hint="eastAsia" w:ascii="宋体" w:hAnsi="宋体"/>
          <w:b/>
          <w:bCs/>
          <w:szCs w:val="21"/>
        </w:rPr>
        <w:t>区域企业库</w:t>
      </w:r>
      <w:bookmarkEnd w:id="145"/>
    </w:p>
    <w:tbl>
      <w:tblPr>
        <w:tblStyle w:val="11"/>
        <w:tblW w:w="4998" w:type="pct"/>
        <w:tblInd w:w="0" w:type="dxa"/>
        <w:tblLayout w:type="autofit"/>
        <w:tblCellMar>
          <w:top w:w="0" w:type="dxa"/>
          <w:left w:w="108" w:type="dxa"/>
          <w:bottom w:w="0" w:type="dxa"/>
          <w:right w:w="108" w:type="dxa"/>
        </w:tblCellMar>
      </w:tblPr>
      <w:tblGrid>
        <w:gridCol w:w="740"/>
        <w:gridCol w:w="3487"/>
        <w:gridCol w:w="2773"/>
        <w:gridCol w:w="1519"/>
      </w:tblGrid>
      <w:tr>
        <w:trPr>
          <w:trHeight w:val="397" w:hRule="atLeast"/>
        </w:trPr>
        <w:tc>
          <w:tcPr>
            <w:tcW w:w="74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序号</w:t>
            </w:r>
          </w:p>
        </w:tc>
        <w:tc>
          <w:tcPr>
            <w:tcW w:w="348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具体区域</w:t>
            </w:r>
          </w:p>
        </w:tc>
        <w:tc>
          <w:tcPr>
            <w:tcW w:w="27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总装机容量</w:t>
            </w:r>
            <w:r>
              <w:rPr>
                <w:rFonts w:hint="eastAsia" w:ascii="宋体" w:hAnsi="宋体" w:cs="宋体"/>
                <w:kern w:val="0"/>
                <w:szCs w:val="21"/>
                <w:shd w:val="clear" w:color="auto" w:fill="FFFFFF"/>
                <w:lang w:bidi="ar"/>
              </w:rPr>
              <w:t>上限</w:t>
            </w:r>
            <w:r>
              <w:rPr>
                <w:rFonts w:hint="eastAsia" w:ascii="宋体" w:hAnsi="宋体" w:cs="宋体"/>
                <w:kern w:val="0"/>
                <w:szCs w:val="21"/>
                <w:lang w:bidi="ar"/>
              </w:rPr>
              <w:t>（MWp）</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产品类型</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1</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唐山市丰润区</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唐山市丰润区</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3</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唐山市丰润区</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4</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唐山市迁安市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5</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唐山市迁安市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5</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唐山市遵化市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6</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唐山市遵化市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7</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唐山市遵化市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8</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邯郸市魏县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9</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邯郸市魏县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10</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邯郸市魏县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11</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邯郸市磁县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12</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邯郸市磁县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13</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邯郸市磁县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14</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邯郸市邯郸新区</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15</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邯郸市邯郸新区</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16</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邯郸市邯郸新区</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17</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邯郸市大名县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18</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邯郸市大名县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19</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邯郸市大名县</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20</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保定市涿州市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庭院式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21</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保定市涿州市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阵列式</w:t>
            </w:r>
          </w:p>
        </w:tc>
      </w:tr>
      <w:tr>
        <w:tblPrEx>
          <w:tblCellMar>
            <w:top w:w="0" w:type="dxa"/>
            <w:left w:w="108" w:type="dxa"/>
            <w:bottom w:w="0" w:type="dxa"/>
            <w:right w:w="108" w:type="dxa"/>
          </w:tblCellMar>
        </w:tblPrEx>
        <w:trPr>
          <w:trHeight w:val="397"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22</w:t>
            </w:r>
          </w:p>
        </w:tc>
        <w:tc>
          <w:tcPr>
            <w:tcW w:w="34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保定市涿州市</w:t>
            </w:r>
          </w:p>
        </w:tc>
        <w:tc>
          <w:tcPr>
            <w:tcW w:w="277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blPrEx>
          <w:tblCellMar>
            <w:top w:w="0" w:type="dxa"/>
            <w:left w:w="108" w:type="dxa"/>
            <w:bottom w:w="0" w:type="dxa"/>
            <w:right w:w="108" w:type="dxa"/>
          </w:tblCellMar>
        </w:tblPrEx>
        <w:trPr>
          <w:trHeight w:val="397" w:hRule="atLeast"/>
        </w:trPr>
        <w:tc>
          <w:tcPr>
            <w:tcW w:w="4227" w:type="dxa"/>
            <w:gridSpan w:val="2"/>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合计</w:t>
            </w:r>
          </w:p>
        </w:tc>
        <w:tc>
          <w:tcPr>
            <w:tcW w:w="2773"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246</w:t>
            </w:r>
          </w:p>
        </w:tc>
        <w:tc>
          <w:tcPr>
            <w:tcW w:w="151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kern w:val="0"/>
                <w:szCs w:val="21"/>
                <w:lang w:val="en-US" w:bidi="ar"/>
              </w:rPr>
            </w:pPr>
          </w:p>
        </w:tc>
      </w:tr>
    </w:tbl>
    <w:p>
      <w:pPr>
        <w:snapToGrid w:val="0"/>
        <w:spacing w:line="360" w:lineRule="auto"/>
        <w:jc w:val="left"/>
        <w:rPr>
          <w:rFonts w:hint="eastAsia" w:ascii="宋体" w:hAnsi="宋体"/>
          <w:b/>
          <w:bCs/>
          <w:szCs w:val="21"/>
        </w:rPr>
      </w:pPr>
    </w:p>
    <w:p>
      <w:pPr>
        <w:snapToGrid w:val="0"/>
        <w:spacing w:line="360" w:lineRule="auto"/>
        <w:jc w:val="left"/>
        <w:rPr>
          <w:rFonts w:hint="eastAsia" w:ascii="宋体" w:hAnsi="宋体"/>
          <w:b/>
          <w:bCs/>
          <w:szCs w:val="21"/>
        </w:rPr>
      </w:pPr>
      <w:r>
        <w:rPr>
          <w:rFonts w:hint="eastAsia" w:ascii="宋体" w:hAnsi="宋体"/>
          <w:b/>
          <w:bCs/>
          <w:szCs w:val="21"/>
        </w:rPr>
        <w:t>（2）</w:t>
      </w:r>
      <w:bookmarkStart w:id="146" w:name="OLE_LINK2"/>
      <w:r>
        <w:rPr>
          <w:rFonts w:hint="eastAsia" w:ascii="宋体" w:hAnsi="宋体"/>
          <w:b/>
          <w:bCs/>
          <w:szCs w:val="21"/>
        </w:rPr>
        <w:t>区域企业库二：苏皖浙湘鄂区域企业库</w:t>
      </w:r>
      <w:bookmarkEnd w:id="146"/>
    </w:p>
    <w:tbl>
      <w:tblPr>
        <w:tblStyle w:val="11"/>
        <w:tblW w:w="4998" w:type="pct"/>
        <w:tblInd w:w="0" w:type="dxa"/>
        <w:tblLayout w:type="autofit"/>
        <w:tblCellMar>
          <w:top w:w="0" w:type="dxa"/>
          <w:left w:w="108" w:type="dxa"/>
          <w:bottom w:w="0" w:type="dxa"/>
          <w:right w:w="108" w:type="dxa"/>
        </w:tblCellMar>
      </w:tblPr>
      <w:tblGrid>
        <w:gridCol w:w="760"/>
        <w:gridCol w:w="3420"/>
        <w:gridCol w:w="2652"/>
        <w:gridCol w:w="1687"/>
      </w:tblGrid>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序号</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具体区域</w:t>
            </w:r>
          </w:p>
        </w:tc>
        <w:tc>
          <w:tcPr>
            <w:tcW w:w="155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总装机容量</w:t>
            </w:r>
            <w:r>
              <w:rPr>
                <w:rFonts w:hint="eastAsia" w:ascii="宋体" w:hAnsi="宋体" w:cs="宋体"/>
                <w:kern w:val="0"/>
                <w:szCs w:val="21"/>
                <w:shd w:val="clear" w:color="auto" w:fill="FFFFFF"/>
                <w:lang w:bidi="ar"/>
              </w:rPr>
              <w:t>上限</w:t>
            </w:r>
            <w:r>
              <w:rPr>
                <w:rFonts w:hint="eastAsia" w:ascii="宋体" w:hAnsi="宋体" w:cs="宋体"/>
                <w:kern w:val="0"/>
                <w:szCs w:val="21"/>
                <w:lang w:bidi="ar"/>
              </w:rPr>
              <w:t>（MWp）</w:t>
            </w:r>
          </w:p>
        </w:tc>
        <w:tc>
          <w:tcPr>
            <w:tcW w:w="9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产品类型</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怀化市沅陵县</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湖南省湘潭市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湖北省宜昌市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4</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湖北省黄石市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5</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湖北省十堰市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湖北省咸宁市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7</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安徽省合肥市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8</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安徽省毫州市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9</w:t>
            </w:r>
          </w:p>
        </w:tc>
        <w:tc>
          <w:tcPr>
            <w:tcW w:w="20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安徽省阜阳市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10</w:t>
            </w:r>
          </w:p>
        </w:tc>
        <w:tc>
          <w:tcPr>
            <w:tcW w:w="2006"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安徽省马鞍山市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11</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安徽省淮北市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安徽省淮南市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13</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安徽省安庆市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14</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安徽省芜湖市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15</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安徽省铜陵市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16</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安徽省池州市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17</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安徽省蚌埠市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18</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安徽省滁州市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19</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安徽省黄山市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20</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安徽省宿州市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21</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安徽省宣城市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12</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阳光棚、南北坡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22</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浙江嘉兴市、金华市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15</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阳光棚</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23</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浙江嘉兴市、金华市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17</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bidi="ar"/>
              </w:rPr>
              <w:t>2</w:t>
            </w:r>
            <w:r>
              <w:rPr>
                <w:rFonts w:hint="eastAsia" w:ascii="宋体" w:hAnsi="宋体" w:cs="宋体"/>
                <w:kern w:val="0"/>
                <w:szCs w:val="21"/>
                <w:lang w:val="en-US" w:eastAsia="zh-CN" w:bidi="ar"/>
              </w:rPr>
              <w:t>4</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浙江绍兴市、宁波市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15</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阳光棚</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25</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浙江绍兴市、宁波市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17</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bidi="ar"/>
              </w:rPr>
              <w:t>2</w:t>
            </w:r>
            <w:r>
              <w:rPr>
                <w:rFonts w:hint="eastAsia" w:ascii="宋体" w:hAnsi="宋体" w:cs="宋体"/>
                <w:kern w:val="0"/>
                <w:szCs w:val="21"/>
                <w:lang w:val="en-US" w:eastAsia="zh-CN" w:bidi="ar"/>
              </w:rPr>
              <w:t>6</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淮安市金湖县、洪泽县、盱眙县、涟水县、淮阴区、淮安区；</w:t>
            </w:r>
            <w:r>
              <w:rPr>
                <w:rFonts w:hint="eastAsia" w:ascii="宋体" w:hAnsi="宋体" w:cs="宋体"/>
                <w:kern w:val="0"/>
                <w:szCs w:val="21"/>
                <w:lang w:bidi="ar"/>
              </w:rPr>
              <w:br w:type="textWrapping"/>
            </w:r>
            <w:r>
              <w:rPr>
                <w:rFonts w:hint="eastAsia" w:ascii="宋体" w:hAnsi="宋体" w:cs="宋体"/>
                <w:kern w:val="0"/>
                <w:szCs w:val="21"/>
                <w:lang w:bidi="ar"/>
              </w:rPr>
              <w:t>徐州市丰县、沛县、邳州市、铜山区、贾汪区、睢宁县、新沂市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13</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阳光棚</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27</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淮安市金湖县、洪泽县、盱眙县、涟水县、淮阴区、淮安区；</w:t>
            </w:r>
            <w:r>
              <w:rPr>
                <w:rFonts w:hint="eastAsia" w:ascii="宋体" w:hAnsi="宋体" w:cs="宋体"/>
                <w:kern w:val="0"/>
                <w:szCs w:val="21"/>
                <w:lang w:bidi="ar"/>
              </w:rPr>
              <w:br w:type="textWrapping"/>
            </w:r>
            <w:r>
              <w:rPr>
                <w:rFonts w:hint="eastAsia" w:ascii="宋体" w:hAnsi="宋体" w:cs="宋体"/>
                <w:kern w:val="0"/>
                <w:szCs w:val="21"/>
                <w:lang w:bidi="ar"/>
              </w:rPr>
              <w:t>徐州市丰县、沛县、邳州市、铜山区、贾汪区、睢宁县、新沂市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15</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i w:val="0"/>
                <w:iCs w:val="0"/>
                <w:color w:val="000000"/>
                <w:kern w:val="0"/>
                <w:sz w:val="21"/>
                <w:szCs w:val="21"/>
                <w:u w:val="none"/>
                <w:lang w:val="en-US" w:eastAsia="zh-CN" w:bidi="ar"/>
              </w:rPr>
              <w:t>阵列式</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28</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淮安市金湖县、洪泽县、盱眙县、涟水县、淮阴区、淮安区；</w:t>
            </w:r>
            <w:r>
              <w:rPr>
                <w:rFonts w:hint="eastAsia" w:ascii="宋体" w:hAnsi="宋体" w:cs="宋体"/>
                <w:kern w:val="0"/>
                <w:szCs w:val="21"/>
                <w:lang w:bidi="ar"/>
              </w:rPr>
              <w:br w:type="textWrapping"/>
            </w:r>
            <w:r>
              <w:rPr>
                <w:rFonts w:hint="eastAsia" w:ascii="宋体" w:hAnsi="宋体" w:cs="宋体"/>
                <w:kern w:val="0"/>
                <w:szCs w:val="21"/>
                <w:lang w:bidi="ar"/>
              </w:rPr>
              <w:t>徐州市丰县、沛县、邳州市、铜山区、贾汪区、睢宁县、新沂市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17</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bidi="ar"/>
              </w:rPr>
              <w:t>2</w:t>
            </w:r>
            <w:r>
              <w:rPr>
                <w:rFonts w:hint="eastAsia" w:ascii="宋体" w:hAnsi="宋体" w:cs="宋体"/>
                <w:kern w:val="0"/>
                <w:szCs w:val="21"/>
                <w:lang w:val="en-US" w:eastAsia="zh-CN" w:bidi="ar"/>
              </w:rPr>
              <w:t>9</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盐城市、宿迁市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13</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i w:val="0"/>
                <w:iCs w:val="0"/>
                <w:color w:val="000000"/>
                <w:kern w:val="0"/>
                <w:sz w:val="21"/>
                <w:szCs w:val="21"/>
                <w:u w:val="none"/>
                <w:lang w:val="en-US" w:eastAsia="zh-CN" w:bidi="ar"/>
              </w:rPr>
              <w:t>阳光棚</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30</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盐城市、宿迁市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15</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i w:val="0"/>
                <w:iCs w:val="0"/>
                <w:color w:val="000000"/>
                <w:kern w:val="0"/>
                <w:sz w:val="21"/>
                <w:szCs w:val="21"/>
                <w:u w:val="none"/>
                <w:lang w:val="en-US" w:eastAsia="zh-CN" w:bidi="ar"/>
              </w:rPr>
              <w:t>阵列式</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31</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盐城市、宿迁市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17</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32</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南京市、镇江市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14</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阳光棚</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33</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南京市、镇江市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16</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i w:val="0"/>
                <w:iCs w:val="0"/>
                <w:color w:val="000000"/>
                <w:kern w:val="0"/>
                <w:sz w:val="21"/>
                <w:szCs w:val="21"/>
                <w:u w:val="none"/>
                <w:lang w:val="en-US" w:eastAsia="zh-CN" w:bidi="ar"/>
              </w:rPr>
              <w:t>阵列式</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34</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南京市、镇江市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17</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i w:val="0"/>
                <w:iCs w:val="0"/>
                <w:color w:val="000000"/>
                <w:kern w:val="0"/>
                <w:sz w:val="21"/>
                <w:szCs w:val="21"/>
                <w:u w:val="none"/>
                <w:lang w:val="en-US" w:eastAsia="zh-CN" w:bidi="ar"/>
              </w:rPr>
              <w:t>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35</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南通市、扬州市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16</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i w:val="0"/>
                <w:iCs w:val="0"/>
                <w:color w:val="000000"/>
                <w:kern w:val="0"/>
                <w:sz w:val="21"/>
                <w:szCs w:val="21"/>
                <w:u w:val="none"/>
                <w:lang w:val="en-US" w:eastAsia="zh-CN" w:bidi="ar"/>
              </w:rPr>
              <w:t>阵列式</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36</w:t>
            </w:r>
          </w:p>
        </w:tc>
        <w:tc>
          <w:tcPr>
            <w:tcW w:w="200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南通市、扬州市</w:t>
            </w:r>
          </w:p>
        </w:tc>
        <w:tc>
          <w:tcPr>
            <w:tcW w:w="1556" w:type="pct"/>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17</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i w:val="0"/>
                <w:iCs w:val="0"/>
                <w:color w:val="000000"/>
                <w:kern w:val="0"/>
                <w:sz w:val="21"/>
                <w:szCs w:val="21"/>
                <w:u w:val="none"/>
                <w:lang w:val="en-US" w:eastAsia="zh-CN" w:bidi="ar"/>
              </w:rPr>
              <w:t>南北坡</w:t>
            </w:r>
          </w:p>
        </w:tc>
      </w:tr>
      <w:tr>
        <w:tblPrEx>
          <w:tblCellMar>
            <w:top w:w="0" w:type="dxa"/>
            <w:left w:w="108" w:type="dxa"/>
            <w:bottom w:w="0" w:type="dxa"/>
            <w:right w:w="108" w:type="dxa"/>
          </w:tblCellMar>
        </w:tblPrEx>
        <w:trPr>
          <w:trHeight w:val="397" w:hRule="atLeast"/>
        </w:trPr>
        <w:tc>
          <w:tcPr>
            <w:tcW w:w="446"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28</w:t>
            </w:r>
          </w:p>
        </w:tc>
        <w:tc>
          <w:tcPr>
            <w:tcW w:w="2006"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南通市启东市、海门市、海安市、通州市、如皋市、如东县，扬州市</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13</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阳光棚</w:t>
            </w:r>
          </w:p>
        </w:tc>
      </w:tr>
      <w:tr>
        <w:tblPrEx>
          <w:tblCellMar>
            <w:top w:w="0" w:type="dxa"/>
            <w:left w:w="108" w:type="dxa"/>
            <w:bottom w:w="0" w:type="dxa"/>
            <w:right w:w="108" w:type="dxa"/>
          </w:tblCellMar>
        </w:tblPrEx>
        <w:trPr>
          <w:trHeight w:val="397" w:hRule="atLeast"/>
        </w:trPr>
        <w:tc>
          <w:tcPr>
            <w:tcW w:w="245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合计</w:t>
            </w:r>
          </w:p>
        </w:tc>
        <w:tc>
          <w:tcPr>
            <w:tcW w:w="15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499</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Cs w:val="21"/>
                <w:lang w:bidi="ar"/>
              </w:rPr>
            </w:pPr>
          </w:p>
        </w:tc>
      </w:tr>
    </w:tbl>
    <w:p>
      <w:pPr>
        <w:adjustRightInd w:val="0"/>
        <w:snapToGrid w:val="0"/>
        <w:spacing w:line="360" w:lineRule="auto"/>
        <w:ind w:left="399" w:leftChars="190"/>
        <w:rPr>
          <w:rFonts w:hint="eastAsia" w:ascii="宋体" w:hAnsi="宋体"/>
          <w:szCs w:val="21"/>
        </w:rPr>
      </w:pPr>
      <w:r>
        <w:rPr>
          <w:rFonts w:hint="eastAsia" w:ascii="宋体" w:hAnsi="宋体"/>
          <w:b/>
          <w:bCs/>
          <w:szCs w:val="21"/>
        </w:rPr>
        <w:t>注：表中具体区域的总装机容量上限为该具体区域所有承包人的实际工程总量合计上限。各承包人的移交工程量以实际为准，建库单位对实际工程量不作任何承诺。</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2.企业库入库申请人数量：</w:t>
      </w:r>
    </w:p>
    <w:p>
      <w:pPr>
        <w:adjustRightInd w:val="0"/>
        <w:snapToGrid w:val="0"/>
        <w:spacing w:line="360" w:lineRule="auto"/>
        <w:ind w:firstLine="420" w:firstLineChars="200"/>
        <w:rPr>
          <w:rFonts w:hint="eastAsia" w:ascii="宋体" w:hAnsi="宋体"/>
          <w:b/>
          <w:bCs/>
          <w:szCs w:val="21"/>
        </w:rPr>
      </w:pPr>
      <w:r>
        <w:rPr>
          <w:rFonts w:hint="eastAsia" w:ascii="宋体" w:hAnsi="宋体"/>
          <w:szCs w:val="21"/>
        </w:rPr>
        <w:t>入库申请人按两个</w:t>
      </w:r>
      <w:r>
        <w:rPr>
          <w:rFonts w:hint="eastAsia" w:ascii="宋体" w:hAnsi="宋体"/>
          <w:b/>
          <w:bCs/>
          <w:szCs w:val="21"/>
        </w:rPr>
        <w:t>区域企业库</w:t>
      </w:r>
      <w:r>
        <w:rPr>
          <w:rFonts w:hint="eastAsia" w:ascii="宋体" w:hAnsi="宋体"/>
          <w:szCs w:val="21"/>
        </w:rPr>
        <w:t>分别申请入库，每个</w:t>
      </w:r>
      <w:r>
        <w:rPr>
          <w:rFonts w:hint="eastAsia" w:ascii="宋体" w:hAnsi="宋体"/>
          <w:b/>
          <w:bCs/>
          <w:szCs w:val="21"/>
        </w:rPr>
        <w:t>区域企业库按如下规则确定入库人数量：</w:t>
      </w: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（1）当某个区域企业库的有效入库申请人不足5家时，则该区域企业库本次建库失败；</w:t>
      </w: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（2）</w:t>
      </w:r>
      <w:r>
        <w:rPr>
          <w:rFonts w:ascii="宋体" w:hAnsi="宋体"/>
          <w:b/>
          <w:bCs/>
          <w:szCs w:val="21"/>
        </w:rPr>
        <w:t>当某个</w:t>
      </w:r>
      <w:r>
        <w:rPr>
          <w:rFonts w:hint="eastAsia" w:ascii="宋体" w:hAnsi="宋体"/>
          <w:b/>
          <w:bCs/>
          <w:szCs w:val="21"/>
        </w:rPr>
        <w:t>区域企业库的有效入库申请人超过5家（含5家）不足12家时，则选取（N-2）家单位入库，其中N为有效入库申请人；</w:t>
      </w:r>
    </w:p>
    <w:p>
      <w:pPr>
        <w:adjustRightInd w:val="0"/>
        <w:snapToGrid w:val="0"/>
        <w:spacing w:line="360" w:lineRule="auto"/>
        <w:ind w:firstLine="422" w:firstLineChars="200"/>
        <w:rPr>
          <w:rFonts w:hint="eastAsia" w:ascii="宋体" w:hAnsi="宋体"/>
          <w:szCs w:val="21"/>
        </w:rPr>
      </w:pPr>
      <w:r>
        <w:rPr>
          <w:rFonts w:hint="eastAsia" w:ascii="宋体" w:hAnsi="宋体"/>
          <w:b/>
          <w:bCs/>
          <w:szCs w:val="21"/>
        </w:rPr>
        <w:t>（3）当</w:t>
      </w:r>
      <w:r>
        <w:rPr>
          <w:rFonts w:ascii="宋体" w:hAnsi="宋体"/>
          <w:b/>
          <w:bCs/>
          <w:szCs w:val="21"/>
        </w:rPr>
        <w:t>某个</w:t>
      </w:r>
      <w:r>
        <w:rPr>
          <w:rFonts w:hint="eastAsia" w:ascii="宋体" w:hAnsi="宋体"/>
          <w:b/>
          <w:bCs/>
          <w:szCs w:val="21"/>
        </w:rPr>
        <w:t>区域企业库的有效入库申请人超过12家（含12家）时，则选取10家入库申请人为该库的入库人。</w:t>
      </w:r>
    </w:p>
    <w:p>
      <w:pPr>
        <w:numPr>
          <w:ilvl w:val="255"/>
          <w:numId w:val="0"/>
        </w:numPr>
        <w:adjustRightInd w:val="0"/>
        <w:snapToGrid w:val="0"/>
        <w:spacing w:line="360" w:lineRule="auto"/>
        <w:ind w:firstLine="420" w:firstLineChars="200"/>
        <w:outlineLvl w:val="2"/>
        <w:rPr>
          <w:rFonts w:hint="eastAsia" w:ascii="宋体" w:hAnsi="宋体"/>
          <w:szCs w:val="21"/>
        </w:rPr>
      </w:pPr>
      <w:bookmarkStart w:id="147" w:name="_Toc11257"/>
      <w:r>
        <w:rPr>
          <w:rFonts w:hint="eastAsia" w:ascii="宋体" w:hAnsi="宋体"/>
          <w:szCs w:val="21"/>
        </w:rPr>
        <w:t>注：具体内容见《评审办法》。</w:t>
      </w:r>
    </w:p>
    <w:p>
      <w:pPr>
        <w:numPr>
          <w:ilvl w:val="255"/>
          <w:numId w:val="0"/>
        </w:numPr>
        <w:adjustRightInd w:val="0"/>
        <w:snapToGrid w:val="0"/>
        <w:spacing w:line="360" w:lineRule="auto"/>
        <w:ind w:firstLine="420" w:firstLineChars="200"/>
        <w:outlineLvl w:val="2"/>
        <w:rPr>
          <w:rFonts w:hint="eastAsia" w:ascii="宋体" w:hAnsi="宋体"/>
          <w:szCs w:val="21"/>
        </w:rPr>
      </w:pPr>
      <w:r>
        <w:rPr>
          <w:rFonts w:hint="eastAsia" w:ascii="宋体" w:hAnsi="宋体"/>
          <w:szCs w:val="21"/>
        </w:rPr>
        <w:t>3.单个子项的承包人产生方式：</w:t>
      </w:r>
      <w:bookmarkEnd w:id="147"/>
      <w:r>
        <w:rPr>
          <w:rFonts w:hint="eastAsia" w:ascii="宋体" w:hAnsi="宋体"/>
          <w:szCs w:val="21"/>
        </w:rPr>
        <w:t>承包人所承包的</w:t>
      </w:r>
      <w:bookmarkStart w:id="148" w:name="_Toc24825"/>
      <w:r>
        <w:rPr>
          <w:rFonts w:hint="eastAsia" w:ascii="宋体" w:hAnsi="宋体"/>
          <w:szCs w:val="21"/>
        </w:rPr>
        <w:t>工作量以实际发生的工程量为准，发包人对承包人的实际工程量不作任何承诺，具体内容见合同附件。</w:t>
      </w:r>
      <w:bookmarkEnd w:id="148"/>
    </w:p>
    <w:p>
      <w:pPr>
        <w:numPr>
          <w:ilvl w:val="255"/>
          <w:numId w:val="0"/>
        </w:numPr>
        <w:adjustRightInd w:val="0"/>
        <w:snapToGrid w:val="0"/>
        <w:spacing w:line="360" w:lineRule="auto"/>
        <w:ind w:firstLine="420" w:firstLineChars="200"/>
        <w:outlineLvl w:val="2"/>
        <w:rPr>
          <w:rFonts w:hint="eastAsia" w:ascii="宋体" w:hAnsi="宋体"/>
          <w:szCs w:val="21"/>
        </w:rPr>
      </w:pPr>
      <w:bookmarkStart w:id="149" w:name="_Toc16480"/>
      <w:r>
        <w:rPr>
          <w:rFonts w:hint="eastAsia" w:ascii="宋体" w:hAnsi="宋体"/>
          <w:szCs w:val="21"/>
        </w:rPr>
        <w:t>4.单个子项工期：由具体承包人根据项目实际建设期限需要设定。</w:t>
      </w:r>
      <w:bookmarkEnd w:id="149"/>
    </w:p>
    <w:p>
      <w:pPr>
        <w:adjustRightInd w:val="0"/>
        <w:snapToGrid w:val="0"/>
        <w:spacing w:line="360" w:lineRule="auto"/>
        <w:ind w:firstLine="420" w:firstLineChars="200"/>
        <w:outlineLvl w:val="2"/>
        <w:rPr>
          <w:rFonts w:hint="eastAsia" w:ascii="宋体" w:hAnsi="宋体"/>
          <w:szCs w:val="21"/>
        </w:rPr>
      </w:pPr>
      <w:bookmarkStart w:id="150" w:name="_Toc14986"/>
      <w:bookmarkStart w:id="151" w:name="_Toc17309"/>
      <w:bookmarkStart w:id="152" w:name="_Toc22953"/>
      <w:bookmarkStart w:id="153" w:name="_Toc9400"/>
      <w:bookmarkStart w:id="154" w:name="_Toc2689"/>
      <w:bookmarkStart w:id="155" w:name="_Toc30375"/>
      <w:bookmarkStart w:id="156" w:name="_Toc9264"/>
      <w:bookmarkStart w:id="157" w:name="_Toc14062"/>
      <w:bookmarkStart w:id="158" w:name="_Toc22664"/>
      <w:bookmarkStart w:id="159" w:name="_Toc7830"/>
      <w:bookmarkStart w:id="160" w:name="_Toc19574"/>
      <w:bookmarkStart w:id="161" w:name="_Toc1142"/>
      <w:bookmarkStart w:id="162" w:name="_Toc1490"/>
      <w:bookmarkStart w:id="163" w:name="_Toc19988"/>
      <w:bookmarkStart w:id="164" w:name="_Toc4074"/>
      <w:bookmarkStart w:id="165" w:name="_Toc7039"/>
      <w:bookmarkStart w:id="166" w:name="_Toc21229"/>
      <w:bookmarkStart w:id="167" w:name="_Toc17074"/>
      <w:bookmarkStart w:id="168" w:name="_Toc12088"/>
      <w:bookmarkStart w:id="169" w:name="_Toc10953"/>
      <w:bookmarkStart w:id="170" w:name="_Toc20884"/>
      <w:bookmarkStart w:id="171" w:name="_Toc8601"/>
      <w:bookmarkStart w:id="172" w:name="_Toc32053"/>
      <w:bookmarkStart w:id="173" w:name="_Toc30376"/>
      <w:bookmarkStart w:id="174" w:name="_Toc9598"/>
      <w:bookmarkStart w:id="175" w:name="_Toc18275"/>
      <w:bookmarkStart w:id="176" w:name="_Toc23119"/>
      <w:bookmarkStart w:id="177" w:name="_Toc5060"/>
      <w:bookmarkStart w:id="178" w:name="_Toc1114"/>
      <w:bookmarkStart w:id="179" w:name="_Toc7219"/>
      <w:bookmarkStart w:id="180" w:name="_Toc9088"/>
      <w:bookmarkStart w:id="181" w:name="_Toc1635"/>
      <w:bookmarkStart w:id="182" w:name="_Toc8920"/>
      <w:bookmarkStart w:id="183" w:name="_Toc32412"/>
      <w:r>
        <w:rPr>
          <w:rFonts w:hint="eastAsia" w:ascii="宋体" w:hAnsi="宋体"/>
          <w:szCs w:val="21"/>
        </w:rPr>
        <w:t>5.入库单位展业区域及容量：根据入库申请人的综合得分排名情况以及意向申报区域综合确定，具体规则见合同附件</w:t>
      </w:r>
    </w:p>
    <w:p>
      <w:pPr>
        <w:pStyle w:val="3"/>
        <w:spacing w:line="360" w:lineRule="auto"/>
        <w:ind w:left="0" w:firstLine="482" w:firstLineChars="200"/>
        <w:rPr>
          <w:color w:val="auto"/>
          <w:sz w:val="24"/>
        </w:rPr>
      </w:pPr>
      <w:r>
        <w:rPr>
          <w:rFonts w:hint="eastAsia"/>
          <w:color w:val="auto"/>
          <w:sz w:val="24"/>
        </w:rPr>
        <w:t>四、区域企业库有效期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adjustRightInd w:val="0"/>
        <w:snapToGrid w:val="0"/>
        <w:spacing w:line="360" w:lineRule="auto"/>
        <w:ind w:firstLine="420" w:firstLineChars="200"/>
        <w:outlineLvl w:val="2"/>
        <w:rPr>
          <w:rFonts w:hint="eastAsia" w:ascii="宋体" w:hAnsi="宋体"/>
          <w:szCs w:val="21"/>
        </w:rPr>
      </w:pPr>
      <w:bookmarkStart w:id="184" w:name="_Toc25127"/>
      <w:r>
        <w:rPr>
          <w:rFonts w:hint="eastAsia" w:ascii="宋体" w:hAnsi="宋体"/>
          <w:szCs w:val="21"/>
        </w:rPr>
        <w:t>区域企业库有效期：自合同签订之日起18个月。</w:t>
      </w:r>
      <w:bookmarkEnd w:id="184"/>
    </w:p>
    <w:p>
      <w:pPr>
        <w:adjustRightInd w:val="0"/>
        <w:snapToGrid w:val="0"/>
        <w:spacing w:line="360" w:lineRule="auto"/>
        <w:ind w:firstLine="420" w:firstLineChars="200"/>
        <w:outlineLvl w:val="2"/>
        <w:rPr>
          <w:rFonts w:hint="eastAsia" w:ascii="宋体" w:hAnsi="宋体"/>
          <w:szCs w:val="21"/>
        </w:rPr>
      </w:pPr>
      <w:bookmarkStart w:id="185" w:name="_Toc25507"/>
      <w:r>
        <w:rPr>
          <w:rFonts w:hint="eastAsia" w:ascii="宋体" w:hAnsi="宋体"/>
          <w:szCs w:val="21"/>
        </w:rPr>
        <w:t>运维合同有效期：自验收合格移交给甲方（或甲方指定的单位）之日起一年。</w:t>
      </w:r>
      <w:bookmarkEnd w:id="185"/>
    </w:p>
    <w:p>
      <w:pPr>
        <w:adjustRightInd w:val="0"/>
        <w:snapToGrid w:val="0"/>
        <w:spacing w:line="360" w:lineRule="auto"/>
        <w:ind w:firstLine="482" w:firstLineChars="200"/>
        <w:outlineLvl w:val="1"/>
        <w:rPr>
          <w:rFonts w:hint="eastAsia" w:ascii="宋体" w:hAnsi="宋体"/>
          <w:b/>
          <w:bCs/>
          <w:szCs w:val="21"/>
        </w:rPr>
      </w:pPr>
      <w:bookmarkStart w:id="186" w:name="_Toc12957"/>
      <w:bookmarkStart w:id="187" w:name="_Toc22031"/>
      <w:bookmarkStart w:id="188" w:name="_Toc7873"/>
      <w:bookmarkStart w:id="189" w:name="_Toc7972"/>
      <w:bookmarkStart w:id="190" w:name="_Toc32716"/>
      <w:bookmarkStart w:id="191" w:name="_Toc28779"/>
      <w:bookmarkStart w:id="192" w:name="_Toc24534"/>
      <w:bookmarkStart w:id="193" w:name="_Toc59"/>
      <w:bookmarkStart w:id="194" w:name="_Toc21020"/>
      <w:bookmarkStart w:id="195" w:name="_Toc24967"/>
      <w:bookmarkStart w:id="196" w:name="_Toc32224"/>
      <w:bookmarkStart w:id="197" w:name="_Toc23847"/>
      <w:bookmarkStart w:id="198" w:name="_Toc27290"/>
      <w:bookmarkStart w:id="199" w:name="_Toc19495"/>
      <w:bookmarkStart w:id="200" w:name="_Toc17319"/>
      <w:bookmarkStart w:id="201" w:name="_Toc30813"/>
      <w:bookmarkStart w:id="202" w:name="_Toc30723"/>
      <w:bookmarkStart w:id="203" w:name="_Toc27092"/>
      <w:bookmarkStart w:id="204" w:name="_Toc16743"/>
      <w:bookmarkStart w:id="205" w:name="_Toc21792"/>
      <w:bookmarkStart w:id="206" w:name="_Toc24223"/>
      <w:bookmarkStart w:id="207" w:name="_Toc8776"/>
      <w:bookmarkStart w:id="208" w:name="_Toc5299"/>
      <w:bookmarkStart w:id="209" w:name="_Toc9054"/>
      <w:bookmarkStart w:id="210" w:name="_Toc31776"/>
      <w:bookmarkStart w:id="211" w:name="_Toc6130"/>
      <w:r>
        <w:rPr>
          <w:rFonts w:hint="eastAsia" w:ascii="Arial" w:hAnsi="Arial"/>
          <w:b/>
          <w:kern w:val="0"/>
          <w:sz w:val="24"/>
          <w:szCs w:val="24"/>
        </w:rPr>
        <w:t>五、入库申请人资格条件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adjustRightInd w:val="0"/>
        <w:snapToGrid w:val="0"/>
        <w:spacing w:line="360" w:lineRule="auto"/>
        <w:ind w:firstLine="420" w:firstLineChars="200"/>
        <w:outlineLvl w:val="2"/>
        <w:rPr>
          <w:rFonts w:hint="eastAsia" w:ascii="宋体" w:hAnsi="宋体"/>
          <w:szCs w:val="21"/>
        </w:rPr>
      </w:pPr>
      <w:bookmarkStart w:id="212" w:name="_Toc10011"/>
      <w:bookmarkStart w:id="213" w:name="_Toc20871"/>
      <w:bookmarkStart w:id="214" w:name="_Toc22607"/>
      <w:bookmarkStart w:id="215" w:name="_Toc5440"/>
      <w:r>
        <w:rPr>
          <w:rFonts w:hint="eastAsia" w:ascii="宋体" w:hAnsi="宋体"/>
          <w:szCs w:val="21"/>
        </w:rPr>
        <w:t>1.入库申请人具有明确的入库意愿材料，入库申请人代表被授权有效。</w:t>
      </w:r>
      <w:bookmarkEnd w:id="212"/>
    </w:p>
    <w:p>
      <w:pPr>
        <w:adjustRightInd w:val="0"/>
        <w:snapToGrid w:val="0"/>
        <w:spacing w:line="360" w:lineRule="auto"/>
        <w:ind w:firstLine="420" w:firstLineChars="200"/>
        <w:outlineLvl w:val="2"/>
        <w:rPr>
          <w:rFonts w:hint="eastAsia" w:ascii="宋体" w:hAnsi="宋体"/>
          <w:szCs w:val="21"/>
        </w:rPr>
      </w:pPr>
      <w:bookmarkStart w:id="216" w:name="_Toc6990"/>
      <w:r>
        <w:rPr>
          <w:rFonts w:hint="eastAsia" w:ascii="宋体" w:hAnsi="宋体"/>
          <w:szCs w:val="21"/>
        </w:rPr>
        <w:t>2.入库申请人为依法设立的法人或其他组织，持有工商行政（市场监督）管理部门核发的法人营业执照，按国家法律经营。</w:t>
      </w:r>
      <w:bookmarkEnd w:id="216"/>
    </w:p>
    <w:p>
      <w:pPr>
        <w:adjustRightInd w:val="0"/>
        <w:snapToGrid w:val="0"/>
        <w:spacing w:line="360" w:lineRule="auto"/>
        <w:ind w:firstLine="420" w:firstLineChars="200"/>
        <w:outlineLvl w:val="2"/>
        <w:rPr>
          <w:rFonts w:hint="eastAsia" w:ascii="宋体" w:hAnsi="宋体"/>
          <w:szCs w:val="21"/>
        </w:rPr>
      </w:pPr>
      <w:bookmarkStart w:id="217" w:name="_Toc10195"/>
      <w:r>
        <w:rPr>
          <w:rFonts w:hint="eastAsia" w:ascii="宋体" w:hAnsi="宋体"/>
          <w:szCs w:val="21"/>
        </w:rPr>
        <w:t>3.入库申请人（若为联合体入库，指联合体中承担设计任务方）具有工程设计综合甲级资质，或工程设计电力行业乙级或以上资质，或工程设计电力行业（新能源）专业乙级。</w:t>
      </w:r>
      <w:bookmarkEnd w:id="217"/>
    </w:p>
    <w:p>
      <w:pPr>
        <w:adjustRightInd w:val="0"/>
        <w:snapToGrid w:val="0"/>
        <w:spacing w:line="360" w:lineRule="auto"/>
        <w:ind w:firstLine="420" w:firstLineChars="200"/>
        <w:outlineLvl w:val="2"/>
        <w:rPr>
          <w:rFonts w:hint="eastAsia" w:ascii="宋体" w:hAnsi="宋体" w:cs="宋体"/>
          <w:szCs w:val="21"/>
        </w:rPr>
      </w:pPr>
      <w:r>
        <w:rPr>
          <w:rFonts w:hint="eastAsia" w:ascii="宋体" w:hAnsi="宋体"/>
          <w:szCs w:val="21"/>
        </w:rPr>
        <w:t>4.入库申请人（若为联合体入库，指联合体中</w:t>
      </w:r>
      <w:r>
        <w:rPr>
          <w:rFonts w:hint="eastAsia" w:ascii="宋体" w:hAnsi="宋体"/>
          <w:szCs w:val="21"/>
          <w:lang w:bidi="ar"/>
        </w:rPr>
        <w:t>承担施工任务方</w:t>
      </w:r>
      <w:r>
        <w:rPr>
          <w:rFonts w:hint="eastAsia" w:ascii="宋体" w:hAnsi="宋体"/>
          <w:szCs w:val="21"/>
        </w:rPr>
        <w:t>）</w:t>
      </w:r>
      <w:r>
        <w:rPr>
          <w:rFonts w:hint="eastAsia" w:ascii="宋体" w:hAnsi="宋体" w:cs="宋体"/>
          <w:szCs w:val="21"/>
        </w:rPr>
        <w:t>应具备下列资质：</w:t>
      </w:r>
    </w:p>
    <w:p>
      <w:pPr>
        <w:adjustRightInd w:val="0"/>
        <w:snapToGrid w:val="0"/>
        <w:spacing w:line="360" w:lineRule="auto"/>
        <w:ind w:firstLine="420" w:firstLineChars="200"/>
        <w:outlineLvl w:val="2"/>
        <w:rPr>
          <w:rFonts w:hint="eastAsia" w:ascii="宋体" w:hAnsi="宋体" w:cs="宋体"/>
          <w:szCs w:val="21"/>
        </w:rPr>
      </w:pPr>
      <w:r>
        <w:rPr>
          <w:rFonts w:hint="eastAsia" w:ascii="宋体" w:hAnsi="宋体" w:cs="宋体"/>
          <w:szCs w:val="21"/>
        </w:rPr>
        <w:t>A.持有建设行政主管部门颁发的有效的安全生产许可证；</w:t>
      </w:r>
    </w:p>
    <w:p>
      <w:pPr>
        <w:adjustRightInd w:val="0"/>
        <w:snapToGrid w:val="0"/>
        <w:spacing w:line="360" w:lineRule="auto"/>
        <w:ind w:firstLine="420" w:firstLineChars="200"/>
        <w:outlineLvl w:val="2"/>
        <w:rPr>
          <w:rFonts w:hint="eastAsia" w:ascii="宋体" w:hAnsi="宋体" w:cs="宋体"/>
          <w:szCs w:val="21"/>
        </w:rPr>
      </w:pPr>
      <w:r>
        <w:rPr>
          <w:rFonts w:hint="eastAsia" w:ascii="宋体" w:hAnsi="宋体" w:cs="宋体"/>
          <w:szCs w:val="21"/>
        </w:rPr>
        <w:t>B.电力工程施工总承包三级（或以上）资质。</w:t>
      </w:r>
    </w:p>
    <w:p>
      <w:pPr>
        <w:adjustRightInd w:val="0"/>
        <w:snapToGrid w:val="0"/>
        <w:spacing w:line="360" w:lineRule="auto"/>
        <w:ind w:firstLine="420" w:firstLineChars="200"/>
        <w:outlineLvl w:val="2"/>
        <w:rPr>
          <w:rFonts w:hint="eastAsia" w:ascii="宋体" w:hAnsi="宋体"/>
          <w:szCs w:val="21"/>
        </w:rPr>
      </w:pPr>
      <w:bookmarkStart w:id="218" w:name="_Toc16092"/>
      <w:r>
        <w:rPr>
          <w:rFonts w:hint="eastAsia" w:ascii="宋体" w:hAnsi="宋体"/>
          <w:szCs w:val="21"/>
        </w:rPr>
        <w:t>5.入库申请人（如为联合体入库，指联合体中任何一方）自2021年1月1日起至入库申请截止日期前，至少有一个国内已投运的单项合同</w:t>
      </w:r>
      <w:r>
        <w:rPr>
          <w:rFonts w:hint="eastAsia" w:ascii="宋体" w:hAnsi="宋体"/>
          <w:szCs w:val="21"/>
          <w:lang w:eastAsia="zh"/>
        </w:rPr>
        <w:t>装机</w:t>
      </w:r>
      <w:r>
        <w:rPr>
          <w:rFonts w:hint="eastAsia" w:ascii="宋体" w:hAnsi="宋体"/>
          <w:szCs w:val="21"/>
        </w:rPr>
        <w:t>容量不低于</w:t>
      </w:r>
      <w:r>
        <w:rPr>
          <w:rFonts w:ascii="宋体" w:hAnsi="宋体"/>
          <w:szCs w:val="21"/>
        </w:rPr>
        <w:t>12</w:t>
      </w:r>
      <w:r>
        <w:rPr>
          <w:rFonts w:hint="eastAsia" w:ascii="宋体" w:hAnsi="宋体"/>
          <w:szCs w:val="21"/>
        </w:rPr>
        <w:t>MWp的类似光伏发电系统设备集成业绩，设备集成业绩包括：光伏项目工程总承包（至少包括光伏组件和逆变器的供货内容）或光伏项目设备供货（至少包括光伏组件和逆变器）。</w:t>
      </w:r>
      <w:bookmarkEnd w:id="218"/>
    </w:p>
    <w:p>
      <w:pPr>
        <w:adjustRightInd w:val="0"/>
        <w:snapToGrid w:val="0"/>
        <w:spacing w:line="360" w:lineRule="auto"/>
        <w:ind w:firstLine="420" w:firstLineChars="200"/>
        <w:outlineLvl w:val="2"/>
        <w:rPr>
          <w:rFonts w:hint="eastAsia" w:ascii="宋体" w:hAnsi="宋体"/>
          <w:szCs w:val="21"/>
        </w:rPr>
      </w:pPr>
      <w:bookmarkStart w:id="219" w:name="_Toc7206"/>
      <w:r>
        <w:rPr>
          <w:rFonts w:hint="eastAsia" w:ascii="宋体" w:hAnsi="宋体"/>
          <w:szCs w:val="21"/>
        </w:rPr>
        <w:t>注：上述业绩需提供业绩合同[需提供：合同关键页复印件，合同关键页包括合同首页、签字盖章页和主要内容页]及项目已投运证明材料。其中，①工商业分布式及集中式光伏项目已投运证明包括仅限于以下之一：国家电监会文件、供电文件、工程启动移交签收书、移交鉴定书、投产证明、验收（竣工）报告；②户用类分布式光伏项目已投运证明须提供以下材料：业主方（或项目运营单位）加盖公章的验收文件或</w:t>
      </w:r>
      <w:r>
        <w:rPr>
          <w:rFonts w:hint="eastAsia" w:ascii="宋体" w:hAnsi="宋体"/>
          <w:szCs w:val="21"/>
          <w:lang w:eastAsia="zh"/>
        </w:rPr>
        <w:t>其他足以支撑判断业绩内容及装机容量的证明文件</w:t>
      </w:r>
      <w:r>
        <w:rPr>
          <w:rFonts w:hint="eastAsia" w:ascii="宋体" w:hAnsi="宋体"/>
          <w:szCs w:val="21"/>
        </w:rPr>
        <w:t>（包括但不限于相关结算证明等）。</w:t>
      </w:r>
      <w:bookmarkEnd w:id="219"/>
    </w:p>
    <w:p>
      <w:pPr>
        <w:widowControl/>
        <w:adjustRightInd w:val="0"/>
        <w:snapToGrid w:val="0"/>
        <w:spacing w:line="360" w:lineRule="auto"/>
        <w:ind w:firstLine="420" w:firstLineChars="200"/>
        <w:jc w:val="left"/>
        <w:outlineLvl w:val="2"/>
        <w:rPr>
          <w:rFonts w:hint="eastAsia" w:ascii="宋体" w:hAnsi="宋体"/>
          <w:szCs w:val="21"/>
        </w:rPr>
      </w:pPr>
      <w:bookmarkStart w:id="220" w:name="_Toc21636"/>
      <w:r>
        <w:rPr>
          <w:rFonts w:hint="eastAsia" w:ascii="宋体" w:hAnsi="宋体"/>
          <w:szCs w:val="21"/>
        </w:rPr>
        <w:t>6.</w:t>
      </w:r>
      <w:r>
        <w:rPr>
          <w:rFonts w:hint="eastAsia" w:ascii="宋体" w:hAnsi="宋体"/>
          <w:szCs w:val="21"/>
          <w:lang w:bidi="ar"/>
        </w:rPr>
        <w:t>入库申请人未出现以下情形：与其它入库申请人的单位负责人为同一人或者存在控股、管理关系的（按入库申请人递交的入库申请文件内容进行评审）。如不同入库申请人出现单位负责人为同一人或者存在控股、管理关系的情形，则不通过资格审查。</w:t>
      </w:r>
      <w:bookmarkEnd w:id="220"/>
    </w:p>
    <w:p>
      <w:pPr>
        <w:widowControl/>
        <w:adjustRightInd w:val="0"/>
        <w:snapToGrid w:val="0"/>
        <w:spacing w:line="360" w:lineRule="auto"/>
        <w:ind w:firstLine="420" w:firstLineChars="200"/>
        <w:jc w:val="left"/>
        <w:outlineLvl w:val="2"/>
        <w:rPr>
          <w:rFonts w:hint="eastAsia" w:ascii="宋体" w:hAnsi="宋体"/>
          <w:szCs w:val="21"/>
          <w:lang w:bidi="ar"/>
        </w:rPr>
      </w:pPr>
      <w:bookmarkStart w:id="221" w:name="_Toc21610"/>
      <w:r>
        <w:rPr>
          <w:rFonts w:hint="eastAsia" w:ascii="宋体" w:hAnsi="宋体"/>
          <w:szCs w:val="21"/>
          <w:lang w:bidi="ar"/>
        </w:rPr>
        <w:t xml:space="preserve">7.本次入库申请人接受联合体申请。只接受不多于2家单位组成的联合体，承担设计任务的联合体成员1家，承担施工任务的联合体成员1家，并签定联合体协议书。联合体协议书应明确约定各方拟承担的工作和责任。 </w:t>
      </w:r>
    </w:p>
    <w:p>
      <w:pPr>
        <w:widowControl/>
        <w:adjustRightInd w:val="0"/>
        <w:snapToGrid w:val="0"/>
        <w:spacing w:line="360" w:lineRule="auto"/>
        <w:ind w:firstLine="420" w:firstLineChars="200"/>
        <w:jc w:val="left"/>
        <w:outlineLvl w:val="2"/>
        <w:rPr>
          <w:rFonts w:hint="eastAsia" w:ascii="宋体" w:hAnsi="宋体"/>
          <w:szCs w:val="21"/>
          <w:lang w:bidi="ar"/>
        </w:rPr>
      </w:pPr>
      <w:r>
        <w:rPr>
          <w:rFonts w:hint="eastAsia" w:ascii="宋体" w:hAnsi="宋体"/>
          <w:szCs w:val="21"/>
          <w:lang w:bidi="ar"/>
        </w:rPr>
        <w:t xml:space="preserve">注：1）参加联合体的各成员不得再以自己的名义单独申请入库，也不得同时参加两个或两个以上的联合体入库。出现上述情况者，其建库和与此有关的联合体的入库申请将被拒绝。 </w:t>
      </w:r>
    </w:p>
    <w:p>
      <w:pPr>
        <w:widowControl/>
        <w:adjustRightInd w:val="0"/>
        <w:snapToGrid w:val="0"/>
        <w:spacing w:line="360" w:lineRule="auto"/>
        <w:ind w:firstLine="840" w:firstLineChars="400"/>
        <w:jc w:val="left"/>
        <w:outlineLvl w:val="2"/>
        <w:rPr>
          <w:rFonts w:hint="eastAsia" w:ascii="宋体" w:hAnsi="宋体"/>
          <w:szCs w:val="21"/>
          <w:lang w:bidi="ar"/>
        </w:rPr>
      </w:pPr>
      <w:r>
        <w:rPr>
          <w:rFonts w:hint="eastAsia" w:ascii="宋体" w:hAnsi="宋体"/>
          <w:szCs w:val="21"/>
          <w:lang w:bidi="ar"/>
        </w:rPr>
        <w:t>2）组成联合体的入库申请人，应在联合体协议中明确承接的工作任务（设计任务或施工任务，其他要求具体见附件3：联合体协议书）的成员单位。</w:t>
      </w:r>
      <w:bookmarkEnd w:id="221"/>
    </w:p>
    <w:bookmarkEnd w:id="213"/>
    <w:bookmarkEnd w:id="214"/>
    <w:bookmarkEnd w:id="215"/>
    <w:p>
      <w:pPr>
        <w:adjustRightInd w:val="0"/>
        <w:snapToGrid w:val="0"/>
        <w:spacing w:line="360" w:lineRule="auto"/>
        <w:ind w:firstLine="482" w:firstLineChars="200"/>
        <w:outlineLvl w:val="2"/>
        <w:rPr>
          <w:rFonts w:ascii="Arial" w:hAnsi="Arial"/>
          <w:b/>
          <w:sz w:val="24"/>
          <w:szCs w:val="24"/>
        </w:rPr>
      </w:pPr>
      <w:bookmarkStart w:id="222" w:name="_Toc27997"/>
      <w:bookmarkStart w:id="223" w:name="_Toc24354"/>
      <w:bookmarkStart w:id="224" w:name="_Toc224"/>
      <w:bookmarkStart w:id="225" w:name="_Toc8581"/>
      <w:bookmarkStart w:id="226" w:name="_Toc5643"/>
      <w:bookmarkStart w:id="227" w:name="_Toc9351"/>
      <w:bookmarkStart w:id="228" w:name="_Toc9942"/>
      <w:bookmarkStart w:id="229" w:name="_Toc26302"/>
      <w:bookmarkStart w:id="230" w:name="_Toc3970"/>
      <w:bookmarkStart w:id="231" w:name="_Toc16429"/>
      <w:bookmarkStart w:id="232" w:name="_Toc24017"/>
      <w:bookmarkStart w:id="233" w:name="_Toc30769"/>
      <w:bookmarkStart w:id="234" w:name="_Toc27167"/>
      <w:bookmarkStart w:id="235" w:name="_Toc9464"/>
      <w:bookmarkStart w:id="236" w:name="_Toc31462"/>
      <w:bookmarkStart w:id="237" w:name="_Toc13542"/>
      <w:bookmarkStart w:id="238" w:name="_Toc23398"/>
      <w:bookmarkStart w:id="239" w:name="_Toc2304"/>
      <w:bookmarkStart w:id="240" w:name="_Toc31161"/>
      <w:bookmarkStart w:id="241" w:name="_Toc31485"/>
      <w:bookmarkStart w:id="242" w:name="_Toc17132"/>
      <w:bookmarkStart w:id="243" w:name="_Toc15317"/>
      <w:bookmarkStart w:id="244" w:name="_Toc2583"/>
      <w:bookmarkStart w:id="245" w:name="_Toc11286"/>
      <w:bookmarkStart w:id="246" w:name="_Toc13526"/>
      <w:bookmarkStart w:id="247" w:name="_Toc28338"/>
      <w:bookmarkStart w:id="248" w:name="_Toc6236"/>
      <w:bookmarkStart w:id="249" w:name="_Toc3830"/>
      <w:bookmarkStart w:id="250" w:name="_Toc30093"/>
      <w:bookmarkStart w:id="251" w:name="_Toc31988"/>
      <w:bookmarkStart w:id="252" w:name="_Toc11176"/>
      <w:bookmarkStart w:id="253" w:name="_Toc29786"/>
      <w:bookmarkStart w:id="254" w:name="_Toc23180"/>
      <w:bookmarkStart w:id="255" w:name="_Toc16651"/>
      <w:r>
        <w:rPr>
          <w:rFonts w:hint="eastAsia" w:ascii="Arial" w:hAnsi="Arial"/>
          <w:b/>
          <w:sz w:val="24"/>
          <w:szCs w:val="24"/>
        </w:rPr>
        <w:t>六、公告发布、登记及</w:t>
      </w:r>
      <w:r>
        <w:rPr>
          <w:rFonts w:hint="eastAsia"/>
          <w:b/>
          <w:sz w:val="24"/>
          <w:szCs w:val="24"/>
        </w:rPr>
        <w:t>获取</w:t>
      </w:r>
      <w:r>
        <w:rPr>
          <w:rFonts w:hint="eastAsia" w:ascii="Arial" w:hAnsi="Arial"/>
          <w:b/>
          <w:sz w:val="24"/>
          <w:szCs w:val="24"/>
        </w:rPr>
        <w:t>建库文件时间、地点</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adjustRightInd w:val="0"/>
        <w:snapToGrid w:val="0"/>
        <w:spacing w:line="360" w:lineRule="auto"/>
        <w:ind w:firstLine="420" w:firstLineChars="200"/>
        <w:rPr>
          <w:rFonts w:hint="eastAsia" w:ascii="宋体" w:hAnsi="宋体"/>
          <w:szCs w:val="21"/>
        </w:rPr>
      </w:pPr>
      <w:r>
        <w:rPr>
          <w:rFonts w:hint="eastAsia" w:ascii="宋体" w:hAnsi="宋体"/>
          <w:szCs w:val="21"/>
        </w:rPr>
        <w:t>1.建库公告日期：2025年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日起至202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日止；</w:t>
      </w:r>
    </w:p>
    <w:p>
      <w:pPr>
        <w:adjustRightInd w:val="0"/>
        <w:snapToGrid w:val="0"/>
        <w:spacing w:line="360" w:lineRule="auto"/>
        <w:ind w:firstLine="420" w:firstLineChars="200"/>
        <w:rPr>
          <w:shd w:val="clear" w:color="auto" w:fill="FFFFFF"/>
        </w:rPr>
      </w:pPr>
      <w:r>
        <w:rPr>
          <w:rFonts w:hint="eastAsia" w:ascii="宋体" w:hAnsi="宋体"/>
          <w:szCs w:val="21"/>
        </w:rPr>
        <w:t>2.入库登记及获取建库文件时间：2025年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00</w:t>
      </w:r>
      <w:r>
        <w:rPr>
          <w:rFonts w:hint="eastAsia" w:ascii="宋体" w:hAnsi="宋体"/>
          <w:szCs w:val="21"/>
        </w:rPr>
        <w:t>至2025年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r>
        <w:rPr>
          <w:rFonts w:hint="eastAsia" w:ascii="宋体" w:hAnsi="宋体"/>
          <w:szCs w:val="21"/>
          <w:lang w:val="en-US" w:eastAsia="zh-CN"/>
        </w:rPr>
        <w:t>17</w:t>
      </w:r>
      <w:r>
        <w:rPr>
          <w:rFonts w:hint="eastAsia" w:ascii="宋体" w:hAnsi="宋体"/>
          <w:szCs w:val="21"/>
        </w:rPr>
        <w:t>：</w:t>
      </w:r>
      <w:r>
        <w:rPr>
          <w:rFonts w:hint="eastAsia" w:ascii="宋体" w:hAnsi="宋体"/>
          <w:szCs w:val="21"/>
          <w:lang w:val="en-US" w:eastAsia="zh-CN"/>
        </w:rPr>
        <w:t>00</w:t>
      </w:r>
      <w:r>
        <w:rPr>
          <w:rFonts w:hint="eastAsia" w:ascii="宋体" w:hAnsi="宋体"/>
          <w:szCs w:val="21"/>
        </w:rPr>
        <w:t>止（法定公休日、法定节假日除外）。</w:t>
      </w:r>
    </w:p>
    <w:p>
      <w:pPr>
        <w:wordWrap w:val="0"/>
        <w:adjustRightInd w:val="0"/>
        <w:snapToGrid w:val="0"/>
        <w:spacing w:line="360" w:lineRule="auto"/>
        <w:ind w:firstLine="420"/>
        <w:outlineLvl w:val="2"/>
        <w:rPr>
          <w:rFonts w:hint="eastAsia" w:ascii="宋体" w:hAnsi="宋体"/>
          <w:szCs w:val="21"/>
        </w:rPr>
      </w:pPr>
      <w:bookmarkStart w:id="256" w:name="_Toc20062"/>
      <w:r>
        <w:rPr>
          <w:rFonts w:hint="eastAsia" w:ascii="宋体" w:hAnsi="宋体"/>
          <w:szCs w:val="21"/>
        </w:rPr>
        <w:t>3.入库申请登记及获取建库文件方式：</w:t>
      </w:r>
      <w:bookmarkEnd w:id="256"/>
    </w:p>
    <w:p>
      <w:pPr>
        <w:wordWrap w:val="0"/>
        <w:adjustRightInd w:val="0"/>
        <w:snapToGrid w:val="0"/>
        <w:spacing w:line="360" w:lineRule="auto"/>
        <w:ind w:firstLine="420"/>
        <w:outlineLvl w:val="2"/>
        <w:rPr>
          <w:rFonts w:hint="eastAsia" w:ascii="宋体" w:hAnsi="宋体"/>
          <w:szCs w:val="21"/>
        </w:rPr>
      </w:pPr>
      <w:bookmarkStart w:id="257" w:name="_Toc20718"/>
      <w:r>
        <w:rPr>
          <w:rFonts w:hint="eastAsia" w:ascii="宋体" w:hAnsi="宋体"/>
          <w:szCs w:val="21"/>
        </w:rPr>
        <w:t>（1）在广州公共资源交易中心业务系统完成了线上登记的入库申请人须在2025年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分至2025年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r>
        <w:rPr>
          <w:rFonts w:hint="eastAsia" w:ascii="宋体" w:hAnsi="宋体"/>
          <w:szCs w:val="21"/>
          <w:lang w:val="en-US" w:eastAsia="zh-CN"/>
        </w:rPr>
        <w:t>17</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分办理入库申请文件购买，建库文件售价为每个区域企业库人民币500元整（售后不退）。</w:t>
      </w:r>
      <w:bookmarkEnd w:id="257"/>
    </w:p>
    <w:p>
      <w:pPr>
        <w:wordWrap w:val="0"/>
        <w:adjustRightInd w:val="0"/>
        <w:snapToGrid w:val="0"/>
        <w:spacing w:line="360" w:lineRule="auto"/>
        <w:ind w:firstLine="420"/>
        <w:outlineLvl w:val="2"/>
        <w:rPr>
          <w:rFonts w:hint="eastAsia" w:ascii="宋体" w:hAnsi="宋体"/>
          <w:szCs w:val="21"/>
        </w:rPr>
      </w:pPr>
      <w:bookmarkStart w:id="258" w:name="_Toc12115"/>
      <w:r>
        <w:rPr>
          <w:rFonts w:hint="eastAsia" w:ascii="宋体" w:hAnsi="宋体"/>
          <w:szCs w:val="21"/>
        </w:rPr>
        <w:t>（2）请按以下程序递交入库申请登记资料及办理建库文件获取手续：</w:t>
      </w:r>
      <w:bookmarkEnd w:id="258"/>
    </w:p>
    <w:p>
      <w:pPr>
        <w:wordWrap w:val="0"/>
        <w:adjustRightInd w:val="0"/>
        <w:snapToGrid w:val="0"/>
        <w:spacing w:line="360" w:lineRule="auto"/>
        <w:ind w:firstLine="420"/>
        <w:outlineLvl w:val="2"/>
        <w:rPr>
          <w:rFonts w:hint="eastAsia" w:ascii="宋体" w:hAnsi="宋体"/>
          <w:szCs w:val="21"/>
        </w:rPr>
      </w:pPr>
      <w:bookmarkStart w:id="259" w:name="_Toc12118"/>
      <w:r>
        <w:rPr>
          <w:rFonts w:hint="eastAsia" w:ascii="宋体" w:hAnsi="宋体"/>
          <w:szCs w:val="21"/>
        </w:rPr>
        <w:t>1）办妥广州公共资源交易中心要求的企业信息登记以及线上入库申请登记。</w:t>
      </w:r>
      <w:bookmarkEnd w:id="259"/>
    </w:p>
    <w:p>
      <w:pPr>
        <w:wordWrap w:val="0"/>
        <w:adjustRightInd w:val="0"/>
        <w:snapToGrid w:val="0"/>
        <w:spacing w:line="360" w:lineRule="auto"/>
        <w:ind w:firstLine="420"/>
        <w:outlineLvl w:val="2"/>
        <w:rPr>
          <w:rFonts w:hint="eastAsia" w:ascii="宋体" w:hAnsi="宋体"/>
          <w:szCs w:val="21"/>
        </w:rPr>
      </w:pPr>
      <w:bookmarkStart w:id="260" w:name="_Toc13670"/>
      <w:r>
        <w:rPr>
          <w:rFonts w:hint="eastAsia" w:ascii="宋体" w:hAnsi="宋体"/>
          <w:szCs w:val="21"/>
        </w:rPr>
        <w:t>2）须提交的入库申请登记资料：</w:t>
      </w:r>
      <w:bookmarkEnd w:id="260"/>
    </w:p>
    <w:p>
      <w:pPr>
        <w:wordWrap w:val="0"/>
        <w:adjustRightInd w:val="0"/>
        <w:snapToGrid w:val="0"/>
        <w:spacing w:line="360" w:lineRule="auto"/>
        <w:ind w:firstLine="420"/>
        <w:outlineLvl w:val="2"/>
        <w:rPr>
          <w:rFonts w:hint="eastAsia" w:ascii="宋体" w:hAnsi="宋体"/>
          <w:szCs w:val="21"/>
        </w:rPr>
      </w:pPr>
      <w:bookmarkStart w:id="261" w:name="_Toc18907"/>
      <w:r>
        <w:rPr>
          <w:rFonts w:hint="eastAsia" w:ascii="宋体" w:hAnsi="宋体"/>
          <w:szCs w:val="21"/>
        </w:rPr>
        <w:t>①《入库申请登记申请表》（格式详见公告附件）。</w:t>
      </w:r>
      <w:bookmarkEnd w:id="261"/>
    </w:p>
    <w:p>
      <w:pPr>
        <w:wordWrap w:val="0"/>
        <w:adjustRightInd w:val="0"/>
        <w:snapToGrid w:val="0"/>
        <w:spacing w:line="360" w:lineRule="auto"/>
        <w:ind w:firstLine="420"/>
        <w:outlineLvl w:val="2"/>
        <w:rPr>
          <w:rFonts w:hint="eastAsia" w:ascii="宋体" w:hAnsi="宋体"/>
          <w:szCs w:val="21"/>
        </w:rPr>
      </w:pPr>
      <w:bookmarkStart w:id="262" w:name="_Toc11712"/>
      <w:r>
        <w:rPr>
          <w:rFonts w:hint="eastAsia" w:ascii="宋体" w:hAnsi="宋体"/>
          <w:szCs w:val="21"/>
        </w:rPr>
        <w:t>②法定代表人资格证明书、法定代表人授权委托书。</w:t>
      </w:r>
      <w:bookmarkEnd w:id="262"/>
    </w:p>
    <w:p>
      <w:pPr>
        <w:wordWrap w:val="0"/>
        <w:adjustRightInd w:val="0"/>
        <w:snapToGrid w:val="0"/>
        <w:spacing w:line="360" w:lineRule="auto"/>
        <w:ind w:firstLine="420"/>
        <w:outlineLvl w:val="2"/>
        <w:rPr>
          <w:rFonts w:hint="eastAsia" w:ascii="宋体" w:hAnsi="宋体"/>
          <w:szCs w:val="21"/>
        </w:rPr>
      </w:pPr>
      <w:bookmarkStart w:id="263" w:name="_Toc7857"/>
      <w:r>
        <w:rPr>
          <w:rFonts w:hint="eastAsia" w:ascii="宋体" w:hAnsi="宋体"/>
          <w:szCs w:val="21"/>
        </w:rPr>
        <w:t>③建库文件费用汇款凭证。</w:t>
      </w:r>
      <w:bookmarkEnd w:id="263"/>
    </w:p>
    <w:p>
      <w:pPr>
        <w:wordWrap w:val="0"/>
        <w:adjustRightInd w:val="0"/>
        <w:snapToGrid w:val="0"/>
        <w:spacing w:line="360" w:lineRule="auto"/>
        <w:ind w:firstLine="420"/>
        <w:outlineLvl w:val="2"/>
        <w:rPr>
          <w:rFonts w:hint="eastAsia" w:ascii="宋体" w:hAnsi="宋体"/>
          <w:szCs w:val="21"/>
        </w:rPr>
      </w:pPr>
      <w:bookmarkStart w:id="264" w:name="_Toc13486"/>
      <w:r>
        <w:rPr>
          <w:rFonts w:hint="eastAsia" w:ascii="宋体" w:hAnsi="宋体"/>
          <w:szCs w:val="21"/>
        </w:rPr>
        <w:t>3）将入库申请登记资料扫描件发送至gzjlzb@126.com并联系建库代理单位并电话告知建库代理联系人（邮件内容至少包含“入库申请人名称”及“入库项目的完整名称”）。</w:t>
      </w:r>
      <w:bookmarkEnd w:id="264"/>
    </w:p>
    <w:p>
      <w:pPr>
        <w:wordWrap w:val="0"/>
        <w:adjustRightInd w:val="0"/>
        <w:snapToGrid w:val="0"/>
        <w:spacing w:line="360" w:lineRule="auto"/>
        <w:ind w:firstLine="420"/>
        <w:outlineLvl w:val="2"/>
        <w:rPr>
          <w:rFonts w:hint="eastAsia" w:ascii="宋体" w:hAnsi="宋体"/>
          <w:szCs w:val="21"/>
        </w:rPr>
      </w:pPr>
      <w:bookmarkStart w:id="265" w:name="_Toc15415"/>
      <w:r>
        <w:rPr>
          <w:rFonts w:hint="eastAsia" w:ascii="宋体" w:hAnsi="宋体"/>
          <w:szCs w:val="21"/>
        </w:rPr>
        <w:t>4）入库申请人在完成入库申请登记资料递交及购买建库文件程序后，由建库代理将建库文件发送至入库申请人所登记的邮箱。</w:t>
      </w:r>
      <w:bookmarkEnd w:id="265"/>
    </w:p>
    <w:p>
      <w:pPr>
        <w:wordWrap w:val="0"/>
        <w:adjustRightInd w:val="0"/>
        <w:snapToGrid w:val="0"/>
        <w:spacing w:line="360" w:lineRule="auto"/>
        <w:ind w:firstLine="420"/>
        <w:outlineLvl w:val="2"/>
        <w:rPr>
          <w:rFonts w:hint="eastAsia" w:ascii="宋体" w:hAnsi="宋体"/>
          <w:szCs w:val="21"/>
        </w:rPr>
      </w:pPr>
      <w:bookmarkStart w:id="266" w:name="_Toc32079"/>
      <w:r>
        <w:rPr>
          <w:rFonts w:hint="eastAsia" w:ascii="宋体" w:hAnsi="宋体"/>
          <w:szCs w:val="21"/>
        </w:rPr>
        <w:t>注：建库代理只开具对应金额电子增值税普通发票（建议公对公转账，私人转账必须提供代付证明，否则无法开具发票）。</w:t>
      </w:r>
      <w:bookmarkEnd w:id="266"/>
    </w:p>
    <w:p>
      <w:pPr>
        <w:wordWrap w:val="0"/>
        <w:adjustRightInd w:val="0"/>
        <w:snapToGrid w:val="0"/>
        <w:spacing w:line="360" w:lineRule="auto"/>
        <w:ind w:firstLine="420"/>
        <w:outlineLvl w:val="2"/>
        <w:rPr>
          <w:rFonts w:hint="eastAsia" w:ascii="宋体" w:hAnsi="宋体"/>
          <w:szCs w:val="21"/>
        </w:rPr>
      </w:pPr>
      <w:bookmarkStart w:id="267" w:name="_Toc22112"/>
      <w:r>
        <w:rPr>
          <w:rFonts w:hint="eastAsia" w:ascii="宋体" w:hAnsi="宋体"/>
          <w:szCs w:val="21"/>
        </w:rPr>
        <w:t>具体收取建库文件费用账户如下：</w:t>
      </w:r>
      <w:bookmarkEnd w:id="267"/>
    </w:p>
    <w:p>
      <w:pPr>
        <w:wordWrap w:val="0"/>
        <w:adjustRightInd w:val="0"/>
        <w:snapToGrid w:val="0"/>
        <w:spacing w:line="360" w:lineRule="auto"/>
        <w:ind w:firstLine="420"/>
        <w:outlineLvl w:val="2"/>
        <w:rPr>
          <w:rFonts w:hint="eastAsia" w:ascii="宋体" w:hAnsi="宋体"/>
          <w:szCs w:val="21"/>
        </w:rPr>
      </w:pPr>
      <w:bookmarkStart w:id="268" w:name="_Toc19407"/>
      <w:r>
        <w:rPr>
          <w:rFonts w:hint="eastAsia" w:ascii="宋体" w:hAnsi="宋体"/>
          <w:szCs w:val="21"/>
        </w:rPr>
        <w:t>户    名：</w:t>
      </w:r>
      <w:bookmarkEnd w:id="268"/>
      <w:r>
        <w:rPr>
          <w:rFonts w:hint="eastAsia" w:ascii="宋体" w:hAnsi="宋体"/>
          <w:szCs w:val="21"/>
        </w:rPr>
        <w:t xml:space="preserve">广州市广州工程建设监理有限公司            </w:t>
      </w:r>
    </w:p>
    <w:p>
      <w:pPr>
        <w:wordWrap w:val="0"/>
        <w:adjustRightInd w:val="0"/>
        <w:snapToGrid w:val="0"/>
        <w:spacing w:line="360" w:lineRule="auto"/>
        <w:ind w:firstLine="420"/>
        <w:outlineLvl w:val="2"/>
        <w:rPr>
          <w:rFonts w:hint="eastAsia" w:ascii="宋体" w:hAnsi="宋体"/>
          <w:szCs w:val="21"/>
        </w:rPr>
      </w:pPr>
      <w:bookmarkStart w:id="269" w:name="_Toc10378"/>
      <w:r>
        <w:rPr>
          <w:rFonts w:hint="eastAsia" w:ascii="宋体" w:hAnsi="宋体"/>
          <w:szCs w:val="21"/>
        </w:rPr>
        <w:t>开户银行：</w:t>
      </w:r>
      <w:bookmarkEnd w:id="269"/>
      <w:r>
        <w:rPr>
          <w:rFonts w:hint="eastAsia" w:ascii="宋体" w:hAnsi="宋体"/>
          <w:szCs w:val="21"/>
        </w:rPr>
        <w:t>中国银行广州珠江支行</w:t>
      </w:r>
    </w:p>
    <w:p>
      <w:pPr>
        <w:wordWrap w:val="0"/>
        <w:adjustRightInd w:val="0"/>
        <w:snapToGrid w:val="0"/>
        <w:spacing w:line="360" w:lineRule="auto"/>
        <w:ind w:firstLine="420"/>
        <w:outlineLvl w:val="2"/>
        <w:rPr>
          <w:rFonts w:hint="eastAsia" w:ascii="宋体" w:hAnsi="宋体"/>
          <w:szCs w:val="21"/>
        </w:rPr>
      </w:pPr>
      <w:bookmarkStart w:id="270" w:name="_Toc24179"/>
      <w:r>
        <w:rPr>
          <w:rFonts w:hint="eastAsia" w:ascii="宋体" w:hAnsi="宋体"/>
          <w:szCs w:val="21"/>
        </w:rPr>
        <w:t>账    号：</w:t>
      </w:r>
      <w:bookmarkEnd w:id="270"/>
      <w:r>
        <w:rPr>
          <w:rFonts w:hint="eastAsia" w:ascii="宋体" w:hAnsi="宋体"/>
          <w:szCs w:val="21"/>
        </w:rPr>
        <w:t>701657752726</w:t>
      </w:r>
    </w:p>
    <w:p>
      <w:pPr>
        <w:adjustRightInd w:val="0"/>
        <w:snapToGrid w:val="0"/>
        <w:spacing w:line="360" w:lineRule="auto"/>
        <w:ind w:firstLine="420" w:firstLineChars="200"/>
        <w:outlineLvl w:val="2"/>
        <w:rPr>
          <w:rFonts w:hint="eastAsia" w:ascii="宋体" w:hAnsi="宋体"/>
          <w:szCs w:val="21"/>
        </w:rPr>
      </w:pPr>
      <w:bookmarkStart w:id="271" w:name="_Toc3799"/>
      <w:r>
        <w:rPr>
          <w:rFonts w:hint="eastAsia" w:ascii="宋体" w:hAnsi="宋体"/>
          <w:szCs w:val="21"/>
        </w:rPr>
        <w:t>注：上述费用在获取建库文件后不予退还</w:t>
      </w:r>
      <w:bookmarkEnd w:id="271"/>
      <w:bookmarkStart w:id="272" w:name="_Toc9214"/>
      <w:r>
        <w:rPr>
          <w:rFonts w:hint="eastAsia" w:ascii="宋体" w:hAnsi="宋体"/>
          <w:szCs w:val="21"/>
        </w:rPr>
        <w:t>。</w:t>
      </w:r>
      <w:bookmarkEnd w:id="272"/>
    </w:p>
    <w:p>
      <w:pPr>
        <w:adjustRightInd w:val="0"/>
        <w:snapToGrid w:val="0"/>
        <w:spacing w:line="360" w:lineRule="auto"/>
        <w:ind w:firstLine="420" w:firstLineChars="200"/>
        <w:outlineLvl w:val="2"/>
        <w:rPr>
          <w:rFonts w:hint="eastAsia" w:ascii="宋体" w:hAnsi="宋体"/>
          <w:szCs w:val="21"/>
        </w:rPr>
      </w:pPr>
      <w:bookmarkStart w:id="273" w:name="_Toc20440"/>
      <w:r>
        <w:rPr>
          <w:rFonts w:hint="eastAsia" w:ascii="宋体" w:hAnsi="宋体"/>
          <w:szCs w:val="21"/>
        </w:rPr>
        <w:t>注：如在规定的入库申请登记期间，参加的申请人数过少不足以形成充分竞争时，建库单位可以发布补充公告，适当延长入库申请登记时间。</w:t>
      </w:r>
      <w:bookmarkEnd w:id="273"/>
    </w:p>
    <w:p>
      <w:pPr>
        <w:pStyle w:val="3"/>
        <w:adjustRightInd w:val="0"/>
        <w:snapToGrid w:val="0"/>
        <w:spacing w:line="360" w:lineRule="auto"/>
        <w:ind w:left="0" w:firstLine="482" w:firstLineChars="200"/>
        <w:rPr>
          <w:color w:val="auto"/>
          <w:sz w:val="24"/>
        </w:rPr>
      </w:pPr>
      <w:bookmarkStart w:id="274" w:name="_Toc17027"/>
      <w:bookmarkStart w:id="275" w:name="_Toc22438"/>
      <w:bookmarkStart w:id="276" w:name="_Toc20811"/>
      <w:bookmarkStart w:id="277" w:name="_Toc15937"/>
      <w:bookmarkStart w:id="278" w:name="_Toc12054"/>
      <w:bookmarkStart w:id="279" w:name="_Toc25787"/>
      <w:bookmarkStart w:id="280" w:name="_Toc8158"/>
      <w:bookmarkStart w:id="281" w:name="_Toc31416"/>
      <w:bookmarkStart w:id="282" w:name="_Toc8874"/>
      <w:bookmarkStart w:id="283" w:name="_Toc18776"/>
      <w:bookmarkStart w:id="284" w:name="_Toc17373"/>
      <w:bookmarkStart w:id="285" w:name="_Toc4789"/>
      <w:bookmarkStart w:id="286" w:name="_Toc28195"/>
      <w:bookmarkStart w:id="287" w:name="_Toc3161"/>
      <w:bookmarkStart w:id="288" w:name="_Toc18080"/>
      <w:bookmarkStart w:id="289" w:name="_Toc21371"/>
      <w:bookmarkStart w:id="290" w:name="_Toc19922"/>
      <w:bookmarkStart w:id="291" w:name="_Toc8012"/>
      <w:bookmarkStart w:id="292" w:name="_Toc20110"/>
      <w:bookmarkStart w:id="293" w:name="_Toc16305"/>
      <w:bookmarkStart w:id="294" w:name="_Toc8367"/>
      <w:bookmarkStart w:id="295" w:name="_Toc17795"/>
      <w:bookmarkStart w:id="296" w:name="_Toc21579"/>
      <w:bookmarkStart w:id="297" w:name="_Toc25637"/>
      <w:bookmarkStart w:id="298" w:name="_Toc6508"/>
      <w:bookmarkStart w:id="299" w:name="_Toc28866"/>
      <w:bookmarkStart w:id="300" w:name="_Toc29699"/>
      <w:bookmarkStart w:id="301" w:name="_Toc8698"/>
      <w:bookmarkStart w:id="302" w:name="_Toc15938"/>
      <w:bookmarkStart w:id="303" w:name="_Toc1312"/>
      <w:bookmarkStart w:id="304" w:name="_Toc4607"/>
      <w:bookmarkStart w:id="305" w:name="_Toc5892"/>
      <w:bookmarkStart w:id="306" w:name="_Toc2576"/>
      <w:bookmarkStart w:id="307" w:name="_Toc10696"/>
      <w:r>
        <w:rPr>
          <w:rFonts w:hint="eastAsia"/>
          <w:color w:val="auto"/>
          <w:sz w:val="24"/>
        </w:rPr>
        <w:t>七、资格审查方式</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adjustRightInd w:val="0"/>
        <w:snapToGrid w:val="0"/>
        <w:spacing w:line="360" w:lineRule="auto"/>
        <w:ind w:firstLine="420" w:firstLineChars="200"/>
        <w:outlineLvl w:val="2"/>
      </w:pPr>
      <w:bookmarkStart w:id="308" w:name="_Toc11368"/>
      <w:bookmarkStart w:id="309" w:name="_Toc6299"/>
      <w:bookmarkStart w:id="310" w:name="_Toc13999"/>
      <w:bookmarkStart w:id="311" w:name="_Toc25755"/>
      <w:bookmarkStart w:id="312" w:name="_Toc7579"/>
      <w:r>
        <w:rPr>
          <w:rFonts w:hint="eastAsia"/>
        </w:rPr>
        <w:t>本次建库采用资格后审。</w:t>
      </w:r>
      <w:bookmarkEnd w:id="308"/>
      <w:bookmarkEnd w:id="309"/>
      <w:bookmarkEnd w:id="310"/>
      <w:bookmarkEnd w:id="311"/>
      <w:bookmarkEnd w:id="312"/>
    </w:p>
    <w:p>
      <w:pPr>
        <w:pStyle w:val="3"/>
        <w:adjustRightInd w:val="0"/>
        <w:snapToGrid w:val="0"/>
        <w:spacing w:line="360" w:lineRule="auto"/>
        <w:ind w:left="0" w:firstLine="482" w:firstLineChars="200"/>
        <w:rPr>
          <w:color w:val="auto"/>
          <w:sz w:val="24"/>
        </w:rPr>
      </w:pPr>
      <w:bookmarkStart w:id="313" w:name="_Toc4158"/>
      <w:bookmarkStart w:id="314" w:name="_Toc15920"/>
      <w:bookmarkStart w:id="315" w:name="_Toc11732"/>
      <w:bookmarkStart w:id="316" w:name="_Toc16108"/>
      <w:bookmarkStart w:id="317" w:name="_Toc7044"/>
      <w:bookmarkStart w:id="318" w:name="_Toc6964"/>
      <w:bookmarkStart w:id="319" w:name="_Toc15329"/>
      <w:bookmarkStart w:id="320" w:name="_Toc2072"/>
      <w:bookmarkStart w:id="321" w:name="_Toc20851"/>
      <w:bookmarkStart w:id="322" w:name="_Toc651"/>
      <w:bookmarkStart w:id="323" w:name="_Toc25093"/>
      <w:bookmarkStart w:id="324" w:name="_Toc25070"/>
      <w:bookmarkStart w:id="325" w:name="_Toc25692"/>
      <w:bookmarkStart w:id="326" w:name="_Toc8388"/>
      <w:bookmarkStart w:id="327" w:name="_Toc22192"/>
      <w:bookmarkStart w:id="328" w:name="_Toc11956"/>
      <w:bookmarkStart w:id="329" w:name="_Toc7085"/>
      <w:bookmarkStart w:id="330" w:name="_Toc24696"/>
      <w:bookmarkStart w:id="331" w:name="_Toc12754"/>
      <w:bookmarkStart w:id="332" w:name="_Toc13222"/>
      <w:bookmarkStart w:id="333" w:name="_Toc28342"/>
      <w:bookmarkStart w:id="334" w:name="_Toc3474"/>
      <w:bookmarkStart w:id="335" w:name="_Toc3194"/>
      <w:bookmarkStart w:id="336" w:name="_Toc24567"/>
      <w:bookmarkStart w:id="337" w:name="_Toc6274"/>
      <w:bookmarkStart w:id="338" w:name="_Toc14861"/>
      <w:bookmarkStart w:id="339" w:name="_Toc25886"/>
      <w:bookmarkStart w:id="340" w:name="_Toc26085"/>
      <w:bookmarkStart w:id="341" w:name="_Toc18108"/>
      <w:bookmarkStart w:id="342" w:name="_Toc3126"/>
      <w:bookmarkStart w:id="343" w:name="_Toc22869"/>
      <w:bookmarkStart w:id="344" w:name="_Toc1355"/>
      <w:bookmarkStart w:id="345" w:name="_Toc18189"/>
      <w:bookmarkStart w:id="346" w:name="_Toc19154"/>
      <w:r>
        <w:rPr>
          <w:rFonts w:hint="eastAsia"/>
          <w:color w:val="auto"/>
          <w:sz w:val="24"/>
        </w:rPr>
        <w:t>八、入库申请保证金及交纳时间</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adjustRightInd w:val="0"/>
        <w:snapToGrid w:val="0"/>
        <w:spacing w:line="360" w:lineRule="auto"/>
        <w:ind w:firstLine="420" w:firstLineChars="200"/>
        <w:rPr>
          <w:rFonts w:hint="eastAsia" w:ascii="宋体" w:hAnsi="宋体"/>
          <w:szCs w:val="21"/>
        </w:rPr>
      </w:pPr>
      <w:r>
        <w:rPr>
          <w:rFonts w:hint="eastAsia" w:ascii="宋体" w:hAnsi="宋体"/>
          <w:szCs w:val="21"/>
        </w:rPr>
        <w:t>入库申请保证金为每个区域企业库各20万元人民币（大写:人民币贰拾万元整）,可采用现金、支票、保函、保证保险等法律法规允许范围内的缴纳形式递交。如采用现金或者转账或者支票形式提交的,入库申请保证金必须按建库文件规定的时间和方式提交到规定的账户。入库申请保证金必须以入库申请人的名义交纳，否则将被视为非响应性入库申请予以拒绝。</w:t>
      </w:r>
    </w:p>
    <w:p>
      <w:pPr>
        <w:pStyle w:val="3"/>
        <w:adjustRightInd w:val="0"/>
        <w:snapToGrid w:val="0"/>
        <w:spacing w:line="360" w:lineRule="auto"/>
        <w:ind w:left="0" w:firstLine="482" w:firstLineChars="200"/>
        <w:rPr>
          <w:color w:val="auto"/>
          <w:sz w:val="24"/>
        </w:rPr>
      </w:pPr>
      <w:bookmarkStart w:id="347" w:name="_Toc22655"/>
      <w:bookmarkStart w:id="348" w:name="_Toc16750"/>
      <w:bookmarkStart w:id="349" w:name="_Toc24227"/>
      <w:bookmarkStart w:id="350" w:name="_Toc12665"/>
      <w:bookmarkStart w:id="351" w:name="_Toc467"/>
      <w:bookmarkStart w:id="352" w:name="_Toc11586"/>
      <w:bookmarkStart w:id="353" w:name="_Toc24706"/>
      <w:bookmarkStart w:id="354" w:name="_Toc20072"/>
      <w:bookmarkStart w:id="355" w:name="_Toc7211"/>
      <w:bookmarkStart w:id="356" w:name="_Toc25800"/>
      <w:bookmarkStart w:id="357" w:name="_Toc16079"/>
      <w:bookmarkStart w:id="358" w:name="_Toc3980"/>
      <w:bookmarkStart w:id="359" w:name="_Toc20748"/>
      <w:bookmarkStart w:id="360" w:name="_Toc16675"/>
      <w:bookmarkStart w:id="361" w:name="_Toc30555"/>
      <w:bookmarkStart w:id="362" w:name="_Toc6752"/>
      <w:bookmarkStart w:id="363" w:name="_Toc7123"/>
      <w:bookmarkStart w:id="364" w:name="_Toc21156"/>
      <w:bookmarkStart w:id="365" w:name="_Toc9841"/>
      <w:bookmarkStart w:id="366" w:name="_Toc2672"/>
      <w:bookmarkStart w:id="367" w:name="_Toc17306"/>
      <w:bookmarkStart w:id="368" w:name="_Toc27157"/>
      <w:bookmarkStart w:id="369" w:name="_Toc28"/>
      <w:bookmarkStart w:id="370" w:name="_Toc23782"/>
      <w:bookmarkStart w:id="371" w:name="_Toc10775"/>
      <w:bookmarkStart w:id="372" w:name="_Toc14579"/>
      <w:bookmarkStart w:id="373" w:name="_Toc24644"/>
      <w:bookmarkStart w:id="374" w:name="_Toc9538"/>
      <w:bookmarkStart w:id="375" w:name="_Toc24685"/>
      <w:bookmarkStart w:id="376" w:name="_Toc15637"/>
      <w:bookmarkStart w:id="377" w:name="_Toc14540"/>
      <w:bookmarkStart w:id="378" w:name="_Toc18944"/>
      <w:bookmarkStart w:id="379" w:name="_Toc12278"/>
      <w:bookmarkStart w:id="380" w:name="_Toc26508"/>
      <w:r>
        <w:rPr>
          <w:rFonts w:hint="eastAsia"/>
          <w:color w:val="auto"/>
          <w:sz w:val="24"/>
        </w:rPr>
        <w:t>九、入库申请文件递交与开启</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adjustRightInd w:val="0"/>
        <w:snapToGrid w:val="0"/>
        <w:spacing w:line="360" w:lineRule="auto"/>
        <w:ind w:firstLine="420" w:firstLineChars="200"/>
        <w:rPr>
          <w:rFonts w:hint="eastAsia" w:ascii="宋体" w:hAnsi="宋体"/>
          <w:szCs w:val="21"/>
        </w:rPr>
      </w:pPr>
      <w:r>
        <w:rPr>
          <w:rFonts w:ascii="宋体" w:hAnsi="宋体"/>
          <w:szCs w:val="21"/>
        </w:rPr>
        <w:t>1</w:t>
      </w:r>
      <w:r>
        <w:rPr>
          <w:rFonts w:hint="eastAsia" w:ascii="宋体" w:hAnsi="宋体"/>
          <w:szCs w:val="21"/>
        </w:rPr>
        <w:t>.递交入库申请文件日期：202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w:t>
      </w:r>
      <w:r>
        <w:rPr>
          <w:rFonts w:hint="eastAsia" w:ascii="宋体" w:hAnsi="宋体"/>
          <w:szCs w:val="21"/>
          <w:lang w:val="en-US" w:eastAsia="zh-CN"/>
        </w:rPr>
        <w:t>9</w:t>
      </w:r>
      <w:r>
        <w:rPr>
          <w:rFonts w:hint="eastAsia" w:ascii="宋体" w:hAnsi="宋体"/>
          <w:szCs w:val="21"/>
        </w:rPr>
        <w:t>时</w:t>
      </w:r>
      <w:r>
        <w:rPr>
          <w:rFonts w:hint="eastAsia" w:ascii="宋体" w:hAnsi="宋体"/>
          <w:szCs w:val="21"/>
          <w:lang w:val="en-US" w:eastAsia="zh-CN"/>
        </w:rPr>
        <w:t>30</w:t>
      </w:r>
      <w:r>
        <w:rPr>
          <w:rFonts w:hint="eastAsia" w:ascii="宋体" w:hAnsi="宋体"/>
          <w:szCs w:val="21"/>
        </w:rPr>
        <w:t>分至</w:t>
      </w:r>
      <w:r>
        <w:rPr>
          <w:rFonts w:hint="eastAsia" w:ascii="宋体" w:hAnsi="宋体"/>
          <w:szCs w:val="21"/>
          <w:lang w:val="en-US" w:eastAsia="zh-CN"/>
        </w:rPr>
        <w:t>10</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分；地点：广州交易集团有限公司（广州公共资源交易中心）第</w:t>
      </w:r>
      <w:r>
        <w:rPr>
          <w:rFonts w:hint="eastAsia" w:ascii="宋体" w:hAnsi="宋体"/>
          <w:szCs w:val="21"/>
          <w:lang w:val="en-US" w:eastAsia="zh-CN"/>
        </w:rPr>
        <w:t>214</w:t>
      </w:r>
      <w:r>
        <w:rPr>
          <w:rFonts w:hint="eastAsia" w:ascii="宋体" w:hAnsi="宋体"/>
          <w:szCs w:val="21"/>
        </w:rPr>
        <w:t>开标室。</w:t>
      </w:r>
    </w:p>
    <w:p>
      <w:pPr>
        <w:adjustRightInd w:val="0"/>
        <w:snapToGrid w:val="0"/>
        <w:spacing w:line="360" w:lineRule="auto"/>
        <w:ind w:firstLine="420" w:firstLineChars="200"/>
        <w:rPr>
          <w:shd w:val="clear" w:color="auto" w:fill="FFFFFF"/>
        </w:rPr>
      </w:pPr>
      <w:r>
        <w:rPr>
          <w:rFonts w:hint="eastAsia"/>
          <w:shd w:val="clear" w:color="auto" w:fill="FFFFFF"/>
        </w:rPr>
        <w:t>递交入库申请文件截止时间与开启时间是否有变化，请密切留意建库答疑中的相关信息。递交入库申请文件截止时间后，开启时间因故推迟的，相关评审信息仍以原递交入库申请文件截止时间的信息为准。</w:t>
      </w:r>
    </w:p>
    <w:p>
      <w:pPr>
        <w:adjustRightInd w:val="0"/>
        <w:snapToGrid w:val="0"/>
        <w:spacing w:line="360" w:lineRule="auto"/>
        <w:ind w:firstLine="420" w:firstLineChars="200"/>
        <w:rPr>
          <w:shd w:val="clear" w:color="auto" w:fill="FFFFFF"/>
        </w:rPr>
      </w:pPr>
      <w:r>
        <w:rPr>
          <w:rFonts w:hint="eastAsia"/>
          <w:shd w:val="clear" w:color="auto" w:fill="FFFFFF"/>
        </w:rPr>
        <w:t>入库申请人代表应按规定的时间和地点向建库人提交入库申请文件</w:t>
      </w:r>
      <w:r>
        <w:rPr>
          <w:rFonts w:hint="eastAsia" w:ascii="宋体" w:hAnsi="宋体" w:cs="宋体"/>
          <w:szCs w:val="21"/>
          <w:shd w:val="clear" w:color="auto" w:fill="FFFFFF"/>
        </w:rPr>
        <w:t>（</w:t>
      </w:r>
      <w:r>
        <w:rPr>
          <w:rFonts w:hint="eastAsia" w:ascii="宋体" w:hAnsi="宋体" w:cs="宋体"/>
          <w:szCs w:val="21"/>
        </w:rPr>
        <w:t>如入库申请保证金采用银行保函（或保证保险、或专业担保公司担保）提交的，</w:t>
      </w:r>
      <w:r>
        <w:rPr>
          <w:rFonts w:hint="eastAsia" w:ascii="宋体" w:hAnsi="宋体" w:cs="宋体"/>
          <w:b/>
          <w:bCs/>
          <w:szCs w:val="21"/>
        </w:rPr>
        <w:t>原件</w:t>
      </w:r>
      <w:r>
        <w:rPr>
          <w:rFonts w:hint="eastAsia" w:ascii="宋体" w:hAnsi="宋体"/>
          <w:b/>
          <w:bCs/>
          <w:szCs w:val="21"/>
        </w:rPr>
        <w:t>须</w:t>
      </w:r>
      <w:r>
        <w:rPr>
          <w:rFonts w:hint="eastAsia" w:ascii="宋体" w:hAnsi="宋体" w:cs="宋体"/>
          <w:b/>
          <w:bCs/>
          <w:szCs w:val="21"/>
        </w:rPr>
        <w:t>在递交入库申请文件时一并单独提交</w:t>
      </w:r>
      <w:r>
        <w:rPr>
          <w:rFonts w:hint="eastAsia" w:ascii="宋体" w:hAnsi="宋体" w:cs="宋体"/>
          <w:szCs w:val="21"/>
          <w:shd w:val="clear" w:color="auto" w:fill="FFFFFF"/>
        </w:rPr>
        <w:t>）</w:t>
      </w:r>
      <w:r>
        <w:rPr>
          <w:rFonts w:hint="eastAsia"/>
          <w:shd w:val="clear" w:color="auto" w:fill="FFFFFF"/>
        </w:rPr>
        <w:t>，入库申请人代表应由入库申请人法定代表人或法定代表人书面授权的委托代理人担任。法定代表人应凭本人身份证和法定代表人证明书原件提交入库申请文件，委托代理人应凭本人身份证、法定代表人证明书原件和法定代表人授权委托证明书原件提交入库申请文件。</w:t>
      </w:r>
      <w:bookmarkStart w:id="448" w:name="_GoBack"/>
      <w:bookmarkEnd w:id="448"/>
    </w:p>
    <w:p>
      <w:pPr>
        <w:adjustRightInd w:val="0"/>
        <w:snapToGrid w:val="0"/>
        <w:spacing w:line="360" w:lineRule="auto"/>
        <w:ind w:firstLine="420" w:firstLineChars="200"/>
        <w:rPr>
          <w:rFonts w:hint="eastAsia" w:ascii="宋体" w:hAnsi="宋体"/>
          <w:szCs w:val="21"/>
        </w:rPr>
      </w:pPr>
      <w:r>
        <w:rPr>
          <w:rFonts w:ascii="宋体" w:hAnsi="宋体"/>
          <w:szCs w:val="21"/>
        </w:rPr>
        <w:t>3.开启开始时间：202</w:t>
      </w:r>
      <w:r>
        <w:rPr>
          <w:rFonts w:hint="eastAsia" w:ascii="宋体" w:hAnsi="宋体"/>
          <w:szCs w:val="21"/>
          <w:lang w:val="en-US" w:eastAsia="zh-CN"/>
        </w:rPr>
        <w:t>6</w:t>
      </w:r>
      <w:r>
        <w:rPr>
          <w:rFonts w:ascii="宋体" w:hAnsi="宋体"/>
          <w:szCs w:val="21"/>
        </w:rPr>
        <w:t>年</w:t>
      </w:r>
      <w:r>
        <w:rPr>
          <w:rFonts w:hint="eastAsia" w:ascii="宋体" w:hAnsi="宋体"/>
          <w:szCs w:val="21"/>
          <w:lang w:val="en-US" w:eastAsia="zh-CN"/>
        </w:rPr>
        <w:t>1</w:t>
      </w:r>
      <w:r>
        <w:rPr>
          <w:rFonts w:ascii="宋体" w:hAnsi="宋体"/>
          <w:szCs w:val="21"/>
        </w:rPr>
        <w:t>月</w:t>
      </w:r>
      <w:r>
        <w:rPr>
          <w:rFonts w:hint="eastAsia" w:ascii="宋体" w:hAnsi="宋体"/>
          <w:szCs w:val="21"/>
          <w:lang w:val="en-US" w:eastAsia="zh-CN"/>
        </w:rPr>
        <w:t>8</w:t>
      </w:r>
      <w:r>
        <w:rPr>
          <w:rFonts w:ascii="宋体" w:hAnsi="宋体"/>
          <w:szCs w:val="21"/>
        </w:rPr>
        <w:t>日</w:t>
      </w:r>
      <w:r>
        <w:rPr>
          <w:rFonts w:hint="eastAsia" w:ascii="宋体" w:hAnsi="宋体"/>
          <w:szCs w:val="21"/>
          <w:lang w:val="en-US" w:eastAsia="zh-CN"/>
        </w:rPr>
        <w:t>10</w:t>
      </w:r>
      <w:r>
        <w:rPr>
          <w:rFonts w:ascii="宋体" w:hAnsi="宋体"/>
          <w:szCs w:val="21"/>
        </w:rPr>
        <w:t>时</w:t>
      </w:r>
      <w:r>
        <w:rPr>
          <w:rFonts w:hint="eastAsia" w:ascii="宋体" w:hAnsi="宋体"/>
          <w:szCs w:val="21"/>
          <w:lang w:val="en-US" w:eastAsia="zh-CN"/>
        </w:rPr>
        <w:t>00</w:t>
      </w:r>
      <w:r>
        <w:rPr>
          <w:rFonts w:ascii="宋体" w:hAnsi="宋体"/>
          <w:szCs w:val="21"/>
        </w:rPr>
        <w:t>分，开启地点：广州公共资源交易中心（广州市天河区天润路333号）</w:t>
      </w:r>
      <w:r>
        <w:rPr>
          <w:rFonts w:hint="eastAsia" w:ascii="宋体" w:hAnsi="宋体"/>
          <w:szCs w:val="21"/>
        </w:rPr>
        <w:t>第</w:t>
      </w:r>
      <w:r>
        <w:rPr>
          <w:rFonts w:hint="eastAsia" w:ascii="宋体" w:hAnsi="宋体"/>
          <w:szCs w:val="21"/>
          <w:lang w:val="en-US" w:eastAsia="zh-CN"/>
        </w:rPr>
        <w:t>214</w:t>
      </w:r>
      <w:r>
        <w:rPr>
          <w:rFonts w:hint="eastAsia" w:ascii="宋体" w:hAnsi="宋体"/>
          <w:szCs w:val="21"/>
        </w:rPr>
        <w:t>开标室</w:t>
      </w:r>
      <w:r>
        <w:rPr>
          <w:rFonts w:ascii="宋体" w:hAnsi="宋体"/>
          <w:szCs w:val="21"/>
        </w:rPr>
        <w:t>。</w:t>
      </w:r>
    </w:p>
    <w:p>
      <w:pPr>
        <w:adjustRightInd w:val="0"/>
        <w:snapToGrid w:val="0"/>
        <w:spacing w:line="360" w:lineRule="auto"/>
        <w:ind w:firstLine="420" w:firstLineChars="200"/>
        <w:rPr>
          <w:rFonts w:hint="eastAsia" w:ascii="宋体" w:hAnsi="宋体"/>
          <w:szCs w:val="21"/>
        </w:rPr>
      </w:pPr>
      <w:r>
        <w:rPr>
          <w:rFonts w:ascii="宋体" w:hAnsi="宋体"/>
          <w:szCs w:val="21"/>
        </w:rPr>
        <w:t>递交入库申请文件截止时间与开启时间是否有变化，请密切留意建库答疑中的相关信息。递交入库申请文件截止时间后，开启时间因故推迟的，相关评审信息仍以原递交入库申请文件截止时间的信息为准。</w:t>
      </w:r>
    </w:p>
    <w:p>
      <w:pPr>
        <w:pStyle w:val="3"/>
        <w:adjustRightInd w:val="0"/>
        <w:snapToGrid w:val="0"/>
        <w:spacing w:line="360" w:lineRule="auto"/>
        <w:ind w:left="0" w:firstLine="482" w:firstLineChars="200"/>
        <w:rPr>
          <w:color w:val="auto"/>
          <w:sz w:val="24"/>
        </w:rPr>
      </w:pPr>
      <w:bookmarkStart w:id="381" w:name="_Toc7250"/>
      <w:bookmarkStart w:id="382" w:name="_Toc31368"/>
      <w:bookmarkStart w:id="383" w:name="_Toc17949"/>
      <w:bookmarkStart w:id="384" w:name="_Toc1526"/>
      <w:bookmarkStart w:id="385" w:name="_Toc26833"/>
      <w:bookmarkStart w:id="386" w:name="_Toc26859"/>
      <w:bookmarkStart w:id="387" w:name="_Toc24709"/>
      <w:bookmarkStart w:id="388" w:name="_Toc8556"/>
      <w:bookmarkStart w:id="389" w:name="_Toc90"/>
      <w:bookmarkStart w:id="390" w:name="_Toc13875"/>
      <w:bookmarkStart w:id="391" w:name="_Toc446"/>
      <w:bookmarkStart w:id="392" w:name="_Toc1110"/>
      <w:bookmarkStart w:id="393" w:name="_Toc15429"/>
      <w:bookmarkStart w:id="394" w:name="_Toc17700"/>
      <w:bookmarkStart w:id="395" w:name="_Toc967"/>
      <w:bookmarkStart w:id="396" w:name="_Toc2306"/>
      <w:bookmarkStart w:id="397" w:name="_Toc29702"/>
      <w:bookmarkStart w:id="398" w:name="_Toc1452"/>
      <w:bookmarkStart w:id="399" w:name="_Toc9958"/>
      <w:bookmarkStart w:id="400" w:name="_Toc18188"/>
      <w:bookmarkStart w:id="401" w:name="_Toc24414"/>
      <w:bookmarkStart w:id="402" w:name="_Toc27246"/>
      <w:bookmarkStart w:id="403" w:name="_Toc25578"/>
      <w:bookmarkStart w:id="404" w:name="_Toc27539"/>
      <w:bookmarkStart w:id="405" w:name="_Toc21833"/>
      <w:bookmarkStart w:id="406" w:name="_Toc1777"/>
      <w:bookmarkStart w:id="407" w:name="_Toc25556"/>
      <w:bookmarkStart w:id="408" w:name="_Toc23342"/>
      <w:bookmarkStart w:id="409" w:name="_Toc25844"/>
      <w:bookmarkStart w:id="410" w:name="_Toc7596"/>
      <w:bookmarkStart w:id="411" w:name="_Toc870"/>
      <w:bookmarkStart w:id="412" w:name="_Toc17557"/>
      <w:bookmarkStart w:id="413" w:name="_Toc31992"/>
      <w:bookmarkStart w:id="414" w:name="_Toc22357"/>
      <w:r>
        <w:rPr>
          <w:rFonts w:hint="eastAsia"/>
          <w:color w:val="auto"/>
          <w:sz w:val="24"/>
        </w:rPr>
        <w:t>十、通知、异议、澄清、公告等事项</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adjustRightInd w:val="0"/>
        <w:snapToGrid w:val="0"/>
        <w:spacing w:line="360" w:lineRule="auto"/>
        <w:ind w:firstLine="420" w:firstLineChars="200"/>
        <w:rPr>
          <w:rFonts w:hint="eastAsia" w:ascii="宋体" w:hAnsi="宋体"/>
          <w:szCs w:val="21"/>
        </w:rPr>
      </w:pPr>
      <w:r>
        <w:rPr>
          <w:rFonts w:hint="eastAsia" w:ascii="宋体" w:hAnsi="宋体"/>
          <w:szCs w:val="21"/>
        </w:rPr>
        <w:t>1.建库人不承担入库申请人准备入库申请文件和递交入库申请文件以及参与本次入库申请活动所发生的任何成本费用。</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对建库文件进行的澄清、更正或更改，将在广州公共资源交易中心网站上及时发布，该澄清、更正或更改的内容为建库文件的组成部分，对入库申请人具有同样的约束力效力。建库人将在广州公共资源交易中心网站公示入库人名单，入库申请人应主动上网查询。建库人不承担入库申请人未及时关注相关信息引发的相关责任。</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3.如果入库申请人对建库公告或建库文件的内容有异议的，可依法在入库申请截止时间10日前以书面形式</w:t>
      </w:r>
      <w:r>
        <w:rPr>
          <w:rFonts w:hint="eastAsia" w:ascii="宋体" w:hAnsi="宋体" w:cs="宋体"/>
          <w:szCs w:val="21"/>
        </w:rPr>
        <w:t>（</w:t>
      </w:r>
      <w:r>
        <w:rPr>
          <w:rFonts w:hint="eastAsia" w:ascii="宋体" w:hAnsi="宋体" w:cs="宋体"/>
          <w:b/>
          <w:bCs/>
          <w:szCs w:val="21"/>
        </w:rPr>
        <w:t>异议函须加盖公章并经法定代表人（或单位负责人）签署</w:t>
      </w:r>
      <w:r>
        <w:rPr>
          <w:rFonts w:hint="eastAsia" w:ascii="宋体" w:hAnsi="宋体" w:cs="宋体"/>
          <w:szCs w:val="21"/>
        </w:rPr>
        <w:t>，</w:t>
      </w:r>
      <w:r>
        <w:rPr>
          <w:rFonts w:hint="eastAsia" w:ascii="宋体" w:hAnsi="宋体" w:cs="宋体"/>
          <w:b/>
          <w:bCs/>
          <w:szCs w:val="21"/>
        </w:rPr>
        <w:t>格式详见附件</w:t>
      </w:r>
      <w:r>
        <w:rPr>
          <w:rFonts w:hint="eastAsia" w:ascii="宋体" w:hAnsi="宋体" w:cs="宋体"/>
          <w:szCs w:val="21"/>
        </w:rPr>
        <w:t>）</w:t>
      </w:r>
      <w:r>
        <w:rPr>
          <w:rFonts w:hint="eastAsia" w:ascii="宋体" w:hAnsi="宋体"/>
          <w:szCs w:val="21"/>
        </w:rPr>
        <w:t>向建库人或建库代理机构提出。如果入库申请人对</w:t>
      </w:r>
      <w:r>
        <w:rPr>
          <w:rFonts w:hint="eastAsia"/>
        </w:rPr>
        <w:t>入库人公示</w:t>
      </w:r>
      <w:r>
        <w:rPr>
          <w:rFonts w:hint="eastAsia" w:ascii="宋体" w:hAnsi="宋体"/>
          <w:szCs w:val="21"/>
        </w:rPr>
        <w:t>的内容有异议的，可在入库结果公示期限内，以书面形式</w:t>
      </w:r>
      <w:r>
        <w:rPr>
          <w:rFonts w:hint="eastAsia" w:ascii="宋体" w:hAnsi="宋体" w:cs="宋体"/>
          <w:szCs w:val="21"/>
        </w:rPr>
        <w:t>（</w:t>
      </w:r>
      <w:r>
        <w:rPr>
          <w:rFonts w:hint="eastAsia" w:ascii="宋体" w:hAnsi="宋体" w:cs="宋体"/>
          <w:b/>
          <w:bCs/>
          <w:szCs w:val="21"/>
        </w:rPr>
        <w:t>异议函须加盖公章并经法定代表人（或单位负责人）签署</w:t>
      </w:r>
      <w:r>
        <w:rPr>
          <w:rFonts w:hint="eastAsia" w:ascii="宋体" w:hAnsi="宋体" w:cs="宋体"/>
          <w:szCs w:val="21"/>
        </w:rPr>
        <w:t>，</w:t>
      </w:r>
      <w:r>
        <w:rPr>
          <w:rFonts w:hint="eastAsia" w:ascii="宋体" w:hAnsi="宋体" w:cs="宋体"/>
          <w:b/>
          <w:bCs/>
          <w:szCs w:val="21"/>
        </w:rPr>
        <w:t>格式详见附件</w:t>
      </w:r>
      <w:r>
        <w:rPr>
          <w:rFonts w:hint="eastAsia" w:ascii="宋体" w:hAnsi="宋体" w:cs="宋体"/>
          <w:szCs w:val="21"/>
        </w:rPr>
        <w:t>）</w:t>
      </w:r>
      <w:r>
        <w:rPr>
          <w:rFonts w:hint="eastAsia" w:ascii="宋体" w:hAnsi="宋体"/>
          <w:szCs w:val="21"/>
        </w:rPr>
        <w:t>向建库人或建库代理机构提出，建库人或建库代理机构在收到异议之日起3日内作出答复。有下列情形之一的，建库人或建库代理机构可以不予受理：</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（1）异议提起人不是入库申请人、潜在入库申请人或者其他利害关系人；</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（2）未在规定的异议期限内提出；</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（3）本建库文件规定应当以书面形式提出但未以书面形式提出的；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（4）异议函未按照要求签字盖章的；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（5）异议函未提供有效联系人和联系方式的；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（6）开启现场已经入库申请人确认的事项，开启后入库申请人又对该事项提出异议的；</w:t>
      </w:r>
    </w:p>
    <w:p>
      <w:pPr>
        <w:adjustRightInd w:val="0"/>
        <w:snapToGrid w:val="0"/>
        <w:spacing w:line="360" w:lineRule="auto"/>
        <w:ind w:firstLine="420" w:firstLineChars="200"/>
        <w:outlineLvl w:val="2"/>
        <w:rPr>
          <w:rFonts w:hint="eastAsia" w:ascii="宋体" w:hAnsi="宋体"/>
          <w:szCs w:val="21"/>
        </w:rPr>
      </w:pPr>
      <w:bookmarkStart w:id="415" w:name="_Toc21786"/>
      <w:r>
        <w:rPr>
          <w:rFonts w:hint="eastAsia" w:ascii="宋体" w:hAnsi="宋体"/>
          <w:szCs w:val="21"/>
        </w:rPr>
        <w:t>（7）异议提起人对已经撤回的异议，以同一理由提出的；</w:t>
      </w:r>
      <w:bookmarkEnd w:id="415"/>
    </w:p>
    <w:p>
      <w:pPr>
        <w:adjustRightInd w:val="0"/>
        <w:snapToGrid w:val="0"/>
        <w:spacing w:line="360" w:lineRule="auto"/>
        <w:ind w:firstLine="420" w:firstLineChars="200"/>
        <w:rPr>
          <w:rFonts w:hint="eastAsia" w:ascii="宋体" w:hAnsi="宋体"/>
          <w:szCs w:val="21"/>
        </w:rPr>
      </w:pPr>
      <w:r>
        <w:rPr>
          <w:rFonts w:hint="eastAsia" w:ascii="宋体" w:hAnsi="宋体"/>
          <w:szCs w:val="21"/>
        </w:rPr>
        <w:t>（8）建库人已经作出明确答复，无新的事实证据，又就同一问题提出异议的。</w:t>
      </w: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注：异议人不得以异议为名排挤竞争对手，不得捏造事实或者提供虚假材料进行虚假、恶意异议，阻碍建库采购活动的正常进行。对于虚假、恶意或通过非法途径获取证明材料的，建库人将按有关规定严肃处理，列入集团公司不良供应商名单，取消一定期限内参与集团公司及其属下企业进库或采购活动资格。</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本公告在广州公共资源交易网（网址：http://www.gzggzy.cn）、中国招标投标公共服务平台（网址：http://www.cebpubservice.com）、广州国企阳光采购信息发布平台（网址：http://ygcg.gzggzy.cn/）、广州发展电子采购平台（网址：https://eps.gdg.com.cn）发布，本公告的修改、补充，在广州公共资源交易网发布。</w:t>
      </w:r>
    </w:p>
    <w:p>
      <w:pPr>
        <w:pStyle w:val="3"/>
        <w:adjustRightInd w:val="0"/>
        <w:snapToGrid w:val="0"/>
        <w:spacing w:line="360" w:lineRule="auto"/>
        <w:ind w:left="0" w:firstLine="482" w:firstLineChars="200"/>
        <w:rPr>
          <w:color w:val="auto"/>
          <w:sz w:val="24"/>
        </w:rPr>
      </w:pPr>
      <w:bookmarkStart w:id="416" w:name="_Toc8423"/>
      <w:r>
        <w:rPr>
          <w:rFonts w:hint="eastAsia"/>
          <w:color w:val="auto"/>
          <w:sz w:val="24"/>
        </w:rPr>
        <w:t>十一、</w:t>
      </w:r>
      <w:r>
        <w:rPr>
          <w:color w:val="auto"/>
          <w:sz w:val="24"/>
        </w:rPr>
        <w:t>本项目设置最高</w:t>
      </w:r>
      <w:r>
        <w:rPr>
          <w:rFonts w:hint="eastAsia"/>
          <w:color w:val="auto"/>
          <w:sz w:val="24"/>
        </w:rPr>
        <w:t>建库</w:t>
      </w:r>
      <w:r>
        <w:rPr>
          <w:color w:val="auto"/>
          <w:sz w:val="24"/>
        </w:rPr>
        <w:t>限价，具体要求如下</w:t>
      </w:r>
      <w:r>
        <w:rPr>
          <w:rFonts w:hint="eastAsia"/>
          <w:color w:val="auto"/>
          <w:sz w:val="24"/>
        </w:rPr>
        <w:t>（适用于所有区域企业库）：</w:t>
      </w:r>
      <w:bookmarkEnd w:id="416"/>
    </w:p>
    <w:p>
      <w:pPr>
        <w:numPr>
          <w:ilvl w:val="255"/>
          <w:numId w:val="0"/>
        </w:numPr>
        <w:adjustRightInd w:val="0"/>
        <w:snapToGrid w:val="0"/>
        <w:spacing w:line="360" w:lineRule="auto"/>
        <w:ind w:firstLine="420" w:firstLineChars="200"/>
        <w:rPr>
          <w:rFonts w:hint="eastAsia" w:ascii="宋体" w:hAnsi="宋体"/>
          <w:szCs w:val="21"/>
        </w:rPr>
      </w:pPr>
      <w:r>
        <w:rPr>
          <w:rFonts w:ascii="宋体" w:hAnsi="宋体"/>
          <w:szCs w:val="21"/>
        </w:rPr>
        <w:t>1.</w:t>
      </w:r>
      <w:r>
        <w:rPr>
          <w:rFonts w:hint="eastAsia" w:ascii="宋体" w:hAnsi="宋体" w:cs="宋体"/>
          <w:szCs w:val="21"/>
          <w:lang w:bidi="ar"/>
        </w:rPr>
        <w:t>一体化服务综合单价报价</w:t>
      </w:r>
      <w:r>
        <w:rPr>
          <w:rFonts w:ascii="宋体" w:hAnsi="宋体"/>
          <w:szCs w:val="21"/>
        </w:rPr>
        <w:t>采用</w:t>
      </w:r>
      <w:r>
        <w:rPr>
          <w:rFonts w:hint="eastAsia" w:ascii="宋体" w:hAnsi="宋体"/>
          <w:szCs w:val="21"/>
        </w:rPr>
        <w:t>下浮率</w:t>
      </w:r>
      <w:r>
        <w:rPr>
          <w:rFonts w:ascii="宋体" w:hAnsi="宋体"/>
          <w:szCs w:val="21"/>
        </w:rPr>
        <w:t>报价，</w:t>
      </w:r>
      <w:r>
        <w:rPr>
          <w:rFonts w:hint="eastAsia" w:ascii="宋体" w:hAnsi="宋体"/>
          <w:szCs w:val="21"/>
        </w:rPr>
        <w:t>下浮率至少为</w:t>
      </w:r>
      <w:r>
        <w:rPr>
          <w:rFonts w:hint="eastAsia" w:ascii="宋体" w:hAnsi="宋体"/>
          <w:szCs w:val="21"/>
          <w:lang w:val="en-US" w:eastAsia="zh-CN"/>
        </w:rPr>
        <w:t>0.15%</w:t>
      </w:r>
      <w:r>
        <w:rPr>
          <w:rFonts w:ascii="宋体" w:hAnsi="宋体"/>
          <w:szCs w:val="21"/>
        </w:rPr>
        <w:t>。</w:t>
      </w:r>
    </w:p>
    <w:p>
      <w:pPr>
        <w:adjustRightInd w:val="0"/>
        <w:snapToGrid w:val="0"/>
        <w:spacing w:line="360" w:lineRule="auto"/>
        <w:ind w:firstLine="420" w:firstLineChars="200"/>
        <w:jc w:val="left"/>
        <w:rPr>
          <w:rFonts w:hint="eastAsia" w:ascii="宋体" w:hAnsi="宋体" w:cs="宋体"/>
          <w:sz w:val="24"/>
          <w:szCs w:val="24"/>
        </w:rPr>
      </w:pPr>
      <w:r>
        <w:rPr>
          <w:rFonts w:hint="eastAsia" w:ascii="宋体" w:hAnsi="宋体"/>
          <w:szCs w:val="21"/>
        </w:rPr>
        <w:t xml:space="preserve">2.首年运维综合单价最高建库单价限价 </w:t>
      </w:r>
      <w:r>
        <w:rPr>
          <w:rFonts w:hint="eastAsia" w:ascii="宋体" w:hAnsi="宋体"/>
          <w:szCs w:val="21"/>
          <w:u w:val="single"/>
          <w:lang w:val="en-US" w:eastAsia="zh-CN"/>
        </w:rPr>
        <w:t>0.045</w:t>
      </w:r>
      <w:r>
        <w:rPr>
          <w:rFonts w:hint="eastAsia" w:ascii="宋体" w:hAnsi="宋体"/>
          <w:szCs w:val="21"/>
        </w:rPr>
        <w:t>元/Wp，首年运维综合单价成本警戒价</w:t>
      </w:r>
      <w:r>
        <w:rPr>
          <w:rFonts w:hint="eastAsia" w:ascii="宋体" w:hAnsi="宋体"/>
          <w:szCs w:val="21"/>
          <w:u w:val="single"/>
          <w:lang w:val="en-US" w:eastAsia="zh-CN"/>
        </w:rPr>
        <w:t>0.03</w:t>
      </w:r>
      <w:r>
        <w:rPr>
          <w:rFonts w:hint="eastAsia" w:ascii="宋体" w:hAnsi="宋体"/>
          <w:szCs w:val="21"/>
          <w:u w:val="single"/>
        </w:rPr>
        <w:t>元/Wp</w:t>
      </w:r>
      <w:r>
        <w:rPr>
          <w:rFonts w:hint="eastAsia" w:ascii="宋体" w:hAnsi="宋体"/>
          <w:szCs w:val="21"/>
        </w:rPr>
        <w:t>。</w:t>
      </w:r>
      <w:r>
        <w:rPr>
          <w:rFonts w:hint="eastAsia" w:ascii="宋体" w:hAnsi="宋体" w:cs="宋体"/>
          <w:sz w:val="24"/>
          <w:szCs w:val="24"/>
        </w:rPr>
        <w:t xml:space="preserve">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建库人：广州发展新能源集团股份有限公司</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建库人联系人： 陈工</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电话： 020-87571846</w:t>
      </w:r>
    </w:p>
    <w:p>
      <w:pPr>
        <w:adjustRightInd w:val="0"/>
        <w:snapToGrid w:val="0"/>
        <w:spacing w:line="360" w:lineRule="auto"/>
        <w:ind w:firstLine="420" w:firstLineChars="200"/>
        <w:rPr>
          <w:rFonts w:hint="eastAsia" w:ascii="宋体" w:hAnsi="宋体"/>
          <w:szCs w:val="21"/>
        </w:rPr>
      </w:pPr>
      <w:r>
        <w:rPr>
          <w:rFonts w:hint="eastAsia" w:ascii="宋体" w:hAnsi="宋体"/>
          <w:szCs w:val="21"/>
        </w:rPr>
        <w:t>联系地址：</w:t>
      </w:r>
      <w:bookmarkStart w:id="417" w:name="OLE_LINK8"/>
      <w:r>
        <w:rPr>
          <w:rFonts w:hint="eastAsia" w:ascii="宋体" w:hAnsi="宋体"/>
          <w:szCs w:val="21"/>
        </w:rPr>
        <w:t>广州市临江大道3号发展中心大厦2905室</w:t>
      </w:r>
      <w:bookmarkEnd w:id="417"/>
    </w:p>
    <w:p>
      <w:pPr>
        <w:adjustRightInd w:val="0"/>
        <w:snapToGrid w:val="0"/>
        <w:spacing w:line="360" w:lineRule="auto"/>
        <w:ind w:firstLine="420" w:firstLineChars="200"/>
        <w:rPr>
          <w:rFonts w:hint="eastAsia" w:ascii="宋体" w:hAnsi="宋体"/>
          <w:szCs w:val="21"/>
        </w:rPr>
      </w:pPr>
      <w:r>
        <w:rPr>
          <w:rFonts w:hint="eastAsia" w:ascii="宋体" w:hAnsi="宋体"/>
          <w:szCs w:val="21"/>
        </w:rPr>
        <w:t>邮编：510500</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建库代理机构：广州市广州工程建设监理有限公司</w:t>
      </w:r>
    </w:p>
    <w:p>
      <w:pPr>
        <w:adjustRightInd w:val="0"/>
        <w:snapToGrid w:val="0"/>
        <w:spacing w:line="360" w:lineRule="auto"/>
        <w:ind w:firstLine="420" w:firstLineChars="200"/>
        <w:rPr>
          <w:rFonts w:hint="eastAsia" w:ascii="宋体" w:hAnsi="宋体"/>
          <w:szCs w:val="21"/>
        </w:rPr>
      </w:pPr>
      <w:r>
        <w:rPr>
          <w:rFonts w:hint="eastAsia" w:ascii="宋体" w:hAnsi="宋体"/>
          <w:szCs w:val="21"/>
        </w:rPr>
        <w:t>地    址：广州市白云区白云大道南685号（阁屏商务大厦）8楼808室</w:t>
      </w:r>
    </w:p>
    <w:p>
      <w:pPr>
        <w:adjustRightInd w:val="0"/>
        <w:snapToGrid w:val="0"/>
        <w:spacing w:line="360" w:lineRule="auto"/>
        <w:ind w:firstLine="420" w:firstLineChars="200"/>
        <w:rPr>
          <w:rFonts w:hint="eastAsia" w:ascii="宋体" w:hAnsi="宋体"/>
          <w:szCs w:val="21"/>
        </w:rPr>
      </w:pPr>
      <w:r>
        <w:rPr>
          <w:rFonts w:hint="eastAsia" w:ascii="宋体" w:hAnsi="宋体"/>
          <w:szCs w:val="21"/>
        </w:rPr>
        <w:t>项目联系人：林工</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电    话：</w:t>
      </w:r>
      <w:bookmarkStart w:id="418" w:name="OLE_LINK9"/>
      <w:r>
        <w:rPr>
          <w:rFonts w:hint="eastAsia" w:ascii="宋体" w:hAnsi="宋体"/>
          <w:szCs w:val="21"/>
        </w:rPr>
        <w:t>020-37608020</w:t>
      </w:r>
      <w:bookmarkEnd w:id="418"/>
    </w:p>
    <w:p>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电子邮件：gzjlzb@126.com      </w:t>
      </w:r>
    </w:p>
    <w:p>
      <w:pPr>
        <w:keepNext w:val="0"/>
        <w:keepLines w:val="0"/>
        <w:adjustRightInd/>
        <w:snapToGrid/>
        <w:spacing w:before="0" w:after="0" w:line="240" w:lineRule="auto"/>
        <w:rPr>
          <w:rStyle w:val="14"/>
          <w:rFonts w:hint="eastAsia" w:ascii="宋体" w:hAnsi="宋体" w:cs="宋体"/>
          <w:color w:val="auto"/>
        </w:rPr>
      </w:pPr>
      <w:bookmarkStart w:id="419" w:name="_Toc21006"/>
      <w:bookmarkStart w:id="420" w:name="_Toc10121"/>
      <w:bookmarkStart w:id="421" w:name="_Toc28034"/>
      <w:bookmarkStart w:id="422" w:name="_Toc19074"/>
      <w:bookmarkStart w:id="423" w:name="_Toc18040"/>
      <w:bookmarkStart w:id="424" w:name="_Toc9123"/>
      <w:bookmarkStart w:id="425" w:name="_Toc4366"/>
      <w:bookmarkStart w:id="426" w:name="_Toc17428_WPSOffice_Level2"/>
      <w:bookmarkStart w:id="427" w:name="_Toc20501"/>
      <w:bookmarkStart w:id="428" w:name="_Toc27508"/>
      <w:bookmarkStart w:id="429" w:name="_Toc27845"/>
      <w:bookmarkStart w:id="430" w:name="_Toc20535"/>
      <w:bookmarkStart w:id="431" w:name="_Toc17435"/>
      <w:bookmarkStart w:id="432" w:name="_Toc15928"/>
      <w:bookmarkStart w:id="433" w:name="_Toc5057"/>
      <w:bookmarkStart w:id="434" w:name="_Toc42097168"/>
      <w:bookmarkStart w:id="435" w:name="_Toc44513615"/>
      <w:bookmarkStart w:id="436" w:name="_Toc42110007"/>
      <w:bookmarkStart w:id="437" w:name="_Toc1122"/>
      <w:bookmarkStart w:id="438" w:name="_Toc27772"/>
      <w:bookmarkStart w:id="439" w:name="_Toc4153"/>
      <w:bookmarkStart w:id="440" w:name="_Toc41920138"/>
      <w:r>
        <w:rPr>
          <w:rStyle w:val="14"/>
          <w:rFonts w:hint="eastAsia" w:ascii="宋体" w:hAnsi="宋体" w:cs="宋体"/>
          <w:color w:val="auto"/>
        </w:rPr>
        <w:br w:type="page"/>
      </w:r>
    </w:p>
    <w:p>
      <w:pPr>
        <w:keepNext/>
        <w:keepLines/>
        <w:adjustRightInd w:val="0"/>
        <w:snapToGrid w:val="0"/>
        <w:spacing w:before="260" w:after="260" w:line="360" w:lineRule="auto"/>
        <w:rPr>
          <w:rStyle w:val="14"/>
          <w:rFonts w:hint="eastAsia" w:ascii="宋体" w:hAnsi="宋体" w:cs="宋体"/>
          <w:color w:val="auto"/>
        </w:rPr>
      </w:pPr>
      <w:r>
        <w:rPr>
          <w:rStyle w:val="14"/>
          <w:rFonts w:hint="eastAsia" w:ascii="宋体" w:hAnsi="宋体" w:cs="宋体"/>
          <w:color w:val="auto"/>
        </w:rPr>
        <w:t>附件1：入库登记申请表</w:t>
      </w:r>
      <w:bookmarkEnd w:id="419"/>
    </w:p>
    <w:bookmarkEnd w:id="420"/>
    <w:bookmarkEnd w:id="421"/>
    <w:bookmarkEnd w:id="422"/>
    <w:bookmarkEnd w:id="423"/>
    <w:bookmarkEnd w:id="424"/>
    <w:bookmarkEnd w:id="425"/>
    <w:p>
      <w:pPr>
        <w:widowControl/>
        <w:spacing w:before="260" w:after="260" w:line="360" w:lineRule="auto"/>
        <w:jc w:val="center"/>
        <w:textAlignment w:val="center"/>
        <w:rPr>
          <w:rFonts w:hint="eastAsia" w:ascii="宋体" w:hAnsi="宋体" w:cs="宋体"/>
          <w:b/>
          <w:bCs/>
          <w:kern w:val="0"/>
          <w:sz w:val="28"/>
          <w:szCs w:val="28"/>
          <w:lang w:bidi="ar"/>
        </w:rPr>
      </w:pPr>
      <w:r>
        <w:rPr>
          <w:rFonts w:hint="eastAsia" w:ascii="宋体" w:hAnsi="宋体" w:cs="宋体"/>
          <w:b/>
          <w:bCs/>
          <w:kern w:val="0"/>
          <w:sz w:val="28"/>
          <w:szCs w:val="28"/>
          <w:lang w:bidi="ar"/>
        </w:rPr>
        <w:t>入库登记申请表</w:t>
      </w:r>
    </w:p>
    <w:p>
      <w:pPr>
        <w:pStyle w:val="10"/>
        <w:keepNext/>
        <w:keepLines/>
        <w:spacing w:before="260" w:after="260" w:line="360" w:lineRule="auto"/>
        <w:rPr>
          <w:lang w:bidi="ar"/>
        </w:rPr>
      </w:pPr>
    </w:p>
    <w:tbl>
      <w:tblPr>
        <w:tblStyle w:val="11"/>
        <w:tblW w:w="4998" w:type="pct"/>
        <w:tblInd w:w="0" w:type="dxa"/>
        <w:tblLayout w:type="autofit"/>
        <w:tblCellMar>
          <w:top w:w="15" w:type="dxa"/>
          <w:left w:w="15" w:type="dxa"/>
          <w:bottom w:w="15" w:type="dxa"/>
          <w:right w:w="15" w:type="dxa"/>
        </w:tblCellMar>
      </w:tblPr>
      <w:tblGrid>
        <w:gridCol w:w="1204"/>
        <w:gridCol w:w="1955"/>
        <w:gridCol w:w="1184"/>
        <w:gridCol w:w="1209"/>
        <w:gridCol w:w="1409"/>
        <w:gridCol w:w="1372"/>
      </w:tblGrid>
      <w:tr>
        <w:tblPrEx>
          <w:tblCellMar>
            <w:top w:w="15" w:type="dxa"/>
            <w:left w:w="15" w:type="dxa"/>
            <w:bottom w:w="15" w:type="dxa"/>
            <w:right w:w="15" w:type="dxa"/>
          </w:tblCellMar>
        </w:tblPrEx>
        <w:trPr>
          <w:trHeight w:val="540" w:hRule="atLeast"/>
        </w:trPr>
        <w:tc>
          <w:tcPr>
            <w:tcW w:w="723" w:type="pct"/>
            <w:vAlign w:val="center"/>
          </w:tcPr>
          <w:p>
            <w:pPr>
              <w:rPr>
                <w:rFonts w:hint="eastAsia" w:ascii="宋体" w:hAnsi="宋体" w:cs="宋体"/>
                <w:sz w:val="22"/>
              </w:rPr>
            </w:pPr>
            <w:bookmarkStart w:id="441" w:name="_Toc26393"/>
            <w:bookmarkStart w:id="442" w:name="_Toc22918"/>
          </w:p>
        </w:tc>
        <w:tc>
          <w:tcPr>
            <w:tcW w:w="1173" w:type="pct"/>
            <w:vAlign w:val="center"/>
          </w:tcPr>
          <w:p>
            <w:pPr>
              <w:rPr>
                <w:rFonts w:hint="eastAsia" w:ascii="宋体" w:hAnsi="宋体" w:cs="宋体"/>
                <w:sz w:val="22"/>
              </w:rPr>
            </w:pPr>
          </w:p>
        </w:tc>
        <w:tc>
          <w:tcPr>
            <w:tcW w:w="710" w:type="pct"/>
            <w:vAlign w:val="center"/>
          </w:tcPr>
          <w:p>
            <w:pPr>
              <w:rPr>
                <w:rFonts w:hint="eastAsia" w:ascii="宋体" w:hAnsi="宋体" w:cs="宋体"/>
                <w:sz w:val="22"/>
              </w:rPr>
            </w:pPr>
          </w:p>
        </w:tc>
        <w:tc>
          <w:tcPr>
            <w:tcW w:w="725" w:type="pct"/>
            <w:vAlign w:val="center"/>
          </w:tcPr>
          <w:p>
            <w:pPr>
              <w:rPr>
                <w:rFonts w:hint="eastAsia" w:ascii="宋体" w:hAnsi="宋体" w:cs="宋体"/>
                <w:sz w:val="22"/>
              </w:rPr>
            </w:pPr>
          </w:p>
        </w:tc>
        <w:tc>
          <w:tcPr>
            <w:tcW w:w="1667" w:type="pct"/>
            <w:gridSpan w:val="2"/>
            <w:tcBorders>
              <w:bottom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 xml:space="preserve">        年     月     日</w:t>
            </w:r>
          </w:p>
        </w:tc>
      </w:tr>
      <w:tr>
        <w:tblPrEx>
          <w:tblCellMar>
            <w:top w:w="15" w:type="dxa"/>
            <w:left w:w="15" w:type="dxa"/>
            <w:bottom w:w="15" w:type="dxa"/>
            <w:right w:w="15" w:type="dxa"/>
          </w:tblCellMar>
        </w:tblPrEx>
        <w:trPr>
          <w:trHeight w:val="885" w:hRule="atLeast"/>
        </w:trPr>
        <w:tc>
          <w:tcPr>
            <w:tcW w:w="7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项目名称</w:t>
            </w:r>
          </w:p>
        </w:tc>
        <w:tc>
          <w:tcPr>
            <w:tcW w:w="2608"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2"/>
              </w:rPr>
            </w:pPr>
            <w:r>
              <w:rPr>
                <w:rFonts w:hint="eastAsia" w:ascii="宋体" w:hAnsi="宋体" w:cs="宋体"/>
                <w:sz w:val="22"/>
              </w:rPr>
              <w:t>广州发展新能源集团股份有限公司2025-2026年度小微分布式光伏设备集成及开发移交一体化服务企业库（第四批）建库项目</w:t>
            </w:r>
          </w:p>
        </w:tc>
        <w:tc>
          <w:tcPr>
            <w:tcW w:w="8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区域企业库名称</w:t>
            </w:r>
          </w:p>
        </w:tc>
        <w:tc>
          <w:tcPr>
            <w:tcW w:w="822"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2"/>
              </w:rPr>
            </w:pPr>
            <w:r>
              <w:rPr>
                <w:rFonts w:hint="eastAsia" w:ascii="宋体" w:hAnsi="宋体" w:cs="宋体"/>
                <w:sz w:val="22"/>
              </w:rPr>
              <w:t>（区域企业库一：</w:t>
            </w:r>
            <w:r>
              <w:rPr>
                <w:rFonts w:hint="eastAsia" w:ascii="宋体" w:hAnsi="宋体" w:cs="宋体"/>
                <w:sz w:val="22"/>
                <w:lang w:eastAsia="zh-CN"/>
              </w:rPr>
              <w:t>河北</w:t>
            </w:r>
            <w:r>
              <w:rPr>
                <w:rFonts w:hint="eastAsia" w:ascii="宋体" w:hAnsi="宋体" w:cs="宋体"/>
                <w:sz w:val="22"/>
              </w:rPr>
              <w:t>区域企业库</w:t>
            </w:r>
            <w:r>
              <w:rPr>
                <w:rFonts w:hint="eastAsia" w:ascii="宋体" w:hAnsi="宋体" w:cs="宋体"/>
                <w:b/>
                <w:bCs/>
                <w:sz w:val="22"/>
              </w:rPr>
              <w:t>/</w:t>
            </w:r>
            <w:r>
              <w:rPr>
                <w:rFonts w:hint="eastAsia" w:ascii="宋体" w:hAnsi="宋体" w:cs="宋体"/>
                <w:sz w:val="22"/>
              </w:rPr>
              <w:t>区域企业库二：苏皖浙湘鄂区域企业库）</w:t>
            </w:r>
          </w:p>
        </w:tc>
      </w:tr>
      <w:tr>
        <w:tblPrEx>
          <w:tblCellMar>
            <w:top w:w="15" w:type="dxa"/>
            <w:left w:w="15" w:type="dxa"/>
            <w:bottom w:w="15" w:type="dxa"/>
            <w:right w:w="15" w:type="dxa"/>
          </w:tblCellMar>
        </w:tblPrEx>
        <w:trPr>
          <w:trHeight w:val="1570" w:hRule="atLeast"/>
        </w:trPr>
        <w:tc>
          <w:tcPr>
            <w:tcW w:w="7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入库申请人名称</w:t>
            </w:r>
          </w:p>
        </w:tc>
        <w:tc>
          <w:tcPr>
            <w:tcW w:w="11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2"/>
              </w:rPr>
            </w:pPr>
          </w:p>
        </w:tc>
        <w:tc>
          <w:tcPr>
            <w:tcW w:w="7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被授权代理人</w:t>
            </w:r>
          </w:p>
        </w:tc>
        <w:tc>
          <w:tcPr>
            <w:tcW w:w="725"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2"/>
              </w:rPr>
            </w:pPr>
          </w:p>
        </w:tc>
        <w:tc>
          <w:tcPr>
            <w:tcW w:w="8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联系电话</w:t>
            </w:r>
          </w:p>
        </w:tc>
        <w:tc>
          <w:tcPr>
            <w:tcW w:w="822"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2"/>
              </w:rPr>
            </w:pPr>
          </w:p>
        </w:tc>
      </w:tr>
      <w:tr>
        <w:tblPrEx>
          <w:tblCellMar>
            <w:top w:w="15" w:type="dxa"/>
            <w:left w:w="15" w:type="dxa"/>
            <w:bottom w:w="15" w:type="dxa"/>
            <w:right w:w="15" w:type="dxa"/>
          </w:tblCellMar>
        </w:tblPrEx>
        <w:trPr>
          <w:trHeight w:val="1343" w:hRule="atLeast"/>
        </w:trPr>
        <w:tc>
          <w:tcPr>
            <w:tcW w:w="7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保证书</w:t>
            </w:r>
          </w:p>
        </w:tc>
        <w:tc>
          <w:tcPr>
            <w:tcW w:w="4276" w:type="pct"/>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2"/>
              </w:rPr>
            </w:pPr>
            <w:r>
              <w:rPr>
                <w:rFonts w:hint="eastAsia" w:ascii="宋体" w:hAnsi="宋体" w:cs="宋体"/>
                <w:kern w:val="0"/>
                <w:sz w:val="22"/>
                <w:lang w:bidi="ar"/>
              </w:rPr>
              <w:t>我公司保证该项目由本单位承包，不接受他人挂靠，不转包，不非法分包。如有违反，责任自负。</w:t>
            </w:r>
          </w:p>
        </w:tc>
      </w:tr>
      <w:tr>
        <w:tblPrEx>
          <w:tblCellMar>
            <w:top w:w="15" w:type="dxa"/>
            <w:left w:w="15" w:type="dxa"/>
            <w:bottom w:w="15" w:type="dxa"/>
            <w:right w:w="15" w:type="dxa"/>
          </w:tblCellMar>
        </w:tblPrEx>
        <w:trPr>
          <w:trHeight w:val="2463" w:hRule="atLeast"/>
        </w:trPr>
        <w:tc>
          <w:tcPr>
            <w:tcW w:w="7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申请人盖章</w:t>
            </w:r>
          </w:p>
        </w:tc>
        <w:tc>
          <w:tcPr>
            <w:tcW w:w="117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2"/>
              </w:rPr>
            </w:pPr>
          </w:p>
        </w:tc>
        <w:tc>
          <w:tcPr>
            <w:tcW w:w="143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2"/>
              </w:rPr>
            </w:pPr>
            <w:r>
              <w:rPr>
                <w:rFonts w:hint="eastAsia" w:ascii="宋体" w:hAnsi="宋体" w:cs="宋体"/>
                <w:kern w:val="0"/>
                <w:sz w:val="22"/>
                <w:lang w:bidi="ar"/>
              </w:rPr>
              <w:t>法定代表人盖章或签字</w:t>
            </w:r>
          </w:p>
        </w:tc>
        <w:tc>
          <w:tcPr>
            <w:tcW w:w="1667"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2"/>
              </w:rPr>
            </w:pPr>
          </w:p>
        </w:tc>
      </w:tr>
    </w:tbl>
    <w:p/>
    <w:p>
      <w:pPr>
        <w:pStyle w:val="15"/>
        <w:rPr>
          <w:color w:val="auto"/>
        </w:rPr>
      </w:pPr>
    </w:p>
    <w:p>
      <w:pPr>
        <w:pStyle w:val="4"/>
      </w:pPr>
    </w:p>
    <w:p/>
    <w:p>
      <w:pPr>
        <w:pStyle w:val="15"/>
        <w:rPr>
          <w:color w:val="auto"/>
        </w:rPr>
      </w:pPr>
    </w:p>
    <w:p>
      <w:pPr>
        <w:pStyle w:val="4"/>
      </w:pPr>
    </w:p>
    <w:p/>
    <w:p>
      <w:pPr>
        <w:pStyle w:val="4"/>
      </w:pPr>
    </w:p>
    <w:p/>
    <w:p>
      <w:bookmarkStart w:id="443" w:name="_Toc17102"/>
      <w:bookmarkStart w:id="444" w:name="_Toc5485"/>
      <w:bookmarkStart w:id="445" w:name="_Toc9093"/>
      <w:bookmarkStart w:id="446" w:name="_Toc27687"/>
      <w:r>
        <w:br w:type="page"/>
      </w:r>
    </w:p>
    <w:p>
      <w:pPr>
        <w:pStyle w:val="3"/>
        <w:keepNext/>
        <w:keepLines/>
        <w:spacing w:before="260" w:after="260" w:line="360" w:lineRule="auto"/>
        <w:rPr>
          <w:b w:val="0"/>
          <w:color w:val="auto"/>
        </w:rPr>
      </w:pPr>
      <w:r>
        <w:rPr>
          <w:rFonts w:hint="eastAsia" w:ascii="宋体" w:hAnsi="宋体" w:cs="宋体"/>
          <w:color w:val="auto"/>
        </w:rPr>
        <w:t>附件2：建库项目异</w:t>
      </w:r>
      <w:bookmarkEnd w:id="426"/>
      <w:r>
        <w:rPr>
          <w:rFonts w:hint="eastAsia" w:ascii="宋体" w:hAnsi="宋体" w:cs="宋体"/>
          <w:color w:val="auto"/>
        </w:rPr>
        <w:t>议函</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spacing w:line="276"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建库项目异议函</w:t>
      </w:r>
    </w:p>
    <w:p>
      <w:pPr>
        <w:pStyle w:val="5"/>
        <w:autoSpaceDE w:val="0"/>
        <w:autoSpaceDN w:val="0"/>
        <w:spacing w:before="26" w:line="276" w:lineRule="auto"/>
        <w:jc w:val="left"/>
        <w:rPr>
          <w:rFonts w:hint="eastAsia" w:ascii="宋体" w:hAnsi="宋体"/>
          <w:bCs/>
          <w:szCs w:val="21"/>
        </w:rPr>
      </w:pPr>
      <w:r>
        <w:rPr>
          <w:rFonts w:ascii="宋体" w:hAnsi="宋体"/>
          <w:bCs/>
          <w:szCs w:val="21"/>
        </w:rPr>
        <w:t>致：</w:t>
      </w:r>
      <w:r>
        <w:rPr>
          <w:rFonts w:hint="eastAsia" w:ascii="宋体" w:hAnsi="宋体"/>
          <w:bCs/>
          <w:szCs w:val="21"/>
        </w:rPr>
        <w:t>建库</w:t>
      </w:r>
      <w:r>
        <w:rPr>
          <w:rFonts w:ascii="宋体" w:hAnsi="宋体"/>
          <w:bCs/>
          <w:szCs w:val="21"/>
        </w:rPr>
        <w:t>人</w:t>
      </w:r>
    </w:p>
    <w:p>
      <w:pPr>
        <w:pStyle w:val="5"/>
        <w:tabs>
          <w:tab w:val="left" w:pos="6235"/>
        </w:tabs>
        <w:autoSpaceDE w:val="0"/>
        <w:autoSpaceDN w:val="0"/>
        <w:spacing w:before="154" w:line="276" w:lineRule="auto"/>
        <w:ind w:left="595" w:right="1009" w:hanging="480"/>
        <w:jc w:val="left"/>
        <w:rPr>
          <w:rFonts w:hint="eastAsia" w:ascii="宋体" w:hAnsi="宋体"/>
          <w:bCs/>
          <w:szCs w:val="21"/>
        </w:rPr>
      </w:pPr>
      <w:r>
        <w:rPr>
          <w:rFonts w:ascii="宋体" w:hAnsi="宋体"/>
          <w:bCs/>
          <w:szCs w:val="21"/>
          <w:u w:val="single"/>
        </w:rPr>
        <w:t>（潜在</w:t>
      </w:r>
      <w:r>
        <w:rPr>
          <w:rFonts w:hint="eastAsia" w:ascii="宋体" w:hAnsi="宋体"/>
          <w:bCs/>
          <w:szCs w:val="21"/>
          <w:u w:val="single"/>
        </w:rPr>
        <w:t>入库申请</w:t>
      </w:r>
      <w:r>
        <w:rPr>
          <w:rFonts w:ascii="宋体" w:hAnsi="宋体"/>
          <w:bCs/>
          <w:szCs w:val="21"/>
          <w:u w:val="single"/>
        </w:rPr>
        <w:t>人或</w:t>
      </w:r>
      <w:r>
        <w:rPr>
          <w:rFonts w:hint="eastAsia" w:ascii="宋体" w:hAnsi="宋体"/>
          <w:bCs/>
          <w:szCs w:val="21"/>
          <w:u w:val="single"/>
        </w:rPr>
        <w:t>入库申请</w:t>
      </w:r>
      <w:r>
        <w:rPr>
          <w:rFonts w:ascii="宋体" w:hAnsi="宋体"/>
          <w:bCs/>
          <w:szCs w:val="21"/>
          <w:u w:val="single"/>
        </w:rPr>
        <w:t>人或其他利害关系人）</w:t>
      </w:r>
      <w:r>
        <w:rPr>
          <w:rFonts w:ascii="宋体" w:hAnsi="宋体"/>
          <w:bCs/>
          <w:szCs w:val="21"/>
        </w:rPr>
        <w:t>现就</w:t>
      </w:r>
      <w:r>
        <w:rPr>
          <w:rFonts w:ascii="宋体" w:hAnsi="宋体"/>
          <w:bCs/>
          <w:szCs w:val="21"/>
          <w:u w:val="single"/>
        </w:rPr>
        <w:tab/>
      </w:r>
      <w:r>
        <w:rPr>
          <w:rFonts w:ascii="宋体" w:hAnsi="宋体"/>
          <w:bCs/>
          <w:szCs w:val="21"/>
          <w:u w:val="single"/>
        </w:rPr>
        <w:t>项目</w:t>
      </w:r>
      <w:r>
        <w:rPr>
          <w:rFonts w:ascii="宋体" w:hAnsi="宋体"/>
          <w:bCs/>
          <w:szCs w:val="21"/>
        </w:rPr>
        <w:t>提出异议。</w:t>
      </w:r>
    </w:p>
    <w:p>
      <w:pPr>
        <w:pStyle w:val="5"/>
        <w:tabs>
          <w:tab w:val="left" w:pos="6235"/>
        </w:tabs>
        <w:autoSpaceDE w:val="0"/>
        <w:autoSpaceDN w:val="0"/>
        <w:spacing w:before="154" w:line="276" w:lineRule="auto"/>
        <w:ind w:right="1009" w:firstLine="420" w:firstLineChars="200"/>
        <w:jc w:val="left"/>
        <w:rPr>
          <w:rFonts w:hint="eastAsia" w:ascii="宋体" w:hAnsi="宋体"/>
          <w:bCs/>
          <w:szCs w:val="21"/>
        </w:rPr>
      </w:pPr>
      <w:r>
        <w:rPr>
          <w:rFonts w:ascii="宋体" w:hAnsi="宋体"/>
          <w:bCs/>
          <w:szCs w:val="21"/>
        </w:rPr>
        <w:t>异议的对象：</w:t>
      </w:r>
    </w:p>
    <w:p>
      <w:pPr>
        <w:pStyle w:val="5"/>
        <w:autoSpaceDE w:val="0"/>
        <w:autoSpaceDN w:val="0"/>
        <w:spacing w:before="190" w:line="276" w:lineRule="auto"/>
        <w:ind w:right="5929" w:firstLine="420" w:firstLineChars="200"/>
        <w:jc w:val="left"/>
        <w:rPr>
          <w:rFonts w:hint="eastAsia" w:ascii="宋体" w:hAnsi="宋体"/>
          <w:bCs/>
          <w:szCs w:val="21"/>
        </w:rPr>
      </w:pPr>
      <w:r>
        <w:rPr>
          <w:rFonts w:ascii="宋体" w:hAnsi="宋体"/>
          <w:bCs/>
          <w:szCs w:val="21"/>
        </w:rPr>
        <w:t>提出异议的基本事实：</w:t>
      </w:r>
    </w:p>
    <w:p>
      <w:pPr>
        <w:pStyle w:val="5"/>
        <w:autoSpaceDE w:val="0"/>
        <w:autoSpaceDN w:val="0"/>
        <w:spacing w:before="190" w:line="276" w:lineRule="auto"/>
        <w:ind w:right="5929" w:firstLine="420" w:firstLineChars="200"/>
        <w:jc w:val="left"/>
        <w:rPr>
          <w:rFonts w:hint="eastAsia" w:ascii="宋体" w:hAnsi="宋体"/>
          <w:bCs/>
          <w:szCs w:val="21"/>
        </w:rPr>
      </w:pPr>
      <w:r>
        <w:rPr>
          <w:rFonts w:ascii="宋体" w:hAnsi="宋体"/>
          <w:bCs/>
          <w:szCs w:val="21"/>
        </w:rPr>
        <w:t>相关请求及主张：</w:t>
      </w:r>
    </w:p>
    <w:p>
      <w:pPr>
        <w:pStyle w:val="5"/>
        <w:autoSpaceDE w:val="0"/>
        <w:autoSpaceDN w:val="0"/>
        <w:spacing w:before="146" w:line="276" w:lineRule="auto"/>
        <w:ind w:firstLine="420" w:firstLineChars="200"/>
        <w:jc w:val="left"/>
        <w:rPr>
          <w:rFonts w:hint="eastAsia" w:ascii="宋体" w:hAnsi="宋体"/>
          <w:bCs/>
          <w:szCs w:val="21"/>
        </w:rPr>
      </w:pPr>
      <w:r>
        <w:rPr>
          <w:rFonts w:ascii="宋体" w:hAnsi="宋体"/>
          <w:bCs/>
          <w:szCs w:val="21"/>
        </w:rPr>
        <w:t>附件：相关证明材料有效线索</w:t>
      </w:r>
    </w:p>
    <w:p>
      <w:pPr>
        <w:pStyle w:val="5"/>
        <w:autoSpaceDE w:val="0"/>
        <w:autoSpaceDN w:val="0"/>
        <w:spacing w:before="6" w:line="276" w:lineRule="auto"/>
        <w:jc w:val="left"/>
        <w:rPr>
          <w:rFonts w:hint="eastAsia" w:ascii="宋体" w:hAnsi="宋体"/>
          <w:bCs/>
          <w:szCs w:val="21"/>
        </w:rPr>
      </w:pPr>
    </w:p>
    <w:p>
      <w:pPr>
        <w:pStyle w:val="5"/>
        <w:autoSpaceDE w:val="0"/>
        <w:autoSpaceDN w:val="0"/>
        <w:spacing w:before="1" w:line="276" w:lineRule="auto"/>
        <w:ind w:left="115" w:firstLine="210" w:firstLineChars="100"/>
        <w:jc w:val="left"/>
        <w:rPr>
          <w:rFonts w:hint="eastAsia" w:ascii="宋体" w:hAnsi="宋体"/>
          <w:bCs/>
          <w:szCs w:val="21"/>
        </w:rPr>
      </w:pPr>
      <w:r>
        <w:rPr>
          <w:rFonts w:ascii="宋体" w:hAnsi="宋体"/>
          <w:bCs/>
          <w:szCs w:val="21"/>
        </w:rPr>
        <w:t>异议提起人： （公司名称）</w:t>
      </w:r>
    </w:p>
    <w:p>
      <w:pPr>
        <w:pStyle w:val="5"/>
        <w:tabs>
          <w:tab w:val="left" w:pos="5875"/>
        </w:tabs>
        <w:autoSpaceDE w:val="0"/>
        <w:autoSpaceDN w:val="0"/>
        <w:spacing w:before="154" w:line="276" w:lineRule="auto"/>
        <w:ind w:left="115" w:firstLine="210" w:firstLineChars="100"/>
        <w:jc w:val="left"/>
        <w:rPr>
          <w:rFonts w:hint="eastAsia" w:ascii="宋体" w:hAnsi="宋体"/>
          <w:bCs/>
          <w:szCs w:val="21"/>
        </w:rPr>
      </w:pPr>
      <w:r>
        <w:rPr>
          <w:rFonts w:ascii="宋体" w:hAnsi="宋体"/>
          <w:bCs/>
          <w:szCs w:val="21"/>
        </w:rPr>
        <w:t>地址：</w:t>
      </w:r>
      <w:r>
        <w:rPr>
          <w:rFonts w:ascii="宋体" w:hAnsi="宋体"/>
          <w:bCs/>
          <w:szCs w:val="21"/>
        </w:rPr>
        <w:tab/>
      </w:r>
      <w:r>
        <w:rPr>
          <w:rFonts w:ascii="宋体" w:hAnsi="宋体"/>
          <w:bCs/>
          <w:szCs w:val="21"/>
        </w:rPr>
        <w:t>邮编：</w:t>
      </w:r>
    </w:p>
    <w:p>
      <w:pPr>
        <w:pStyle w:val="5"/>
        <w:tabs>
          <w:tab w:val="left" w:pos="5875"/>
        </w:tabs>
        <w:autoSpaceDE w:val="0"/>
        <w:autoSpaceDN w:val="0"/>
        <w:spacing w:before="154" w:line="276" w:lineRule="auto"/>
        <w:ind w:left="115" w:firstLine="210" w:firstLineChars="100"/>
        <w:jc w:val="left"/>
        <w:rPr>
          <w:rFonts w:hint="eastAsia" w:ascii="宋体" w:hAnsi="宋体"/>
          <w:bCs/>
          <w:szCs w:val="21"/>
        </w:rPr>
      </w:pPr>
      <w:r>
        <w:rPr>
          <w:rFonts w:ascii="宋体" w:hAnsi="宋体"/>
          <w:bCs/>
          <w:szCs w:val="21"/>
        </w:rPr>
        <w:t>法定代表人：</w:t>
      </w:r>
      <w:r>
        <w:rPr>
          <w:rFonts w:ascii="宋体" w:hAnsi="宋体"/>
          <w:bCs/>
          <w:szCs w:val="21"/>
        </w:rPr>
        <w:tab/>
      </w:r>
      <w:r>
        <w:rPr>
          <w:rFonts w:ascii="宋体" w:hAnsi="宋体"/>
          <w:bCs/>
          <w:szCs w:val="21"/>
        </w:rPr>
        <w:t>联系电话：</w:t>
      </w:r>
    </w:p>
    <w:p>
      <w:pPr>
        <w:pStyle w:val="5"/>
        <w:autoSpaceDE w:val="0"/>
        <w:autoSpaceDN w:val="0"/>
        <w:spacing w:before="154" w:line="276" w:lineRule="auto"/>
        <w:ind w:left="115" w:firstLine="210" w:firstLineChars="100"/>
        <w:jc w:val="left"/>
        <w:rPr>
          <w:rFonts w:hint="eastAsia" w:ascii="宋体" w:hAnsi="宋体"/>
          <w:bCs/>
          <w:szCs w:val="21"/>
        </w:rPr>
      </w:pPr>
      <w:r>
        <w:rPr>
          <w:rFonts w:ascii="宋体" w:hAnsi="宋体"/>
          <w:bCs/>
          <w:szCs w:val="21"/>
        </w:rPr>
        <w:t>法定代表人有效身份证明文件：</w:t>
      </w:r>
    </w:p>
    <w:p>
      <w:pPr>
        <w:pStyle w:val="5"/>
        <w:autoSpaceDE w:val="0"/>
        <w:autoSpaceDN w:val="0"/>
        <w:spacing w:before="1" w:line="276" w:lineRule="auto"/>
        <w:ind w:left="115" w:firstLine="210" w:firstLineChars="100"/>
        <w:jc w:val="left"/>
        <w:rPr>
          <w:rFonts w:hint="eastAsia" w:ascii="宋体" w:hAnsi="宋体"/>
          <w:bCs/>
          <w:szCs w:val="21"/>
        </w:rPr>
      </w:pPr>
      <w:r>
        <w:rPr>
          <w:rFonts w:ascii="宋体" w:hAnsi="宋体"/>
          <w:bCs/>
          <w:szCs w:val="21"/>
        </w:rPr>
        <w:t>或者：</w:t>
      </w:r>
    </w:p>
    <w:p>
      <w:pPr>
        <w:pStyle w:val="5"/>
        <w:tabs>
          <w:tab w:val="left" w:pos="5035"/>
        </w:tabs>
        <w:autoSpaceDE w:val="0"/>
        <w:autoSpaceDN w:val="0"/>
        <w:spacing w:before="154" w:line="276" w:lineRule="auto"/>
        <w:ind w:left="115" w:firstLine="210" w:firstLineChars="100"/>
        <w:jc w:val="left"/>
        <w:rPr>
          <w:rFonts w:hint="eastAsia" w:ascii="宋体" w:hAnsi="宋体"/>
          <w:bCs/>
          <w:szCs w:val="21"/>
        </w:rPr>
      </w:pPr>
      <w:r>
        <w:rPr>
          <w:rFonts w:ascii="宋体" w:hAnsi="宋体"/>
          <w:bCs/>
          <w:szCs w:val="21"/>
        </w:rPr>
        <w:t>异议提起人授权代表：</w:t>
      </w:r>
      <w:r>
        <w:rPr>
          <w:rFonts w:ascii="宋体" w:hAnsi="宋体"/>
          <w:bCs/>
          <w:szCs w:val="21"/>
        </w:rPr>
        <w:tab/>
      </w:r>
      <w:r>
        <w:rPr>
          <w:rFonts w:hint="eastAsia" w:ascii="宋体" w:hAnsi="宋体"/>
          <w:bCs/>
          <w:szCs w:val="21"/>
        </w:rPr>
        <w:t xml:space="preserve">        </w:t>
      </w:r>
      <w:r>
        <w:rPr>
          <w:rFonts w:ascii="宋体" w:hAnsi="宋体"/>
          <w:bCs/>
          <w:szCs w:val="21"/>
        </w:rPr>
        <w:t>联系电话：</w:t>
      </w:r>
    </w:p>
    <w:p>
      <w:pPr>
        <w:pStyle w:val="5"/>
        <w:tabs>
          <w:tab w:val="left" w:pos="5875"/>
        </w:tabs>
        <w:autoSpaceDE w:val="0"/>
        <w:autoSpaceDN w:val="0"/>
        <w:spacing w:before="154" w:line="276" w:lineRule="auto"/>
        <w:ind w:left="115" w:firstLine="210" w:firstLineChars="100"/>
        <w:jc w:val="left"/>
        <w:rPr>
          <w:rFonts w:hint="eastAsia" w:ascii="宋体" w:hAnsi="宋体"/>
          <w:bCs/>
          <w:szCs w:val="21"/>
        </w:rPr>
      </w:pPr>
      <w:r>
        <w:rPr>
          <w:rFonts w:ascii="宋体" w:hAnsi="宋体"/>
          <w:bCs/>
          <w:szCs w:val="21"/>
        </w:rPr>
        <w:t>地址：</w:t>
      </w:r>
      <w:r>
        <w:rPr>
          <w:rFonts w:ascii="宋体" w:hAnsi="宋体"/>
          <w:bCs/>
          <w:szCs w:val="21"/>
        </w:rPr>
        <w:tab/>
      </w:r>
      <w:r>
        <w:rPr>
          <w:rFonts w:ascii="宋体" w:hAnsi="宋体"/>
          <w:bCs/>
          <w:szCs w:val="21"/>
        </w:rPr>
        <w:t>邮箱地址：</w:t>
      </w:r>
    </w:p>
    <w:p>
      <w:pPr>
        <w:pStyle w:val="5"/>
        <w:autoSpaceDE w:val="0"/>
        <w:autoSpaceDN w:val="0"/>
        <w:spacing w:before="154" w:line="276" w:lineRule="auto"/>
        <w:ind w:left="115" w:firstLine="210" w:firstLineChars="100"/>
        <w:jc w:val="left"/>
        <w:rPr>
          <w:rFonts w:hint="eastAsia" w:ascii="宋体" w:hAnsi="宋体"/>
          <w:bCs/>
          <w:szCs w:val="21"/>
        </w:rPr>
      </w:pPr>
      <w:r>
        <w:rPr>
          <w:rFonts w:ascii="宋体" w:hAnsi="宋体"/>
          <w:bCs/>
          <w:szCs w:val="21"/>
        </w:rPr>
        <w:t>授权代表人有效身份证明文件：</w:t>
      </w:r>
    </w:p>
    <w:p>
      <w:pPr>
        <w:pStyle w:val="5"/>
        <w:autoSpaceDE w:val="0"/>
        <w:autoSpaceDN w:val="0"/>
        <w:spacing w:line="276" w:lineRule="auto"/>
        <w:jc w:val="left"/>
        <w:rPr>
          <w:rFonts w:hint="eastAsia" w:ascii="宋体" w:hAnsi="宋体"/>
          <w:bCs/>
          <w:szCs w:val="21"/>
        </w:rPr>
      </w:pPr>
    </w:p>
    <w:p>
      <w:pPr>
        <w:pStyle w:val="5"/>
        <w:autoSpaceDE w:val="0"/>
        <w:autoSpaceDN w:val="0"/>
        <w:spacing w:line="276" w:lineRule="auto"/>
        <w:ind w:left="3956" w:firstLine="840" w:firstLineChars="400"/>
        <w:jc w:val="left"/>
        <w:rPr>
          <w:rFonts w:hint="eastAsia" w:ascii="宋体" w:hAnsi="宋体"/>
          <w:bCs/>
          <w:szCs w:val="21"/>
        </w:rPr>
      </w:pPr>
      <w:r>
        <w:rPr>
          <w:rFonts w:ascii="宋体" w:hAnsi="宋体"/>
          <w:bCs/>
          <w:szCs w:val="21"/>
        </w:rPr>
        <w:t>异议提起人：（盖章）</w:t>
      </w:r>
    </w:p>
    <w:p>
      <w:pPr>
        <w:pStyle w:val="5"/>
        <w:autoSpaceDE w:val="0"/>
        <w:autoSpaceDN w:val="0"/>
        <w:spacing w:before="154" w:line="276" w:lineRule="auto"/>
        <w:ind w:left="3956" w:right="1129" w:firstLine="630" w:firstLineChars="300"/>
        <w:jc w:val="left"/>
        <w:rPr>
          <w:rFonts w:hint="eastAsia" w:ascii="宋体" w:hAnsi="宋体"/>
          <w:bCs/>
          <w:szCs w:val="21"/>
        </w:rPr>
      </w:pPr>
      <w:r>
        <w:rPr>
          <w:rFonts w:ascii="宋体" w:hAnsi="宋体"/>
          <w:bCs/>
          <w:szCs w:val="21"/>
        </w:rPr>
        <w:t>法定代表人或授权代表人：（签署）</w:t>
      </w:r>
    </w:p>
    <w:p>
      <w:pPr>
        <w:pStyle w:val="5"/>
        <w:autoSpaceDE w:val="0"/>
        <w:autoSpaceDN w:val="0"/>
        <w:spacing w:before="154" w:line="276" w:lineRule="auto"/>
        <w:ind w:left="3956" w:right="1129" w:firstLine="1050" w:firstLineChars="500"/>
        <w:jc w:val="left"/>
        <w:rPr>
          <w:rFonts w:hint="eastAsia" w:ascii="宋体" w:hAnsi="宋体"/>
          <w:bCs/>
          <w:szCs w:val="21"/>
        </w:rPr>
      </w:pPr>
      <w:r>
        <w:rPr>
          <w:rFonts w:ascii="宋体" w:hAnsi="宋体"/>
          <w:bCs/>
          <w:szCs w:val="21"/>
        </w:rPr>
        <w:t>提出日期：年月日</w:t>
      </w:r>
    </w:p>
    <w:p>
      <w:pPr>
        <w:rPr>
          <w:rFonts w:hint="eastAsia" w:ascii="宋体" w:hAnsi="宋体"/>
          <w:szCs w:val="21"/>
        </w:rPr>
      </w:pPr>
      <w:r>
        <w:rPr>
          <w:rFonts w:ascii="宋体" w:hAnsi="宋体"/>
          <w:szCs w:val="21"/>
        </w:rPr>
        <w:t>注：授权代表人签署的，应附上有效的授权委托书。</w:t>
      </w: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widowControl/>
        <w:jc w:val="left"/>
        <w:rPr>
          <w:rFonts w:hint="eastAsia" w:ascii="宋体" w:hAnsi="宋体"/>
        </w:rPr>
      </w:pPr>
    </w:p>
    <w:p>
      <w:pPr>
        <w:pStyle w:val="3"/>
        <w:keepNext/>
        <w:keepLines/>
        <w:wordWrap w:val="0"/>
        <w:spacing w:before="260" w:after="260" w:line="360" w:lineRule="auto"/>
        <w:rPr>
          <w:rFonts w:hint="eastAsia" w:ascii="宋体" w:hAnsi="宋体" w:cs="宋体"/>
          <w:color w:val="auto"/>
        </w:rPr>
      </w:pPr>
      <w:bookmarkStart w:id="447" w:name="_Toc29834"/>
      <w:r>
        <w:rPr>
          <w:rFonts w:hint="eastAsia" w:ascii="宋体" w:hAnsi="宋体" w:cs="宋体"/>
          <w:color w:val="auto"/>
        </w:rPr>
        <w:t>附件3：联合体协议（如有）</w:t>
      </w:r>
      <w:bookmarkEnd w:id="447"/>
    </w:p>
    <w:p/>
    <w:p>
      <w:pPr>
        <w:pStyle w:val="16"/>
        <w:wordWrap w:val="0"/>
        <w:spacing w:line="400" w:lineRule="exact"/>
        <w:ind w:right="-31" w:rightChars="-15" w:firstLine="5258" w:firstLineChars="2504"/>
        <w:rPr>
          <w:rFonts w:hint="eastAsia" w:ascii="宋体" w:hAnsi="宋体" w:eastAsia="宋体" w:cs="宋体"/>
          <w:color w:val="auto"/>
          <w:sz w:val="21"/>
          <w:szCs w:val="21"/>
        </w:rPr>
      </w:pPr>
    </w:p>
    <w:p>
      <w:pPr>
        <w:autoSpaceDE w:val="0"/>
        <w:autoSpaceDN w:val="0"/>
        <w:adjustRightInd w:val="0"/>
        <w:spacing w:line="360" w:lineRule="auto"/>
        <w:jc w:val="center"/>
        <w:rPr>
          <w:rFonts w:hint="eastAsia" w:ascii="宋体" w:hAnsi="宋体" w:cs="宋体"/>
          <w:b/>
          <w:bCs/>
          <w:sz w:val="32"/>
          <w:szCs w:val="32"/>
        </w:rPr>
      </w:pPr>
      <w:r>
        <w:rPr>
          <w:rFonts w:hint="eastAsia" w:ascii="宋体" w:hAnsi="宋体" w:cs="宋体"/>
          <w:b/>
          <w:bCs/>
          <w:sz w:val="32"/>
          <w:szCs w:val="32"/>
          <w:lang w:bidi="ar"/>
        </w:rPr>
        <w:t>联合体协议书</w:t>
      </w:r>
    </w:p>
    <w:p>
      <w:pPr>
        <w:spacing w:line="360" w:lineRule="auto"/>
        <w:ind w:firstLine="420"/>
        <w:rPr>
          <w:rFonts w:hint="eastAsia" w:ascii="宋体" w:hAnsi="宋体" w:cs="宋体"/>
          <w:kern w:val="1"/>
          <w:sz w:val="24"/>
        </w:rPr>
      </w:pPr>
      <w:r>
        <w:rPr>
          <w:rFonts w:hint="eastAsia" w:ascii="宋体" w:hAnsi="宋体" w:cs="宋体"/>
          <w:kern w:val="1"/>
          <w:sz w:val="24"/>
          <w:lang w:bidi="ar"/>
        </w:rPr>
        <w:t>主办方公司名称：</w:t>
      </w:r>
    </w:p>
    <w:p>
      <w:pPr>
        <w:spacing w:line="360" w:lineRule="auto"/>
        <w:ind w:firstLine="420"/>
        <w:rPr>
          <w:rFonts w:hint="eastAsia" w:ascii="宋体" w:hAnsi="宋体" w:cs="宋体"/>
          <w:kern w:val="1"/>
          <w:sz w:val="24"/>
        </w:rPr>
      </w:pPr>
      <w:r>
        <w:rPr>
          <w:rFonts w:hint="eastAsia" w:ascii="宋体" w:hAnsi="宋体" w:cs="宋体"/>
          <w:kern w:val="1"/>
          <w:sz w:val="24"/>
          <w:lang w:bidi="ar"/>
        </w:rPr>
        <w:t>法定代表人：</w:t>
      </w:r>
    </w:p>
    <w:p>
      <w:pPr>
        <w:spacing w:line="360" w:lineRule="auto"/>
        <w:ind w:firstLine="420"/>
        <w:rPr>
          <w:rFonts w:hint="eastAsia" w:ascii="宋体" w:hAnsi="宋体" w:cs="宋体"/>
          <w:kern w:val="1"/>
          <w:sz w:val="24"/>
        </w:rPr>
      </w:pPr>
      <w:r>
        <w:rPr>
          <w:rFonts w:hint="eastAsia" w:ascii="宋体" w:hAnsi="宋体" w:cs="宋体"/>
          <w:kern w:val="1"/>
          <w:sz w:val="24"/>
          <w:lang w:bidi="ar"/>
        </w:rPr>
        <w:t>住所地：</w:t>
      </w:r>
    </w:p>
    <w:p>
      <w:pPr>
        <w:rPr>
          <w:rFonts w:hint="eastAsia" w:ascii="宋体" w:hAnsi="宋体" w:cs="宋体"/>
          <w:szCs w:val="21"/>
        </w:rPr>
      </w:pPr>
      <w:r>
        <w:rPr>
          <w:rFonts w:hint="eastAsia" w:ascii="宋体" w:hAnsi="宋体" w:cs="宋体"/>
          <w:szCs w:val="21"/>
          <w:lang w:bidi="ar"/>
        </w:rPr>
        <w:t xml:space="preserve"> </w:t>
      </w:r>
    </w:p>
    <w:p>
      <w:pPr>
        <w:spacing w:line="360" w:lineRule="auto"/>
        <w:ind w:firstLine="420"/>
        <w:rPr>
          <w:rFonts w:hint="eastAsia" w:ascii="宋体" w:hAnsi="宋体" w:cs="宋体"/>
          <w:kern w:val="1"/>
          <w:sz w:val="24"/>
        </w:rPr>
      </w:pPr>
      <w:r>
        <w:rPr>
          <w:rFonts w:hint="eastAsia" w:ascii="宋体" w:hAnsi="宋体" w:cs="宋体"/>
          <w:kern w:val="1"/>
          <w:sz w:val="24"/>
          <w:lang w:bidi="ar"/>
        </w:rPr>
        <w:t>成员方公司名称：</w:t>
      </w:r>
    </w:p>
    <w:p>
      <w:pPr>
        <w:spacing w:line="360" w:lineRule="auto"/>
        <w:ind w:firstLine="420"/>
        <w:rPr>
          <w:rFonts w:hint="eastAsia" w:ascii="宋体" w:hAnsi="宋体" w:cs="宋体"/>
          <w:kern w:val="1"/>
          <w:sz w:val="24"/>
        </w:rPr>
      </w:pPr>
      <w:r>
        <w:rPr>
          <w:rFonts w:hint="eastAsia" w:ascii="宋体" w:hAnsi="宋体" w:cs="宋体"/>
          <w:kern w:val="1"/>
          <w:sz w:val="24"/>
          <w:lang w:bidi="ar"/>
        </w:rPr>
        <w:t>法定代表人：</w:t>
      </w:r>
    </w:p>
    <w:p>
      <w:pPr>
        <w:spacing w:line="360" w:lineRule="auto"/>
        <w:ind w:firstLine="420"/>
        <w:rPr>
          <w:rFonts w:hint="eastAsia" w:ascii="宋体" w:hAnsi="宋体" w:cs="宋体"/>
          <w:kern w:val="1"/>
          <w:sz w:val="24"/>
        </w:rPr>
      </w:pPr>
      <w:r>
        <w:rPr>
          <w:rFonts w:hint="eastAsia" w:ascii="宋体" w:hAnsi="宋体" w:cs="宋体"/>
          <w:kern w:val="1"/>
          <w:sz w:val="24"/>
          <w:lang w:bidi="ar"/>
        </w:rPr>
        <w:t>住所地：</w:t>
      </w:r>
    </w:p>
    <w:p>
      <w:pPr>
        <w:rPr>
          <w:rFonts w:hint="eastAsia" w:ascii="宋体" w:hAnsi="宋体" w:cs="宋体"/>
          <w:szCs w:val="21"/>
        </w:rPr>
      </w:pPr>
      <w:r>
        <w:rPr>
          <w:rFonts w:hint="eastAsia" w:ascii="宋体" w:hAnsi="宋体" w:cs="宋体"/>
          <w:szCs w:val="21"/>
          <w:lang w:bidi="ar"/>
        </w:rPr>
        <w:t xml:space="preserve"> </w:t>
      </w:r>
    </w:p>
    <w:p>
      <w:pPr>
        <w:wordWrap w:val="0"/>
        <w:adjustRightInd w:val="0"/>
        <w:snapToGrid w:val="0"/>
        <w:spacing w:line="360" w:lineRule="auto"/>
        <w:ind w:firstLine="480" w:firstLineChars="200"/>
        <w:rPr>
          <w:rFonts w:hint="eastAsia" w:ascii="宋体" w:hAnsi="宋体" w:cs="宋体"/>
          <w:kern w:val="1"/>
          <w:sz w:val="24"/>
        </w:rPr>
      </w:pPr>
      <w:r>
        <w:rPr>
          <w:rFonts w:hint="eastAsia" w:ascii="宋体" w:hAnsi="宋体" w:cs="宋体"/>
          <w:kern w:val="1"/>
          <w:sz w:val="24"/>
          <w:lang w:bidi="ar"/>
        </w:rPr>
        <w:t>鉴于上述各方经过友好协商，自愿组成联合体，共同参加</w:t>
      </w:r>
      <w:r>
        <w:rPr>
          <w:rFonts w:hint="eastAsia" w:ascii="宋体" w:hAnsi="宋体" w:cs="宋体"/>
          <w:kern w:val="1"/>
          <w:sz w:val="24"/>
          <w:u w:val="single"/>
          <w:lang w:bidi="ar"/>
        </w:rPr>
        <w:t xml:space="preserve">        项目</w:t>
      </w:r>
      <w:r>
        <w:rPr>
          <w:rFonts w:hint="eastAsia" w:ascii="宋体" w:hAnsi="宋体" w:cs="宋体"/>
          <w:sz w:val="24"/>
          <w:szCs w:val="24"/>
          <w:u w:val="single"/>
        </w:rPr>
        <w:t>xxx区域企业库</w:t>
      </w:r>
      <w:r>
        <w:rPr>
          <w:rFonts w:hint="eastAsia" w:ascii="宋体" w:hAnsi="宋体" w:cs="宋体"/>
          <w:kern w:val="1"/>
          <w:sz w:val="24"/>
          <w:lang w:bidi="ar"/>
        </w:rPr>
        <w:t>的入库活动。现就联合体入库事宜订立如下协议：</w:t>
      </w:r>
    </w:p>
    <w:p>
      <w:pPr>
        <w:spacing w:line="360" w:lineRule="auto"/>
        <w:ind w:firstLine="480" w:firstLineChars="200"/>
        <w:rPr>
          <w:rFonts w:hint="eastAsia" w:ascii="宋体" w:hAnsi="宋体" w:cs="宋体"/>
          <w:kern w:val="1"/>
          <w:sz w:val="24"/>
        </w:rPr>
      </w:pPr>
      <w:r>
        <w:rPr>
          <w:rFonts w:hint="eastAsia" w:ascii="宋体" w:hAnsi="宋体" w:cs="宋体"/>
          <w:kern w:val="1"/>
          <w:sz w:val="24"/>
          <w:lang w:bidi="ar"/>
        </w:rPr>
        <w:t>1、由____作为主办方公司负责联合体在本项目的入库申请和合同谈判活动。</w:t>
      </w:r>
    </w:p>
    <w:p>
      <w:pPr>
        <w:spacing w:line="360" w:lineRule="auto"/>
        <w:ind w:firstLine="480" w:firstLineChars="200"/>
        <w:rPr>
          <w:rFonts w:hint="eastAsia" w:ascii="宋体" w:hAnsi="宋体" w:cs="宋体"/>
          <w:kern w:val="1"/>
          <w:szCs w:val="21"/>
        </w:rPr>
      </w:pPr>
      <w:r>
        <w:rPr>
          <w:rFonts w:hint="eastAsia" w:ascii="宋体" w:hAnsi="宋体" w:cs="宋体"/>
          <w:kern w:val="1"/>
          <w:sz w:val="24"/>
          <w:lang w:bidi="ar"/>
        </w:rPr>
        <w:t>2、主办方公司代表联合体全体成员负责联合体在项目中的一切入库申请和合同谈判活动，包括但不限于提交组织编制入库申请文件、提交入库申请文件、提交澄清文件以及处理与项目入库和合同谈判相关的一切必要的事宜。入库申请人与建库人之间的来</w:t>
      </w:r>
      <w:r>
        <w:rPr>
          <w:rFonts w:hint="eastAsia" w:ascii="宋体" w:hAnsi="宋体" w:cs="宋体"/>
          <w:kern w:val="1"/>
          <w:szCs w:val="21"/>
          <w:lang w:bidi="ar"/>
        </w:rPr>
        <w:t>往函件将通过主办方公司收寄。</w:t>
      </w:r>
    </w:p>
    <w:p>
      <w:pPr>
        <w:spacing w:line="360" w:lineRule="auto"/>
        <w:ind w:firstLine="480" w:firstLineChars="200"/>
        <w:rPr>
          <w:rFonts w:hint="eastAsia" w:ascii="宋体" w:hAnsi="宋体" w:cs="宋体"/>
          <w:kern w:val="1"/>
          <w:sz w:val="24"/>
        </w:rPr>
      </w:pPr>
      <w:r>
        <w:rPr>
          <w:rFonts w:hint="eastAsia" w:ascii="宋体" w:hAnsi="宋体" w:cs="宋体"/>
          <w:kern w:val="1"/>
          <w:sz w:val="24"/>
          <w:lang w:bidi="ar"/>
        </w:rPr>
        <w:t>3、主办方公司做出的同(项目名称：      )相关的行为对联合体全体成员均具有法律效力,</w:t>
      </w:r>
      <w:r>
        <w:rPr>
          <w:rFonts w:hint="eastAsia" w:ascii="宋体" w:hAnsi="宋体" w:cs="宋体"/>
          <w:b/>
          <w:bCs/>
          <w:kern w:val="1"/>
          <w:sz w:val="24"/>
          <w:lang w:bidi="ar"/>
        </w:rPr>
        <w:t>主办方负责承担本项目合同结算及合同履行的全部责任。其他联合体成员对主办方公司在入库活动中及入库后履约的一切行为承担连带责任。</w:t>
      </w:r>
    </w:p>
    <w:p>
      <w:pPr>
        <w:spacing w:line="360" w:lineRule="auto"/>
        <w:ind w:firstLine="480" w:firstLineChars="200"/>
        <w:rPr>
          <w:rFonts w:hint="eastAsia" w:ascii="宋体" w:hAnsi="宋体" w:cs="宋体"/>
          <w:kern w:val="1"/>
          <w:sz w:val="24"/>
        </w:rPr>
      </w:pPr>
      <w:r>
        <w:rPr>
          <w:rFonts w:hint="eastAsia" w:ascii="宋体" w:hAnsi="宋体" w:cs="宋体"/>
          <w:kern w:val="1"/>
          <w:sz w:val="24"/>
          <w:lang w:bidi="ar"/>
        </w:rPr>
        <w:t>4、联合体方同意授权联合体</w:t>
      </w:r>
      <w:r>
        <w:rPr>
          <w:rFonts w:hint="eastAsia" w:ascii="宋体" w:hAnsi="宋体" w:cs="宋体"/>
          <w:b/>
          <w:bCs/>
          <w:kern w:val="1"/>
          <w:sz w:val="24"/>
          <w:lang w:bidi="ar"/>
        </w:rPr>
        <w:t>主办方</w:t>
      </w:r>
      <w:r>
        <w:rPr>
          <w:rFonts w:hint="eastAsia" w:ascii="宋体" w:hAnsi="宋体" w:cs="宋体"/>
          <w:kern w:val="1"/>
          <w:sz w:val="24"/>
          <w:lang w:bidi="ar"/>
        </w:rPr>
        <w:t xml:space="preserve">的 </w:t>
      </w:r>
      <w:r>
        <w:rPr>
          <w:rFonts w:hint="eastAsia" w:ascii="宋体" w:hAnsi="宋体" w:cs="宋体"/>
          <w:kern w:val="1"/>
          <w:sz w:val="24"/>
          <w:u w:val="single"/>
          <w:lang w:bidi="ar"/>
        </w:rPr>
        <w:t xml:space="preserve">         （姓名、职务）</w:t>
      </w:r>
      <w:r>
        <w:rPr>
          <w:rFonts w:hint="eastAsia" w:ascii="宋体" w:hAnsi="宋体" w:cs="宋体"/>
          <w:kern w:val="1"/>
          <w:sz w:val="24"/>
          <w:lang w:bidi="ar"/>
        </w:rPr>
        <w:t>作为联合体参与本项目入库活动的授权代表。</w:t>
      </w:r>
    </w:p>
    <w:p>
      <w:pPr>
        <w:spacing w:line="360" w:lineRule="auto"/>
        <w:ind w:firstLine="480" w:firstLineChars="200"/>
        <w:rPr>
          <w:rFonts w:hint="eastAsia" w:ascii="宋体" w:hAnsi="宋体" w:cs="宋体"/>
          <w:kern w:val="1"/>
          <w:sz w:val="24"/>
        </w:rPr>
      </w:pPr>
      <w:r>
        <w:rPr>
          <w:rFonts w:hint="eastAsia" w:ascii="宋体" w:hAnsi="宋体" w:cs="宋体"/>
          <w:kern w:val="1"/>
          <w:sz w:val="24"/>
          <w:lang w:bidi="ar"/>
        </w:rPr>
        <w:t>5、联合体成员各方在本项目中的工作职责、权利与义务如下：(需列述)</w:t>
      </w:r>
    </w:p>
    <w:p>
      <w:pPr>
        <w:spacing w:line="360" w:lineRule="auto"/>
        <w:ind w:firstLine="482" w:firstLineChars="200"/>
        <w:rPr>
          <w:rFonts w:hint="eastAsia" w:ascii="宋体" w:hAnsi="宋体" w:cs="宋体"/>
          <w:b/>
          <w:sz w:val="24"/>
        </w:rPr>
      </w:pPr>
      <w:r>
        <w:rPr>
          <w:rFonts w:hint="eastAsia" w:ascii="宋体" w:hAnsi="宋体" w:cs="宋体"/>
          <w:b/>
          <w:sz w:val="24"/>
          <w:lang w:bidi="ar"/>
        </w:rPr>
        <w:t>作为联合体主办方，负责</w:t>
      </w:r>
      <w:r>
        <w:rPr>
          <w:rFonts w:hint="eastAsia" w:ascii="宋体" w:hAnsi="宋体" w:cs="宋体"/>
          <w:b/>
          <w:sz w:val="24"/>
          <w:u w:val="single"/>
          <w:lang w:bidi="ar"/>
        </w:rPr>
        <w:t xml:space="preserve">      </w:t>
      </w:r>
      <w:r>
        <w:rPr>
          <w:rFonts w:hint="eastAsia" w:ascii="宋体" w:hAnsi="宋体" w:cs="宋体"/>
          <w:b/>
          <w:sz w:val="24"/>
          <w:lang w:bidi="ar"/>
        </w:rPr>
        <w:t>。</w:t>
      </w:r>
    </w:p>
    <w:p>
      <w:pPr>
        <w:spacing w:line="360" w:lineRule="auto"/>
        <w:ind w:firstLine="482" w:firstLineChars="200"/>
        <w:rPr>
          <w:rFonts w:hint="eastAsia" w:ascii="宋体" w:hAnsi="宋体" w:cs="宋体"/>
          <w:b/>
          <w:sz w:val="24"/>
          <w:lang w:bidi="ar"/>
        </w:rPr>
      </w:pPr>
      <w:r>
        <w:rPr>
          <w:rFonts w:hint="eastAsia" w:ascii="宋体" w:hAnsi="宋体" w:cs="宋体"/>
          <w:b/>
          <w:sz w:val="24"/>
          <w:lang w:bidi="ar"/>
        </w:rPr>
        <w:t xml:space="preserve">作为联合体成员方，负责 </w:t>
      </w:r>
      <w:r>
        <w:rPr>
          <w:rFonts w:hint="eastAsia" w:ascii="宋体" w:hAnsi="宋体" w:cs="宋体"/>
          <w:b/>
          <w:sz w:val="24"/>
          <w:u w:val="single"/>
          <w:lang w:bidi="ar"/>
        </w:rPr>
        <w:t xml:space="preserve">     </w:t>
      </w:r>
      <w:r>
        <w:rPr>
          <w:rFonts w:hint="eastAsia" w:ascii="宋体" w:hAnsi="宋体" w:cs="宋体"/>
          <w:b/>
          <w:sz w:val="24"/>
          <w:lang w:bidi="ar"/>
        </w:rPr>
        <w:t>。</w:t>
      </w:r>
    </w:p>
    <w:p>
      <w:pPr>
        <w:spacing w:line="360" w:lineRule="auto"/>
        <w:ind w:firstLine="482" w:firstLineChars="200"/>
        <w:rPr>
          <w:rFonts w:hint="eastAsia" w:ascii="宋体" w:hAnsi="宋体" w:cs="宋体"/>
          <w:b/>
          <w:sz w:val="24"/>
        </w:rPr>
      </w:pPr>
      <w:r>
        <w:rPr>
          <w:rFonts w:hint="eastAsia" w:ascii="宋体" w:hAnsi="宋体" w:cs="宋体"/>
          <w:b/>
          <w:sz w:val="24"/>
          <w:lang w:bidi="ar"/>
        </w:rPr>
        <w:t>注：本项目还包含具体的屋顶资源开发和设备集成任务，入库申请人需在联合体协议书明确约定由联合体主办方承接该任务。</w:t>
      </w:r>
    </w:p>
    <w:p>
      <w:pPr>
        <w:spacing w:line="360" w:lineRule="auto"/>
        <w:ind w:firstLine="480" w:firstLineChars="200"/>
        <w:rPr>
          <w:rFonts w:hint="eastAsia" w:ascii="宋体" w:hAnsi="宋体" w:cs="宋体"/>
          <w:kern w:val="1"/>
          <w:sz w:val="24"/>
        </w:rPr>
      </w:pPr>
      <w:r>
        <w:rPr>
          <w:rFonts w:hint="eastAsia" w:ascii="宋体" w:hAnsi="宋体" w:cs="宋体"/>
          <w:kern w:val="1"/>
          <w:sz w:val="24"/>
          <w:lang w:bidi="ar"/>
        </w:rPr>
        <w:t>6、本协议经所有联合体成员盖章和法定代表人或授权代表签署后生效。若本联合体未获得本项目入库资格，本协议有效期与本项目要求的入库有效期一致；若本联合体获得本项目入库资格，则本协议有效期自动延长至建库人与入库人双方履行采购合同结束之日。</w:t>
      </w:r>
    </w:p>
    <w:p>
      <w:pPr>
        <w:pStyle w:val="9"/>
        <w:widowControl w:val="0"/>
        <w:spacing w:before="0" w:beforeAutospacing="0" w:after="0" w:afterAutospacing="0" w:line="360" w:lineRule="auto"/>
        <w:ind w:firstLine="480" w:firstLineChars="200"/>
        <w:jc w:val="both"/>
        <w:rPr>
          <w:rFonts w:hint="eastAsia" w:cs="宋体"/>
          <w:kern w:val="1"/>
        </w:rPr>
      </w:pPr>
      <w:r>
        <w:rPr>
          <w:rFonts w:hint="eastAsia" w:cs="宋体"/>
          <w:kern w:val="1"/>
          <w:lang w:bidi="ar"/>
        </w:rPr>
        <w:t>主办方公司名称(盖单位公章):</w:t>
      </w:r>
    </w:p>
    <w:p>
      <w:pPr>
        <w:pStyle w:val="9"/>
        <w:widowControl w:val="0"/>
        <w:spacing w:before="0" w:beforeAutospacing="0" w:after="0" w:afterAutospacing="0" w:line="360" w:lineRule="auto"/>
        <w:ind w:firstLine="480" w:firstLineChars="200"/>
        <w:jc w:val="both"/>
        <w:rPr>
          <w:rFonts w:hint="eastAsia" w:cs="宋体"/>
          <w:kern w:val="1"/>
        </w:rPr>
      </w:pPr>
      <w:r>
        <w:rPr>
          <w:rFonts w:hint="eastAsia" w:cs="宋体"/>
          <w:kern w:val="1"/>
          <w:lang w:bidi="ar"/>
        </w:rPr>
        <w:t>法定代表人或授权代表(签字或盖章):</w:t>
      </w:r>
    </w:p>
    <w:p>
      <w:pPr>
        <w:pStyle w:val="9"/>
        <w:widowControl w:val="0"/>
        <w:spacing w:before="0" w:beforeAutospacing="0" w:after="0" w:afterAutospacing="0" w:line="360" w:lineRule="auto"/>
        <w:ind w:firstLine="480" w:firstLineChars="200"/>
        <w:jc w:val="both"/>
        <w:rPr>
          <w:rFonts w:hint="eastAsia" w:cs="宋体"/>
          <w:kern w:val="1"/>
        </w:rPr>
      </w:pPr>
      <w:r>
        <w:rPr>
          <w:rFonts w:hint="eastAsia" w:cs="宋体"/>
          <w:kern w:val="1"/>
          <w:lang w:bidi="ar"/>
        </w:rPr>
        <w:t>日期：</w:t>
      </w:r>
    </w:p>
    <w:p>
      <w:pPr>
        <w:pStyle w:val="9"/>
        <w:widowControl w:val="0"/>
        <w:spacing w:before="0" w:beforeAutospacing="0" w:after="0" w:afterAutospacing="0" w:line="360" w:lineRule="auto"/>
        <w:ind w:firstLine="480" w:firstLineChars="200"/>
        <w:jc w:val="both"/>
        <w:rPr>
          <w:rFonts w:hint="eastAsia" w:cs="宋体"/>
          <w:kern w:val="1"/>
        </w:rPr>
      </w:pPr>
      <w:r>
        <w:rPr>
          <w:rFonts w:hint="eastAsia" w:cs="宋体"/>
          <w:kern w:val="1"/>
          <w:lang w:bidi="ar"/>
        </w:rPr>
        <w:t xml:space="preserve"> </w:t>
      </w:r>
    </w:p>
    <w:p>
      <w:pPr>
        <w:pStyle w:val="9"/>
        <w:widowControl w:val="0"/>
        <w:spacing w:before="0" w:beforeAutospacing="0" w:after="0" w:afterAutospacing="0" w:line="360" w:lineRule="auto"/>
        <w:ind w:firstLine="480" w:firstLineChars="200"/>
        <w:jc w:val="both"/>
        <w:rPr>
          <w:rFonts w:hint="eastAsia" w:cs="宋体"/>
          <w:kern w:val="1"/>
        </w:rPr>
      </w:pPr>
      <w:r>
        <w:rPr>
          <w:rFonts w:hint="eastAsia" w:cs="宋体"/>
          <w:kern w:val="1"/>
          <w:lang w:bidi="ar"/>
        </w:rPr>
        <w:t>成员方公司名称(盖单位公章):</w:t>
      </w:r>
    </w:p>
    <w:p>
      <w:pPr>
        <w:pStyle w:val="9"/>
        <w:widowControl w:val="0"/>
        <w:spacing w:before="0" w:beforeAutospacing="0" w:after="0" w:afterAutospacing="0" w:line="360" w:lineRule="auto"/>
        <w:ind w:firstLine="480" w:firstLineChars="200"/>
        <w:jc w:val="both"/>
        <w:rPr>
          <w:rFonts w:hint="eastAsia" w:cs="宋体"/>
          <w:kern w:val="1"/>
          <w:lang w:bidi="ar"/>
        </w:rPr>
      </w:pPr>
      <w:r>
        <w:rPr>
          <w:rFonts w:hint="eastAsia" w:cs="宋体"/>
          <w:kern w:val="1"/>
          <w:lang w:bidi="ar"/>
        </w:rPr>
        <w:t>法定代表人或授权代表(签字或盖章):</w:t>
      </w:r>
    </w:p>
    <w:p>
      <w:pPr>
        <w:pStyle w:val="9"/>
        <w:widowControl w:val="0"/>
        <w:spacing w:before="0" w:beforeAutospacing="0" w:after="0" w:afterAutospacing="0" w:line="360" w:lineRule="auto"/>
        <w:ind w:firstLine="480" w:firstLineChars="200"/>
        <w:jc w:val="both"/>
      </w:pPr>
      <w:r>
        <w:rPr>
          <w:rFonts w:hint="eastAsia" w:ascii="宋体" w:hAnsi="宋体" w:cs="宋体"/>
          <w:kern w:val="1"/>
          <w:sz w:val="24"/>
          <w:szCs w:val="24"/>
          <w:lang w:bidi="ar"/>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7122C"/>
    <w:rsid w:val="24031B65"/>
    <w:rsid w:val="273D1907"/>
    <w:rsid w:val="28AE4FE7"/>
    <w:rsid w:val="45A7122C"/>
    <w:rsid w:val="63230B51"/>
    <w:rsid w:val="7F90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14"/>
    <w:qFormat/>
    <w:uiPriority w:val="0"/>
    <w:pPr>
      <w:ind w:left="454" w:hanging="454"/>
      <w:jc w:val="left"/>
      <w:outlineLvl w:val="1"/>
    </w:pPr>
    <w:rPr>
      <w:rFonts w:ascii="Arial" w:hAnsi="Arial"/>
      <w:b/>
      <w:color w:val="000000"/>
      <w:kern w:val="0"/>
      <w:sz w:val="28"/>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120" w:after="60"/>
      <w:jc w:val="center"/>
    </w:pPr>
    <w:rPr>
      <w:rFonts w:ascii="Arial" w:hAnsi="Arial"/>
      <w:b/>
      <w:kern w:val="0"/>
      <w:sz w:val="44"/>
      <w:szCs w:val="20"/>
    </w:r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99"/>
    <w:pPr>
      <w:spacing w:after="120"/>
    </w:pPr>
    <w:rPr>
      <w:rFonts w:ascii="Calibri" w:hAnsi="Calibri"/>
    </w:rPr>
  </w:style>
  <w:style w:type="paragraph" w:styleId="6">
    <w:name w:val="Body Text 2"/>
    <w:basedOn w:val="1"/>
    <w:qFormat/>
    <w:uiPriority w:val="0"/>
    <w:rPr>
      <w:rFonts w:ascii="宋体" w:hAnsi="宋体"/>
      <w:kern w:val="0"/>
      <w:sz w:val="20"/>
      <w:szCs w:val="24"/>
      <w:u w:val="single"/>
    </w:rPr>
  </w:style>
  <w:style w:type="paragraph" w:styleId="7">
    <w:name w:val="Body Text Indent"/>
    <w:basedOn w:val="1"/>
    <w:next w:val="8"/>
    <w:qFormat/>
    <w:uiPriority w:val="0"/>
    <w:pPr>
      <w:ind w:firstLine="570"/>
    </w:pPr>
    <w:rPr>
      <w:kern w:val="0"/>
      <w:sz w:val="28"/>
      <w:szCs w:val="20"/>
    </w:rPr>
  </w:style>
  <w:style w:type="paragraph" w:styleId="8">
    <w:name w:val="toc 9"/>
    <w:basedOn w:val="1"/>
    <w:next w:val="1"/>
    <w:qFormat/>
    <w:uiPriority w:val="0"/>
    <w:pPr>
      <w:ind w:left="168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0">
    <w:name w:val="Body Text First Indent 2"/>
    <w:basedOn w:val="7"/>
    <w:next w:val="1"/>
    <w:qFormat/>
    <w:uiPriority w:val="0"/>
    <w:pPr>
      <w:spacing w:after="120"/>
      <w:ind w:left="420" w:leftChars="200" w:firstLine="420" w:firstLineChars="200"/>
    </w:pPr>
    <w:rPr>
      <w:kern w:val="2"/>
      <w:sz w:val="21"/>
      <w:szCs w:val="24"/>
    </w:rPr>
  </w:style>
  <w:style w:type="paragraph" w:customStyle="1" w:styleId="13">
    <w:name w:val="A正文"/>
    <w:qFormat/>
    <w:uiPriority w:val="0"/>
    <w:pPr>
      <w:widowControl w:val="0"/>
      <w:spacing w:line="360" w:lineRule="auto"/>
      <w:ind w:firstLine="200" w:firstLineChars="200"/>
      <w:jc w:val="both"/>
    </w:pPr>
    <w:rPr>
      <w:rFonts w:ascii="Times New Roman" w:hAnsi="Times New Roman" w:eastAsia="宋体" w:cs="Times New Roman"/>
      <w:kern w:val="2"/>
      <w:sz w:val="24"/>
      <w:szCs w:val="28"/>
      <w:lang w:val="en-US" w:eastAsia="zh-CN" w:bidi="ar-SA"/>
    </w:rPr>
  </w:style>
  <w:style w:type="character" w:customStyle="1" w:styleId="14">
    <w:name w:val="标题 2 字符"/>
    <w:link w:val="3"/>
    <w:qFormat/>
    <w:uiPriority w:val="0"/>
    <w:rPr>
      <w:rFonts w:ascii="Arial" w:hAnsi="Arial"/>
      <w:b/>
      <w:color w:val="000000"/>
      <w:kern w:val="0"/>
      <w:sz w:val="28"/>
      <w:szCs w:val="24"/>
    </w:rPr>
  </w:style>
  <w:style w:type="paragraph" w:customStyle="1" w:styleId="15">
    <w:name w:val="Default"/>
    <w:next w:val="4"/>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1024</Words>
  <Characters>1128</Characters>
  <Lines>0</Lines>
  <Paragraphs>0</Paragraphs>
  <TotalTime>6</TotalTime>
  <ScaleCrop>false</ScaleCrop>
  <LinksUpToDate>false</LinksUpToDate>
  <CharactersWithSpaces>1177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2025-12-08T06:44:00Z</dcterms:created>
  <dc:creator>林杰桦</dc:creator>
  <cp:lastModifiedBy>林杰桦</cp:lastModifiedBy>
  <dcterms:modified xsi:type="dcterms:W3CDTF">2025-12-08T08:22:15Z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C0D118115567436EAB2B10A318417634</vt:lpwstr>
  </property>
  <property fmtid="{D5CDD505-2E9C-101B-9397-08002B2CF9AE}" pid="4" name="KSOTemplateDocerSaveRecord">
    <vt:lpwstr>eyJoZGlkIjoiMzcyZjAzNTAyNWM4MTIzMzEyM2RjZDQzM2U1ZDM5OTkiLCJ1c2VySWQiOiI1ODYzMTI5NTkifQ==</vt:lpwstr>
  </property>
</Properties>
</file>