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7424">
      <w:pPr>
        <w:snapToGrid w:val="0"/>
        <w:spacing w:after="120" w:line="360" w:lineRule="auto"/>
        <w:ind w:firstLine="755" w:firstLineChars="236"/>
        <w:jc w:val="center"/>
        <w:rPr>
          <w:rFonts w:hint="eastAsia" w:ascii="黑体" w:hAnsi="黑体" w:eastAsia="黑体" w:cs="黑体"/>
          <w:color w:val="auto"/>
          <w:sz w:val="32"/>
          <w:highlight w:val="none"/>
        </w:rPr>
      </w:pPr>
    </w:p>
    <w:p w14:paraId="4240EFFF">
      <w:pPr>
        <w:snapToGrid w:val="0"/>
        <w:spacing w:after="120" w:line="360" w:lineRule="auto"/>
        <w:ind w:firstLine="755" w:firstLineChars="236"/>
        <w:jc w:val="center"/>
        <w:rPr>
          <w:rFonts w:hint="eastAsia" w:ascii="黑体" w:hAnsi="黑体" w:eastAsia="黑体" w:cs="黑体"/>
          <w:color w:val="auto"/>
          <w:sz w:val="32"/>
          <w:highlight w:val="none"/>
        </w:rPr>
      </w:pPr>
    </w:p>
    <w:p w14:paraId="556F6887">
      <w:pPr>
        <w:snapToGrid w:val="0"/>
        <w:spacing w:after="120" w:line="360" w:lineRule="auto"/>
        <w:ind w:firstLine="755" w:firstLineChars="236"/>
        <w:jc w:val="center"/>
        <w:rPr>
          <w:rFonts w:hint="eastAsia" w:ascii="黑体" w:hAnsi="黑体" w:eastAsia="黑体" w:cs="黑体"/>
          <w:color w:val="auto"/>
          <w:sz w:val="32"/>
          <w:highlight w:val="none"/>
        </w:rPr>
      </w:pPr>
    </w:p>
    <w:p w14:paraId="7D806E0C">
      <w:pPr>
        <w:snapToGrid w:val="0"/>
        <w:spacing w:after="120" w:line="360" w:lineRule="auto"/>
        <w:ind w:firstLine="755" w:firstLineChars="236"/>
        <w:jc w:val="center"/>
        <w:rPr>
          <w:rFonts w:hint="eastAsia" w:ascii="黑体" w:hAnsi="黑体" w:eastAsia="黑体" w:cs="黑体"/>
          <w:color w:val="auto"/>
          <w:sz w:val="32"/>
          <w:highlight w:val="none"/>
        </w:rPr>
      </w:pPr>
      <w:bookmarkStart w:id="66" w:name="_GoBack"/>
      <w:bookmarkEnd w:id="66"/>
    </w:p>
    <w:p w14:paraId="10860CAA">
      <w:pPr>
        <w:snapToGrid w:val="0"/>
        <w:spacing w:after="120" w:line="360" w:lineRule="auto"/>
        <w:ind w:firstLine="755" w:firstLineChars="236"/>
        <w:jc w:val="center"/>
        <w:rPr>
          <w:rFonts w:hint="eastAsia" w:ascii="黑体" w:hAnsi="黑体" w:eastAsia="黑体" w:cs="黑体"/>
          <w:color w:val="auto"/>
          <w:sz w:val="32"/>
          <w:highlight w:val="none"/>
        </w:rPr>
      </w:pPr>
    </w:p>
    <w:p w14:paraId="0710F0B9">
      <w:pPr>
        <w:snapToGrid w:val="0"/>
        <w:spacing w:after="120" w:line="360" w:lineRule="auto"/>
        <w:ind w:firstLine="755" w:firstLineChars="236"/>
        <w:jc w:val="center"/>
        <w:rPr>
          <w:rFonts w:hint="eastAsia" w:ascii="黑体" w:hAnsi="黑体" w:eastAsia="黑体" w:cs="黑体"/>
          <w:color w:val="auto"/>
          <w:sz w:val="32"/>
          <w:highlight w:val="none"/>
        </w:rPr>
      </w:pPr>
    </w:p>
    <w:p w14:paraId="46454D81">
      <w:pPr>
        <w:snapToGrid w:val="0"/>
        <w:spacing w:after="120" w:line="360" w:lineRule="auto"/>
        <w:jc w:val="center"/>
        <w:rPr>
          <w:rFonts w:hint="eastAsia" w:ascii="黑体" w:hAnsi="黑体" w:eastAsia="黑体" w:cs="黑体"/>
          <w:color w:val="auto"/>
          <w:sz w:val="40"/>
          <w:szCs w:val="32"/>
          <w:highlight w:val="none"/>
          <w:lang w:eastAsia="zh-CN"/>
        </w:rPr>
      </w:pPr>
      <w:r>
        <w:rPr>
          <w:rFonts w:hint="eastAsia" w:ascii="黑体" w:hAnsi="黑体" w:eastAsia="黑体" w:cs="黑体"/>
          <w:color w:val="auto"/>
          <w:sz w:val="40"/>
          <w:szCs w:val="32"/>
          <w:highlight w:val="none"/>
          <w:lang w:eastAsia="zh-CN"/>
        </w:rPr>
        <w:t>天河区元岗村城中村改造项目AT0206007地块（即YG8号地块）勘察和初步设计</w:t>
      </w:r>
    </w:p>
    <w:p w14:paraId="5BC3DFD2">
      <w:pPr>
        <w:snapToGrid w:val="0"/>
        <w:spacing w:before="0" w:after="0" w:line="360" w:lineRule="auto"/>
        <w:ind w:firstLine="566" w:firstLineChars="236"/>
        <w:rPr>
          <w:rFonts w:ascii="宋体" w:hAnsi="宋体" w:eastAsia="宋体" w:cs="宋体"/>
          <w:color w:val="auto"/>
          <w:sz w:val="24"/>
          <w:highlight w:val="none"/>
        </w:rPr>
      </w:pPr>
    </w:p>
    <w:p w14:paraId="6D56E009">
      <w:pPr>
        <w:snapToGrid w:val="0"/>
        <w:spacing w:before="0" w:after="0" w:line="360" w:lineRule="auto"/>
        <w:jc w:val="center"/>
        <w:rPr>
          <w:rFonts w:ascii="宋体" w:hAnsi="宋体" w:eastAsia="宋体" w:cs="宋体"/>
          <w:color w:val="auto"/>
          <w:sz w:val="24"/>
          <w:highlight w:val="none"/>
        </w:rPr>
      </w:pPr>
    </w:p>
    <w:p w14:paraId="67BF7515">
      <w:pPr>
        <w:snapToGrid w:val="0"/>
        <w:spacing w:before="0" w:after="0" w:line="360" w:lineRule="auto"/>
        <w:jc w:val="center"/>
        <w:rPr>
          <w:rFonts w:ascii="宋体" w:hAnsi="宋体" w:eastAsia="宋体" w:cs="宋体"/>
          <w:color w:val="auto"/>
          <w:sz w:val="24"/>
          <w:highlight w:val="none"/>
        </w:rPr>
      </w:pPr>
    </w:p>
    <w:p w14:paraId="3ECF0500">
      <w:pPr>
        <w:snapToGrid w:val="0"/>
        <w:spacing w:before="0" w:after="0" w:line="360" w:lineRule="auto"/>
        <w:jc w:val="center"/>
        <w:rPr>
          <w:rFonts w:ascii="宋体" w:hAnsi="宋体" w:eastAsia="宋体" w:cs="宋体"/>
          <w:color w:val="auto"/>
          <w:sz w:val="24"/>
          <w:highlight w:val="none"/>
        </w:rPr>
      </w:pPr>
    </w:p>
    <w:p w14:paraId="31EA4F27">
      <w:pPr>
        <w:snapToGrid w:val="0"/>
        <w:spacing w:before="0" w:after="0" w:line="360" w:lineRule="auto"/>
        <w:jc w:val="center"/>
        <w:rPr>
          <w:rFonts w:ascii="宋体" w:hAnsi="宋体" w:eastAsia="宋体" w:cs="宋体"/>
          <w:color w:val="auto"/>
          <w:sz w:val="24"/>
          <w:highlight w:val="none"/>
        </w:rPr>
      </w:pPr>
      <w:r>
        <w:rPr>
          <w:rFonts w:hint="eastAsia" w:ascii="黑体" w:hAnsi="黑体" w:eastAsia="黑体" w:cs="黑体"/>
          <w:color w:val="auto"/>
          <w:sz w:val="40"/>
          <w:szCs w:val="32"/>
          <w:highlight w:val="none"/>
          <w:lang w:val="en-US" w:eastAsia="zh-CN"/>
        </w:rPr>
        <w:t>任务书</w:t>
      </w:r>
    </w:p>
    <w:p w14:paraId="7990291B">
      <w:pPr>
        <w:snapToGrid w:val="0"/>
        <w:spacing w:before="0" w:after="0" w:line="360" w:lineRule="auto"/>
        <w:jc w:val="center"/>
        <w:rPr>
          <w:rFonts w:ascii="宋体" w:hAnsi="宋体" w:eastAsia="宋体" w:cs="宋体"/>
          <w:color w:val="auto"/>
          <w:sz w:val="24"/>
          <w:highlight w:val="none"/>
        </w:rPr>
      </w:pPr>
    </w:p>
    <w:p w14:paraId="61152C38">
      <w:pPr>
        <w:snapToGrid w:val="0"/>
        <w:spacing w:before="0" w:after="0" w:line="360" w:lineRule="auto"/>
        <w:jc w:val="center"/>
        <w:rPr>
          <w:rFonts w:ascii="宋体" w:hAnsi="宋体" w:eastAsia="宋体" w:cs="宋体"/>
          <w:color w:val="auto"/>
          <w:sz w:val="24"/>
          <w:highlight w:val="none"/>
        </w:rPr>
      </w:pPr>
    </w:p>
    <w:p w14:paraId="57D38A64">
      <w:pPr>
        <w:snapToGrid w:val="0"/>
        <w:spacing w:before="0" w:after="0" w:line="360" w:lineRule="auto"/>
        <w:jc w:val="center"/>
        <w:rPr>
          <w:rFonts w:ascii="宋体" w:hAnsi="宋体" w:eastAsia="宋体" w:cs="宋体"/>
          <w:color w:val="auto"/>
          <w:sz w:val="24"/>
          <w:highlight w:val="none"/>
        </w:rPr>
      </w:pPr>
    </w:p>
    <w:p w14:paraId="62F838FE">
      <w:pPr>
        <w:snapToGrid w:val="0"/>
        <w:spacing w:before="0" w:after="0" w:line="360" w:lineRule="auto"/>
        <w:jc w:val="center"/>
        <w:rPr>
          <w:rFonts w:ascii="宋体" w:hAnsi="宋体" w:eastAsia="宋体" w:cs="宋体"/>
          <w:color w:val="auto"/>
          <w:sz w:val="24"/>
          <w:highlight w:val="none"/>
        </w:rPr>
      </w:pPr>
    </w:p>
    <w:p w14:paraId="4609C79C">
      <w:pPr>
        <w:snapToGrid w:val="0"/>
        <w:spacing w:before="0" w:after="0" w:line="360" w:lineRule="auto"/>
        <w:jc w:val="center"/>
        <w:rPr>
          <w:rFonts w:ascii="宋体" w:hAnsi="宋体" w:eastAsia="宋体" w:cs="宋体"/>
          <w:color w:val="auto"/>
          <w:sz w:val="24"/>
          <w:highlight w:val="none"/>
        </w:rPr>
      </w:pPr>
    </w:p>
    <w:p w14:paraId="30F848E9">
      <w:pPr>
        <w:snapToGrid w:val="0"/>
        <w:spacing w:before="0" w:after="0" w:line="360" w:lineRule="auto"/>
        <w:jc w:val="center"/>
        <w:rPr>
          <w:rFonts w:ascii="宋体" w:hAnsi="宋体" w:eastAsia="宋体" w:cs="宋体"/>
          <w:color w:val="auto"/>
          <w:sz w:val="24"/>
          <w:highlight w:val="none"/>
        </w:rPr>
      </w:pPr>
    </w:p>
    <w:p w14:paraId="2237E1BA">
      <w:pPr>
        <w:snapToGrid w:val="0"/>
        <w:spacing w:before="0" w:after="0" w:line="360" w:lineRule="auto"/>
        <w:jc w:val="center"/>
        <w:rPr>
          <w:color w:val="auto"/>
          <w:highlight w:val="none"/>
        </w:rPr>
      </w:pPr>
    </w:p>
    <w:p w14:paraId="10D7A6D8">
      <w:pPr>
        <w:snapToGrid w:val="0"/>
        <w:spacing w:before="0" w:after="0" w:line="360" w:lineRule="auto"/>
        <w:ind w:firstLine="758" w:firstLineChars="236"/>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t>二○二五年</w:t>
      </w:r>
      <w:r>
        <w:rPr>
          <w:rFonts w:hint="eastAsia" w:ascii="宋体" w:hAnsi="宋体" w:eastAsia="宋体" w:cs="宋体"/>
          <w:b/>
          <w:bCs/>
          <w:color w:val="auto"/>
          <w:sz w:val="32"/>
          <w:szCs w:val="32"/>
          <w:highlight w:val="none"/>
        </w:rPr>
        <w:t>十一</w:t>
      </w:r>
      <w:r>
        <w:rPr>
          <w:rFonts w:ascii="宋体" w:hAnsi="宋体" w:eastAsia="宋体" w:cs="宋体"/>
          <w:b/>
          <w:bCs/>
          <w:color w:val="auto"/>
          <w:sz w:val="32"/>
          <w:szCs w:val="32"/>
          <w:highlight w:val="none"/>
        </w:rPr>
        <w:t>月</w:t>
      </w:r>
      <w:bookmarkStart w:id="0" w:name="_Toc176857808"/>
      <w:bookmarkEnd w:id="0"/>
    </w:p>
    <w:p w14:paraId="349DF357">
      <w:pPr>
        <w:widowControl/>
        <w:spacing w:before="0" w:after="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2DEDD65">
      <w:pPr>
        <w:snapToGrid w:val="0"/>
        <w:spacing w:before="0" w:after="0" w:line="360" w:lineRule="auto"/>
        <w:ind w:firstLine="519" w:firstLineChars="236"/>
        <w:jc w:val="center"/>
        <w:rPr>
          <w:color w:val="auto"/>
          <w:highlight w:val="none"/>
        </w:rPr>
      </w:pPr>
    </w:p>
    <w:sdt>
      <w:sdtPr>
        <w:rPr>
          <w:rFonts w:ascii="宋体" w:hAnsi="宋体" w:eastAsia="宋体"/>
          <w:color w:val="auto"/>
          <w:sz w:val="21"/>
          <w:highlight w:val="none"/>
        </w:rPr>
        <w:id w:val="147480468"/>
        <w15:color w:val="DBDBDB"/>
        <w:docPartObj>
          <w:docPartGallery w:val="Table of Contents"/>
          <w:docPartUnique/>
        </w:docPartObj>
      </w:sdtPr>
      <w:sdtEndPr>
        <w:rPr>
          <w:rFonts w:ascii="宋体" w:hAnsi="宋体" w:eastAsia="宋体"/>
          <w:color w:val="auto"/>
          <w:sz w:val="21"/>
          <w:highlight w:val="none"/>
        </w:rPr>
      </w:sdtEndPr>
      <w:sdtContent>
        <w:p w14:paraId="3C28556B">
          <w:pPr>
            <w:spacing w:before="0" w:after="0"/>
            <w:jc w:val="center"/>
            <w:rPr>
              <w:color w:val="auto"/>
              <w:highlight w:val="none"/>
            </w:rPr>
          </w:pPr>
          <w:r>
            <w:rPr>
              <w:rFonts w:ascii="黑体" w:hAnsi="黑体" w:eastAsia="黑体" w:cs="黑体"/>
              <w:b/>
              <w:color w:val="auto"/>
              <w:sz w:val="36"/>
              <w:highlight w:val="none"/>
            </w:rPr>
            <w:t>目录</w:t>
          </w:r>
        </w:p>
        <w:p w14:paraId="5362F2A8">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"_Toc215158529" </w:instrText>
          </w:r>
          <w:r>
            <w:rPr>
              <w:color w:val="auto"/>
              <w:highlight w:val="none"/>
            </w:rPr>
            <w:fldChar w:fldCharType="separate"/>
          </w:r>
          <w:r>
            <w:rPr>
              <w:rStyle w:val="23"/>
              <w:rFonts w:hint="eastAsia" w:ascii="宋体" w:hAnsi="宋体" w:cs="宋体"/>
              <w:color w:val="auto"/>
              <w:highlight w:val="none"/>
            </w:rPr>
            <w:t>第一章</w:t>
          </w:r>
          <w:r>
            <w:rPr>
              <w:rStyle w:val="23"/>
              <w:rFonts w:hint="eastAsia"/>
              <w:color w:val="auto"/>
              <w:highlight w:val="none"/>
            </w:rPr>
            <w:t xml:space="preserve">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1603F78B">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"_Toc215158530" </w:instrText>
          </w:r>
          <w:r>
            <w:rPr>
              <w:color w:val="auto"/>
              <w:highlight w:val="none"/>
            </w:rPr>
            <w:fldChar w:fldCharType="separate"/>
          </w:r>
          <w:r>
            <w:rPr>
              <w:rStyle w:val="23"/>
              <w:rFonts w:hint="eastAsia" w:ascii="宋体" w:hAnsi="宋体" w:cs="宋体"/>
              <w:color w:val="auto"/>
              <w:highlight w:val="none"/>
            </w:rPr>
            <w:t>1.1.</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项目基本信息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313C582E">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"_Toc215158531" </w:instrText>
          </w:r>
          <w:r>
            <w:rPr>
              <w:color w:val="auto"/>
              <w:highlight w:val="none"/>
            </w:rPr>
            <w:fldChar w:fldCharType="separate"/>
          </w:r>
          <w:r>
            <w:rPr>
              <w:rStyle w:val="23"/>
              <w:rFonts w:hint="eastAsia" w:ascii="宋体" w:hAnsi="宋体" w:cs="宋体"/>
              <w:color w:val="auto"/>
              <w:highlight w:val="none"/>
            </w:rPr>
            <w:t>1.2.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项目建设范围及勘察设计范围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730F9787">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"_Toc215158532" </w:instrText>
          </w:r>
          <w:r>
            <w:rPr>
              <w:color w:val="auto"/>
              <w:highlight w:val="none"/>
            </w:rPr>
            <w:fldChar w:fldCharType="separate"/>
          </w:r>
          <w:r>
            <w:rPr>
              <w:rStyle w:val="23"/>
              <w:rFonts w:hint="eastAsia" w:ascii="宋体" w:hAnsi="宋体" w:cs="宋体"/>
              <w:color w:val="auto"/>
              <w:highlight w:val="none"/>
            </w:rPr>
            <w:t>1.3.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建设用地现状情况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3835067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"_Toc215158533" </w:instrText>
          </w:r>
          <w:r>
            <w:rPr>
              <w:color w:val="auto"/>
              <w:highlight w:val="none"/>
            </w:rPr>
            <w:fldChar w:fldCharType="separate"/>
          </w:r>
          <w:r>
            <w:rPr>
              <w:rStyle w:val="23"/>
              <w:rFonts w:hint="eastAsia" w:ascii="宋体" w:hAnsi="宋体" w:cs="宋体"/>
              <w:color w:val="auto"/>
              <w:highlight w:val="none"/>
            </w:rPr>
            <w:t>第二章 设计原则及设计内容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544BBD8">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"_Toc215158534" </w:instrText>
          </w:r>
          <w:r>
            <w:rPr>
              <w:color w:val="auto"/>
              <w:highlight w:val="none"/>
            </w:rPr>
            <w:fldChar w:fldCharType="separate"/>
          </w:r>
          <w:r>
            <w:rPr>
              <w:rStyle w:val="23"/>
              <w:rFonts w:hint="eastAsia" w:ascii="宋体" w:hAnsi="宋体" w:cs="宋体"/>
              <w:color w:val="auto"/>
              <w:highlight w:val="none"/>
            </w:rPr>
            <w:t>2.1.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18E74069">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"_Toc215158535" </w:instrText>
          </w:r>
          <w:r>
            <w:rPr>
              <w:color w:val="auto"/>
              <w:highlight w:val="none"/>
            </w:rPr>
            <w:fldChar w:fldCharType="separate"/>
          </w:r>
          <w:r>
            <w:rPr>
              <w:rStyle w:val="23"/>
              <w:rFonts w:hint="eastAsia" w:ascii="宋体" w:hAnsi="宋体" w:cs="宋体"/>
              <w:color w:val="auto"/>
              <w:highlight w:val="none"/>
            </w:rPr>
            <w:t>2.2.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Fonts w:hint="eastAsia"/>
              <w:color w:val="auto"/>
              <w:highlight w:val="none"/>
            </w:rPr>
            <w:fldChar w:fldCharType="end"/>
          </w:r>
        </w:p>
        <w:p w14:paraId="7A9EC80B">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"_Toc215158536" </w:instrText>
          </w:r>
          <w:r>
            <w:rPr>
              <w:color w:val="auto"/>
              <w:highlight w:val="none"/>
            </w:rPr>
            <w:fldChar w:fldCharType="separate"/>
          </w:r>
          <w:r>
            <w:rPr>
              <w:rStyle w:val="23"/>
              <w:rFonts w:hint="eastAsia" w:ascii="宋体" w:hAnsi="宋体" w:cs="宋体"/>
              <w:color w:val="auto"/>
              <w:highlight w:val="none"/>
            </w:rPr>
            <w:t>第三章 勘察设计要求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386D4E46">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"_Toc215158537" </w:instrText>
          </w:r>
          <w:r>
            <w:rPr>
              <w:color w:val="auto"/>
              <w:highlight w:val="none"/>
            </w:rPr>
            <w:fldChar w:fldCharType="separate"/>
          </w:r>
          <w:r>
            <w:rPr>
              <w:rStyle w:val="23"/>
              <w:rFonts w:hint="eastAsia" w:ascii="宋体" w:hAnsi="宋体" w:cs="宋体"/>
              <w:color w:val="auto"/>
              <w:highlight w:val="none"/>
            </w:rPr>
            <w:t>3.1.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勘察设计总体要求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5460AC1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"_Toc215158538" </w:instrText>
          </w:r>
          <w:r>
            <w:rPr>
              <w:color w:val="auto"/>
              <w:highlight w:val="none"/>
            </w:rPr>
            <w:fldChar w:fldCharType="separate"/>
          </w:r>
          <w:r>
            <w:rPr>
              <w:rStyle w:val="23"/>
              <w:rFonts w:hint="eastAsia" w:ascii="宋体" w:hAnsi="宋体" w:cs="宋体"/>
              <w:color w:val="auto"/>
              <w:highlight w:val="none"/>
            </w:rPr>
            <w:t>3.2.</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勘察工作要求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1BB603CF">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"_Toc215158539" </w:instrText>
          </w:r>
          <w:r>
            <w:rPr>
              <w:color w:val="auto"/>
              <w:highlight w:val="none"/>
            </w:rPr>
            <w:fldChar w:fldCharType="separate"/>
          </w:r>
          <w:r>
            <w:rPr>
              <w:rStyle w:val="23"/>
              <w:rFonts w:hint="eastAsia" w:ascii="宋体" w:hAnsi="宋体" w:cs="宋体"/>
              <w:color w:val="auto"/>
              <w:highlight w:val="none"/>
            </w:rPr>
            <w:t>3.3.</w:t>
          </w:r>
          <w:r>
            <w:rPr>
              <w:rFonts w:hint="eastAsia" w:asciiTheme="minorHAnsi" w:hAnsiTheme="minorHAnsi" w:eastAsiaTheme="minorEastAsia" w:cstheme="minorBidi"/>
              <w:color w:val="auto"/>
              <w:highlight w:val="none"/>
              <w14:ligatures w14:val="standardContextual"/>
            </w:rPr>
            <w:tab/>
          </w:r>
          <w:r>
            <w:rPr>
              <w:rStyle w:val="23"/>
              <w:rFonts w:hint="eastAsia"/>
              <w:color w:val="auto"/>
              <w:highlight w:val="none"/>
            </w:rPr>
            <w:t>设计工作要求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30BCEACD">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"_Toc215158540" </w:instrText>
          </w:r>
          <w:r>
            <w:rPr>
              <w:color w:val="auto"/>
              <w:highlight w:val="none"/>
            </w:rPr>
            <w:fldChar w:fldCharType="separate"/>
          </w:r>
          <w:r>
            <w:rPr>
              <w:rStyle w:val="23"/>
              <w:rFonts w:hint="eastAsia" w:ascii="宋体" w:hAnsi="宋体" w:cs="宋体"/>
              <w:color w:val="auto"/>
              <w:highlight w:val="none"/>
            </w:rPr>
            <w:t>第四章 勘察设计人员组织管理要求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A8882B4">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"_Toc215158541" </w:instrText>
          </w:r>
          <w:r>
            <w:rPr>
              <w:color w:val="auto"/>
              <w:highlight w:val="none"/>
            </w:rPr>
            <w:fldChar w:fldCharType="separate"/>
          </w:r>
          <w:r>
            <w:rPr>
              <w:rStyle w:val="23"/>
              <w:rFonts w:hint="eastAsia" w:ascii="宋体" w:hAnsi="宋体" w:cs="宋体"/>
              <w:color w:val="auto"/>
              <w:highlight w:val="none"/>
            </w:rPr>
            <w:t>4.1.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设计人员组织管理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420B1120">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"_Toc215158542" </w:instrText>
          </w:r>
          <w:r>
            <w:rPr>
              <w:color w:val="auto"/>
              <w:highlight w:val="none"/>
            </w:rPr>
            <w:fldChar w:fldCharType="separate"/>
          </w:r>
          <w:r>
            <w:rPr>
              <w:rStyle w:val="23"/>
              <w:rFonts w:hint="eastAsia" w:ascii="宋体" w:hAnsi="宋体" w:cs="宋体"/>
              <w:color w:val="auto"/>
              <w:highlight w:val="none"/>
            </w:rPr>
            <w:t>第五章 勘察设计成果提交要求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3D9CDB62">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"_Toc215158543" </w:instrText>
          </w:r>
          <w:r>
            <w:rPr>
              <w:color w:val="auto"/>
              <w:highlight w:val="none"/>
            </w:rPr>
            <w:fldChar w:fldCharType="separate"/>
          </w:r>
          <w:r>
            <w:rPr>
              <w:rStyle w:val="23"/>
              <w:rFonts w:hint="eastAsia" w:ascii="宋体" w:hAnsi="宋体" w:cs="宋体"/>
              <w:color w:val="auto"/>
              <w:highlight w:val="none"/>
            </w:rPr>
            <w:t>5.1.</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通用要求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45990183">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"_Toc215158544" </w:instrText>
          </w:r>
          <w:r>
            <w:rPr>
              <w:color w:val="auto"/>
              <w:highlight w:val="none"/>
            </w:rPr>
            <w:fldChar w:fldCharType="separate"/>
          </w:r>
          <w:r>
            <w:rPr>
              <w:rStyle w:val="23"/>
              <w:rFonts w:hint="eastAsia" w:ascii="宋体" w:hAnsi="宋体" w:cs="宋体"/>
              <w:color w:val="auto"/>
              <w:highlight w:val="none"/>
            </w:rPr>
            <w:t>5.2.</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设计成果要求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19DBE04D">
          <w:pPr>
            <w:pStyle w:val="17"/>
            <w:tabs>
              <w:tab w:val="left" w:pos="1320"/>
              <w:tab w:val="right" w:leader="dot" w:pos="8302"/>
            </w:tabs>
            <w:ind w:left="440"/>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"_Toc215158545" </w:instrText>
          </w:r>
          <w:r>
            <w:rPr>
              <w:color w:val="auto"/>
              <w:highlight w:val="none"/>
            </w:rPr>
            <w:fldChar w:fldCharType="separate"/>
          </w:r>
          <w:r>
            <w:rPr>
              <w:rStyle w:val="23"/>
              <w:rFonts w:hint="eastAsia" w:ascii="宋体" w:hAnsi="宋体" w:cs="宋体"/>
              <w:color w:val="auto"/>
              <w:highlight w:val="none"/>
            </w:rPr>
            <w:t>5.3.</w:t>
          </w:r>
          <w:r>
            <w:rPr>
              <w:rFonts w:hint="eastAsia" w:asciiTheme="minorHAnsi" w:hAnsiTheme="minorHAnsi" w:eastAsiaTheme="minorEastAsia" w:cstheme="minorBidi"/>
              <w:color w:val="auto"/>
              <w:highlight w:val="none"/>
              <w14:ligatures w14:val="standardContextual"/>
            </w:rPr>
            <w:tab/>
          </w:r>
          <w:r>
            <w:rPr>
              <w:rStyle w:val="23"/>
              <w:rFonts w:hint="eastAsia" w:ascii="宋体" w:hAnsi="宋体" w:cs="宋体"/>
              <w:color w:val="auto"/>
              <w:highlight w:val="none"/>
            </w:rPr>
            <w:t>提交设计资料要求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37</w:t>
          </w:r>
          <w:r>
            <w:rPr>
              <w:rFonts w:hint="eastAsia"/>
              <w:color w:val="auto"/>
              <w:highlight w:val="none"/>
            </w:rPr>
            <w:fldChar w:fldCharType="end"/>
          </w:r>
          <w:r>
            <w:rPr>
              <w:rFonts w:hint="eastAsia"/>
              <w:color w:val="auto"/>
              <w:highlight w:val="none"/>
            </w:rPr>
            <w:fldChar w:fldCharType="end"/>
          </w:r>
        </w:p>
        <w:p w14:paraId="2338980E">
          <w:pPr>
            <w:pStyle w:val="15"/>
            <w:tabs>
              <w:tab w:val="right" w:leader="dot" w:pos="8302"/>
            </w:tabs>
            <w:rPr>
              <w:rFonts w:asciiTheme="minorHAnsi" w:hAnsiTheme="minorHAnsi" w:eastAsiaTheme="minorEastAsia" w:cstheme="minorBidi"/>
              <w:color w:val="auto"/>
              <w:highlight w:val="none"/>
              <w14:ligatures w14:val="standardContextual"/>
            </w:rPr>
          </w:pPr>
          <w:r>
            <w:rPr>
              <w:color w:val="auto"/>
              <w:highlight w:val="none"/>
            </w:rPr>
            <w:fldChar w:fldCharType="begin"/>
          </w:r>
          <w:r>
            <w:rPr>
              <w:color w:val="auto"/>
              <w:highlight w:val="none"/>
            </w:rPr>
            <w:instrText xml:space="preserve"> HYPERLINK \l "_Toc215158546" </w:instrText>
          </w:r>
          <w:r>
            <w:rPr>
              <w:color w:val="auto"/>
              <w:highlight w:val="none"/>
            </w:rPr>
            <w:fldChar w:fldCharType="separate"/>
          </w:r>
          <w:r>
            <w:rPr>
              <w:rStyle w:val="23"/>
              <w:rFonts w:hint="eastAsia" w:ascii="宋体" w:hAnsi="宋体" w:cs="宋体"/>
              <w:color w:val="auto"/>
              <w:highlight w:val="none"/>
            </w:rPr>
            <w:t>第六章 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_Toc215158546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5DDC1F8C">
          <w:pPr>
            <w:rPr>
              <w:color w:val="auto"/>
              <w:highlight w:val="none"/>
            </w:rPr>
          </w:pPr>
          <w:r>
            <w:rPr>
              <w:color w:val="auto"/>
              <w:highlight w:val="none"/>
            </w:rPr>
            <w:fldChar w:fldCharType="end"/>
          </w:r>
        </w:p>
      </w:sdtContent>
    </w:sdt>
    <w:p w14:paraId="60B3384A">
      <w:pPr>
        <w:snapToGrid w:val="0"/>
        <w:spacing w:before="0" w:after="0"/>
        <w:rPr>
          <w:color w:val="auto"/>
          <w:highlight w:val="none"/>
        </w:rPr>
        <w:sectPr>
          <w:pgSz w:w="11906" w:h="16838"/>
          <w:pgMar w:top="1440" w:right="1797" w:bottom="1440" w:left="1797" w:header="851" w:footer="992" w:gutter="0"/>
          <w:cols w:space="0" w:num="1"/>
          <w:docGrid w:type="lines" w:linePitch="387" w:charSpace="0"/>
        </w:sectPr>
      </w:pPr>
    </w:p>
    <w:p w14:paraId="56836771">
      <w:pPr>
        <w:rPr>
          <w:color w:val="auto"/>
          <w:highlight w:val="none"/>
        </w:rPr>
      </w:pPr>
    </w:p>
    <w:p w14:paraId="0A243DDC">
      <w:pPr>
        <w:pStyle w:val="2"/>
        <w:ind w:left="0" w:firstLine="0"/>
        <w:jc w:val="center"/>
        <w:rPr>
          <w:color w:val="auto"/>
          <w:sz w:val="28"/>
          <w:szCs w:val="22"/>
          <w:highlight w:val="none"/>
        </w:rPr>
      </w:pPr>
      <w:bookmarkStart w:id="1" w:name="_Toc75504380"/>
      <w:bookmarkEnd w:id="1"/>
      <w:bookmarkStart w:id="2" w:name="_Toc215158529"/>
      <w:r>
        <w:rPr>
          <w:color w:val="auto"/>
          <w:sz w:val="28"/>
          <w:szCs w:val="22"/>
          <w:highlight w:val="none"/>
        </w:rPr>
        <w:t>项目概况</w:t>
      </w:r>
      <w:bookmarkEnd w:id="2"/>
    </w:p>
    <w:p w14:paraId="2B65D24D">
      <w:pPr>
        <w:pStyle w:val="3"/>
        <w:rPr>
          <w:color w:val="auto"/>
          <w:sz w:val="28"/>
          <w:szCs w:val="22"/>
          <w:highlight w:val="none"/>
        </w:rPr>
      </w:pPr>
      <w:bookmarkStart w:id="3" w:name="_Toc75504381"/>
      <w:bookmarkEnd w:id="3"/>
      <w:bookmarkStart w:id="4" w:name="_Toc215158530"/>
      <w:r>
        <w:rPr>
          <w:color w:val="auto"/>
          <w:sz w:val="28"/>
          <w:szCs w:val="22"/>
          <w:highlight w:val="none"/>
        </w:rPr>
        <w:t>项目基本信息</w:t>
      </w:r>
      <w:bookmarkEnd w:id="4"/>
    </w:p>
    <w:p w14:paraId="7C41A258">
      <w:pPr>
        <w:pStyle w:val="4"/>
        <w:snapToGrid w:val="0"/>
        <w:spacing w:before="100" w:after="100" w:line="360" w:lineRule="auto"/>
        <w:ind w:left="0" w:firstLine="0"/>
        <w:rPr>
          <w:rFonts w:hint="eastAsia" w:ascii="宋体" w:hAnsi="宋体" w:eastAsia="宋体" w:cs="宋体"/>
          <w:b w:val="0"/>
          <w:color w:val="auto"/>
          <w:sz w:val="24"/>
          <w:highlight w:val="none"/>
        </w:rPr>
      </w:pPr>
      <w:r>
        <w:rPr>
          <w:rFonts w:ascii="宋体" w:hAnsi="宋体" w:eastAsia="宋体" w:cs="宋体"/>
          <w:color w:val="auto"/>
          <w:sz w:val="24"/>
          <w:szCs w:val="22"/>
          <w:highlight w:val="none"/>
        </w:rPr>
        <w:t>项目名称</w:t>
      </w:r>
    </w:p>
    <w:p w14:paraId="7CFE0A05">
      <w:pPr>
        <w:snapToGrid w:val="0"/>
        <w:spacing w:after="12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天河区元岗村城中村改造项目AT0206007地块（即YG8号地块）勘察和初步设计</w:t>
      </w:r>
    </w:p>
    <w:p w14:paraId="38D34B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项目位置</w:t>
      </w:r>
    </w:p>
    <w:p w14:paraId="1D171196">
      <w:pPr>
        <w:snapToGrid w:val="0"/>
        <w:spacing w:before="0" w:after="0" w:line="360" w:lineRule="auto"/>
        <w:ind w:firstLine="566" w:firstLineChars="236"/>
        <w:rPr>
          <w:rFonts w:hint="eastAsia" w:ascii="宋体" w:hAnsi="宋体" w:eastAsia="宋体" w:cs="宋体"/>
          <w:color w:val="auto"/>
          <w:sz w:val="24"/>
          <w:highlight w:val="none"/>
        </w:rPr>
      </w:pPr>
      <w:bookmarkStart w:id="5" w:name="OLE_LINK2"/>
      <w:bookmarkStart w:id="6" w:name="OLE_LINK3"/>
      <w:r>
        <w:rPr>
          <w:rFonts w:ascii="宋体" w:hAnsi="宋体" w:eastAsia="宋体" w:cs="宋体"/>
          <w:color w:val="auto"/>
          <w:sz w:val="24"/>
          <w:highlight w:val="none"/>
        </w:rPr>
        <w:t>本项目位于广州市</w:t>
      </w:r>
      <w:r>
        <w:rPr>
          <w:rFonts w:hint="eastAsia" w:ascii="宋体" w:hAnsi="宋体" w:eastAsia="宋体" w:cs="宋体"/>
          <w:color w:val="auto"/>
          <w:sz w:val="24"/>
          <w:highlight w:val="none"/>
        </w:rPr>
        <w:t>天河区元岗村村域，靠近元岗北街</w:t>
      </w:r>
      <w:r>
        <w:rPr>
          <w:rFonts w:ascii="宋体" w:hAnsi="宋体" w:eastAsia="宋体" w:cs="宋体"/>
          <w:color w:val="auto"/>
          <w:sz w:val="24"/>
          <w:highlight w:val="none"/>
        </w:rPr>
        <w:t>，西</w:t>
      </w:r>
      <w:r>
        <w:rPr>
          <w:rFonts w:hint="eastAsia" w:ascii="宋体" w:hAnsi="宋体" w:eastAsia="宋体" w:cs="宋体"/>
          <w:color w:val="auto"/>
          <w:sz w:val="24"/>
          <w:highlight w:val="none"/>
        </w:rPr>
        <w:t>侧为40米规划路</w:t>
      </w:r>
      <w:r>
        <w:rPr>
          <w:rFonts w:ascii="宋体" w:hAnsi="宋体" w:eastAsia="宋体" w:cs="宋体"/>
          <w:color w:val="auto"/>
          <w:sz w:val="24"/>
          <w:highlight w:val="none"/>
        </w:rPr>
        <w:t>，</w:t>
      </w:r>
      <w:r>
        <w:rPr>
          <w:rFonts w:hint="eastAsia" w:ascii="宋体" w:hAnsi="宋体" w:eastAsia="宋体" w:cs="宋体"/>
          <w:color w:val="auto"/>
          <w:sz w:val="24"/>
          <w:highlight w:val="none"/>
        </w:rPr>
        <w:t>东侧为军事用地，南侧为商务用地，距长</w:t>
      </w:r>
      <w:r>
        <w:rPr>
          <w:rFonts w:ascii="宋体" w:hAnsi="宋体" w:eastAsia="宋体" w:cs="宋体"/>
          <w:color w:val="auto"/>
          <w:sz w:val="24"/>
          <w:highlight w:val="none"/>
        </w:rPr>
        <w:t>湴</w:t>
      </w:r>
      <w:r>
        <w:rPr>
          <w:rFonts w:hint="eastAsia" w:ascii="宋体" w:hAnsi="宋体" w:eastAsia="宋体" w:cs="宋体"/>
          <w:color w:val="auto"/>
          <w:sz w:val="24"/>
          <w:highlight w:val="none"/>
        </w:rPr>
        <w:t>地铁站约1</w:t>
      </w:r>
      <w:r>
        <w:rPr>
          <w:rFonts w:ascii="宋体" w:hAnsi="宋体" w:eastAsia="宋体" w:cs="宋体"/>
          <w:color w:val="auto"/>
          <w:sz w:val="24"/>
          <w:highlight w:val="none"/>
        </w:rPr>
        <w:t>KM。</w:t>
      </w:r>
    </w:p>
    <w:bookmarkEnd w:id="5"/>
    <w:bookmarkEnd w:id="6"/>
    <w:p w14:paraId="330C518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项目背景</w:t>
      </w:r>
    </w:p>
    <w:p w14:paraId="7A9F6081">
      <w:pPr>
        <w:snapToGrid w:val="0"/>
        <w:spacing w:before="0" w:after="0" w:line="360" w:lineRule="auto"/>
        <w:ind w:firstLine="566" w:firstLineChars="236"/>
        <w:rPr>
          <w:color w:val="auto"/>
          <w:highlight w:val="none"/>
        </w:rPr>
      </w:pPr>
      <w:bookmarkStart w:id="7" w:name="OLE_LINK4"/>
      <w:bookmarkStart w:id="8" w:name="OLE_LINK5"/>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天河区元岗村城中村改造项目AT0206007地块（即YG8</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rPr>
        <w:t>地块）建设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bookmarkEnd w:id="7"/>
    <w:bookmarkEnd w:id="8"/>
    <w:p w14:paraId="4F46403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项目建设规模</w:t>
      </w:r>
    </w:p>
    <w:p w14:paraId="13FB9068">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天河区元岗村城中村改造项目AT0206007地块（即YG8号地块）位于元岗村村域，靠近元岗北街，用地性质为其他商务用地(B29)，用地面积21734.09平方米，容积率≤3.5，计算容积率建筑面积≤76070 方米，建筑密度≤40%，绿地率≥30%，建筑限高100米，建筑高度须满足岑村机场净空控制要求。包括安置物业、道路以及绿化用地（AT0206046地块）等，具体详见地块范围红线图。</w:t>
      </w:r>
    </w:p>
    <w:p w14:paraId="306F3B25">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配建交通设施：</w:t>
      </w:r>
      <w:r>
        <w:rPr>
          <w:rFonts w:hint="eastAsia" w:ascii="宋体" w:hAnsi="宋体" w:eastAsia="宋体" w:cs="宋体"/>
          <w:color w:val="auto"/>
          <w:sz w:val="24"/>
          <w:highlight w:val="none"/>
        </w:rPr>
        <w:t>社会停车场（150泊）、</w:t>
      </w:r>
      <w:r>
        <w:rPr>
          <w:rFonts w:ascii="宋体" w:hAnsi="宋体" w:eastAsia="宋体" w:cs="宋体"/>
          <w:color w:val="auto"/>
          <w:sz w:val="24"/>
          <w:highlight w:val="none"/>
        </w:rPr>
        <w:t>公交首末站（用地面积2000㎡，建筑面积200㎡）。</w:t>
      </w:r>
    </w:p>
    <w:p w14:paraId="363CD28F">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配建市政公用设施:地块建设调蓄设施用地面积1144m²（规模1144m³）。</w:t>
      </w:r>
    </w:p>
    <w:p w14:paraId="566682CD">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停车位按照《广州市建设项目停车泊位配建指标规定》（2023年修订）落实停车配建指标（含公共停车泊位数）。</w:t>
      </w:r>
    </w:p>
    <w:p w14:paraId="1BD9BFBF">
      <w:pPr>
        <w:snapToGrid w:val="0"/>
        <w:spacing w:before="0" w:after="0"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工程建设内容:安置物业工程、道路工程、交通工程、给水工程、排水工程、管线综合工程、照明工程电力管沟工程、绿化工程等内容。</w:t>
      </w:r>
    </w:p>
    <w:p w14:paraId="23A213AE">
      <w:pPr>
        <w:snapToGrid w:val="0"/>
        <w:spacing w:before="0" w:after="0" w:line="360" w:lineRule="auto"/>
        <w:ind w:firstLine="566" w:firstLineChars="236"/>
        <w:rPr>
          <w:rFonts w:hint="eastAsia" w:ascii="宋体" w:hAnsi="宋体" w:eastAsia="宋体" w:cs="宋体"/>
          <w:color w:val="auto"/>
          <w:sz w:val="24"/>
          <w:highlight w:val="none"/>
        </w:rPr>
      </w:pPr>
    </w:p>
    <w:p w14:paraId="3F928BB6">
      <w:pPr>
        <w:snapToGrid w:val="0"/>
        <w:spacing w:before="0" w:after="0" w:line="360" w:lineRule="auto"/>
        <w:ind w:firstLine="566" w:firstLineChars="236"/>
        <w:rPr>
          <w:rFonts w:hint="eastAsia" w:ascii="宋体" w:hAnsi="宋体" w:eastAsia="宋体" w:cs="宋体"/>
          <w:color w:val="auto"/>
          <w:sz w:val="24"/>
          <w:highlight w:val="none"/>
        </w:rPr>
      </w:pPr>
      <w:bookmarkStart w:id="9" w:name="_Toc28011"/>
      <w:r>
        <w:rPr>
          <w:rFonts w:hint="eastAsia" w:ascii="宋体" w:hAnsi="宋体" w:eastAsia="宋体" w:cs="宋体"/>
          <w:color w:val="auto"/>
          <w:sz w:val="24"/>
          <w:highlight w:val="none"/>
        </w:rPr>
        <w:t>注：最终以正式规划条件及批复要求为准。</w:t>
      </w:r>
    </w:p>
    <w:p w14:paraId="76B26C5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项目建设依据</w:t>
      </w:r>
      <w:bookmarkEnd w:id="9"/>
    </w:p>
    <w:p w14:paraId="35F33BFE">
      <w:pPr>
        <w:rPr>
          <w:rFonts w:hint="eastAsia" w:ascii="宋体" w:hAnsi="宋体" w:eastAsia="宋体" w:cs="宋体"/>
          <w:color w:val="auto"/>
          <w:sz w:val="24"/>
          <w:highlight w:val="none"/>
        </w:rPr>
      </w:pPr>
      <w:r>
        <w:rPr>
          <w:rFonts w:hint="eastAsia" w:ascii="宋体" w:hAnsi="宋体" w:eastAsia="宋体" w:cs="宋体"/>
          <w:color w:val="auto"/>
          <w:sz w:val="24"/>
          <w:highlight w:val="none"/>
        </w:rPr>
        <w:t>1．现行法律法规</w:t>
      </w:r>
    </w:p>
    <w:p w14:paraId="4F5158D0">
      <w:pPr>
        <w:snapToGrid w:val="0"/>
        <w:spacing w:before="0" w:after="0" w:line="360" w:lineRule="auto"/>
        <w:ind w:left="566"/>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国家及省市颁布的相关法律、法规、规定</w:t>
      </w:r>
    </w:p>
    <w:p w14:paraId="7EC8FFB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2．现行技术标准与规范</w:t>
      </w:r>
    </w:p>
    <w:p w14:paraId="00074616">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（1）《广州市城乡规划技术规定》</w:t>
      </w:r>
    </w:p>
    <w:p w14:paraId="3218606E">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（2）各专业相关规范</w:t>
      </w:r>
    </w:p>
    <w:p w14:paraId="6C383CC4">
      <w:pPr>
        <w:rPr>
          <w:rFonts w:hint="eastAsia" w:ascii="宋体" w:hAnsi="宋体" w:eastAsia="宋体" w:cs="宋体"/>
          <w:color w:val="auto"/>
          <w:sz w:val="24"/>
          <w:highlight w:val="none"/>
        </w:rPr>
      </w:pPr>
      <w:r>
        <w:rPr>
          <w:rFonts w:hint="eastAsia" w:ascii="宋体" w:hAnsi="宋体" w:eastAsia="宋体" w:cs="宋体"/>
          <w:color w:val="auto"/>
          <w:sz w:val="24"/>
          <w:highlight w:val="none"/>
        </w:rPr>
        <w:t>3．相关文件</w:t>
      </w:r>
    </w:p>
    <w:p w14:paraId="44802CC1">
      <w:pPr>
        <w:snapToGrid w:val="0"/>
        <w:spacing w:before="0" w:after="0"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（1）穗规划资源天函〔2025〕2330号《关于提供环五山创新策源区元岗村首期项目AT0206007、AT0206017地块规划情况的函》</w:t>
      </w:r>
    </w:p>
    <w:p w14:paraId="0441C434">
      <w:pPr>
        <w:pStyle w:val="3"/>
        <w:snapToGrid w:val="0"/>
        <w:spacing w:before="260" w:after="260" w:line="413" w:lineRule="auto"/>
        <w:ind w:left="0" w:firstLine="0"/>
        <w:jc w:val="left"/>
        <w:rPr>
          <w:color w:val="auto"/>
          <w:sz w:val="28"/>
          <w:szCs w:val="28"/>
          <w:highlight w:val="none"/>
        </w:rPr>
      </w:pPr>
      <w:bookmarkStart w:id="10" w:name="_Toc75504382"/>
      <w:bookmarkEnd w:id="10"/>
      <w:bookmarkStart w:id="11" w:name="_Toc215158531"/>
      <w:r>
        <w:rPr>
          <w:rFonts w:ascii="宋体" w:hAnsi="宋体" w:cs="宋体"/>
          <w:b/>
          <w:color w:val="auto"/>
          <w:sz w:val="28"/>
          <w:szCs w:val="28"/>
          <w:highlight w:val="none"/>
        </w:rPr>
        <w:t>项目建设范围及勘察设计范围</w:t>
      </w:r>
      <w:bookmarkEnd w:id="11"/>
    </w:p>
    <w:p w14:paraId="6A10BB6E">
      <w:pPr>
        <w:pStyle w:val="4"/>
        <w:snapToGrid w:val="0"/>
        <w:spacing w:before="100" w:after="100"/>
        <w:ind w:firstLine="569" w:firstLineChars="236"/>
        <w:rPr>
          <w:color w:val="auto"/>
          <w:highlight w:val="none"/>
        </w:rPr>
      </w:pPr>
      <w:r>
        <w:rPr>
          <w:rFonts w:ascii="宋体" w:hAnsi="宋体" w:eastAsia="宋体" w:cs="宋体"/>
          <w:color w:val="auto"/>
          <w:sz w:val="24"/>
          <w:szCs w:val="22"/>
          <w:highlight w:val="none"/>
        </w:rPr>
        <w:t>项目建设范围</w:t>
      </w:r>
      <w:r>
        <w:rPr>
          <w:rFonts w:hint="eastAsia" w:ascii="宋体" w:hAnsi="宋体" w:eastAsia="宋体" w:cs="宋体"/>
          <w:color w:val="auto"/>
          <w:sz w:val="24"/>
          <w:szCs w:val="22"/>
          <w:highlight w:val="none"/>
        </w:rPr>
        <w:t>（下图红线范围，含配套道路，绿地用地）</w:t>
      </w:r>
    </w:p>
    <w:p w14:paraId="1EF3622D">
      <w:pPr>
        <w:snapToGrid w:val="0"/>
        <w:spacing w:before="0" w:after="0"/>
        <w:jc w:val="center"/>
        <w:rPr>
          <w:rFonts w:hint="eastAsia" w:ascii="宋体" w:hAnsi="宋体" w:eastAsia="宋体" w:cs="宋体"/>
          <w:color w:val="auto"/>
          <w:sz w:val="24"/>
          <w:highlight w:val="none"/>
        </w:rPr>
      </w:pPr>
      <w:r>
        <w:rPr>
          <w:color w:val="auto"/>
          <w:highlight w:val="none"/>
        </w:rPr>
        <w:drawing>
          <wp:inline distT="0" distB="0" distL="0" distR="0">
            <wp:extent cx="5278120" cy="3728720"/>
            <wp:effectExtent l="0" t="0" r="0" b="5080"/>
            <wp:docPr id="20950112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1127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8120" cy="3728720"/>
                    </a:xfrm>
                    <a:prstGeom prst="rect">
                      <a:avLst/>
                    </a:prstGeom>
                    <a:noFill/>
                    <a:ln>
                      <a:noFill/>
                    </a:ln>
                  </pic:spPr>
                </pic:pic>
              </a:graphicData>
            </a:graphic>
          </wp:inline>
        </w:drawing>
      </w:r>
    </w:p>
    <w:p w14:paraId="7A0A0B72">
      <w:pPr>
        <w:snapToGrid w:val="0"/>
        <w:spacing w:before="0" w:after="0"/>
        <w:jc w:val="center"/>
        <w:rPr>
          <w:color w:val="auto"/>
          <w:highlight w:val="none"/>
        </w:rPr>
      </w:pPr>
      <w:r>
        <w:rPr>
          <w:rFonts w:ascii="宋体" w:hAnsi="宋体" w:eastAsia="宋体" w:cs="宋体"/>
          <w:color w:val="auto"/>
          <w:sz w:val="24"/>
          <w:highlight w:val="none"/>
        </w:rPr>
        <w:t>本项目用地示意图</w:t>
      </w:r>
    </w:p>
    <w:p w14:paraId="6E660FF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项目勘察设计范围</w:t>
      </w:r>
    </w:p>
    <w:p w14:paraId="5C7F8B2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项目勘察设计范围包括：用地内的工程勘察（包括初勘、详勘阶段）、方案设计和初步设计阶段设计，设计深度需满足政府主管部门初步设计报批深度的要求，包括场地的岩土工程、地质勘查、</w:t>
      </w:r>
      <w:r>
        <w:rPr>
          <w:rFonts w:hint="eastAsia" w:ascii="宋体" w:hAnsi="宋体" w:eastAsia="宋体" w:cs="宋体"/>
          <w:color w:val="auto"/>
          <w:sz w:val="24"/>
          <w:szCs w:val="24"/>
          <w:highlight w:val="none"/>
          <w:lang w:eastAsia="zh-CN"/>
        </w:rPr>
        <w:t>物探、</w:t>
      </w:r>
      <w:r>
        <w:rPr>
          <w:rFonts w:ascii="宋体" w:hAnsi="宋体" w:eastAsia="宋体" w:cs="宋体"/>
          <w:color w:val="auto"/>
          <w:sz w:val="24"/>
          <w:highlight w:val="none"/>
        </w:rPr>
        <w:t>基坑支护设计、地基及软基处理设计、修建性详细规划设计、建筑方案设计、初步设计、概算编制（含方案设计估算、初步设计概算）、因政策变化或相应外部条件改变带来的相应设计工作、与本项目勘察、方案设计和初步设计阶段相关的设计等工作。</w:t>
      </w:r>
    </w:p>
    <w:p w14:paraId="240A9DA8">
      <w:pPr>
        <w:pStyle w:val="3"/>
        <w:snapToGrid w:val="0"/>
        <w:spacing w:before="260" w:after="260" w:line="413" w:lineRule="auto"/>
        <w:ind w:left="0" w:firstLine="0"/>
        <w:jc w:val="left"/>
        <w:rPr>
          <w:color w:val="auto"/>
          <w:sz w:val="24"/>
          <w:highlight w:val="none"/>
        </w:rPr>
      </w:pPr>
      <w:bookmarkStart w:id="12" w:name="_Toc75504383"/>
      <w:bookmarkEnd w:id="12"/>
      <w:bookmarkStart w:id="13" w:name="_Toc215158532"/>
      <w:r>
        <w:rPr>
          <w:rFonts w:ascii="宋体" w:hAnsi="宋体" w:cs="宋体"/>
          <w:b/>
          <w:color w:val="auto"/>
          <w:sz w:val="24"/>
          <w:highlight w:val="none"/>
        </w:rPr>
        <w:t>建设用地现状情况</w:t>
      </w:r>
      <w:bookmarkEnd w:id="13"/>
    </w:p>
    <w:p w14:paraId="464EEFE0">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场地条件</w:t>
      </w:r>
    </w:p>
    <w:p w14:paraId="5D5546E7">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本项目位于广州市</w:t>
      </w:r>
      <w:r>
        <w:rPr>
          <w:rFonts w:hint="eastAsia" w:ascii="宋体" w:hAnsi="宋体" w:eastAsia="宋体" w:cs="宋体"/>
          <w:color w:val="auto"/>
          <w:sz w:val="24"/>
          <w:highlight w:val="none"/>
        </w:rPr>
        <w:t>天河区元岗村城中村改造项目AT0206007地块（即YG8号地块）</w:t>
      </w:r>
      <w:r>
        <w:rPr>
          <w:rFonts w:ascii="宋体" w:hAnsi="宋体" w:eastAsia="宋体" w:cs="宋体"/>
          <w:color w:val="auto"/>
          <w:sz w:val="24"/>
          <w:highlight w:val="none"/>
        </w:rPr>
        <w:t>，项目西</w:t>
      </w:r>
      <w:r>
        <w:rPr>
          <w:rFonts w:hint="eastAsia" w:ascii="宋体" w:hAnsi="宋体" w:eastAsia="宋体" w:cs="宋体"/>
          <w:color w:val="auto"/>
          <w:sz w:val="24"/>
          <w:highlight w:val="none"/>
        </w:rPr>
        <w:t>侧为40米规划路</w:t>
      </w:r>
      <w:r>
        <w:rPr>
          <w:rFonts w:ascii="宋体" w:hAnsi="宋体" w:eastAsia="宋体" w:cs="宋体"/>
          <w:color w:val="auto"/>
          <w:sz w:val="24"/>
          <w:highlight w:val="none"/>
        </w:rPr>
        <w:t>，</w:t>
      </w:r>
      <w:r>
        <w:rPr>
          <w:rFonts w:hint="eastAsia" w:ascii="宋体" w:hAnsi="宋体" w:eastAsia="宋体" w:cs="宋体"/>
          <w:color w:val="auto"/>
          <w:sz w:val="24"/>
          <w:highlight w:val="none"/>
        </w:rPr>
        <w:t>东侧为军事用地，南侧为商务用地，距长</w:t>
      </w:r>
      <w:r>
        <w:rPr>
          <w:rFonts w:ascii="宋体" w:hAnsi="宋体" w:eastAsia="宋体" w:cs="宋体"/>
          <w:color w:val="auto"/>
          <w:sz w:val="24"/>
          <w:highlight w:val="none"/>
        </w:rPr>
        <w:t>湴</w:t>
      </w:r>
      <w:r>
        <w:rPr>
          <w:rFonts w:hint="eastAsia" w:ascii="宋体" w:hAnsi="宋体" w:eastAsia="宋体" w:cs="宋体"/>
          <w:color w:val="auto"/>
          <w:sz w:val="24"/>
          <w:highlight w:val="none"/>
        </w:rPr>
        <w:t>地铁站约1</w:t>
      </w:r>
      <w:r>
        <w:rPr>
          <w:rFonts w:ascii="宋体" w:hAnsi="宋体" w:eastAsia="宋体" w:cs="宋体"/>
          <w:color w:val="auto"/>
          <w:sz w:val="24"/>
          <w:highlight w:val="none"/>
        </w:rPr>
        <w:t>KM，地块南北长约185m，东西宽约92m。</w:t>
      </w:r>
    </w:p>
    <w:p w14:paraId="2B8E06A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w:t>
      </w:r>
      <w:r>
        <w:rPr>
          <w:rFonts w:hint="eastAsia" w:ascii="宋体" w:hAnsi="宋体" w:eastAsia="宋体" w:cs="宋体"/>
          <w:color w:val="auto"/>
          <w:sz w:val="24"/>
          <w:highlight w:val="none"/>
        </w:rPr>
        <w:t>周边交通便捷、人流量大、配套丰富</w:t>
      </w:r>
      <w:r>
        <w:rPr>
          <w:rFonts w:ascii="宋体" w:hAnsi="宋体" w:eastAsia="宋体" w:cs="宋体"/>
          <w:color w:val="auto"/>
          <w:sz w:val="24"/>
          <w:highlight w:val="none"/>
        </w:rPr>
        <w:t>，符合项目建设的选址要求。</w:t>
      </w:r>
    </w:p>
    <w:p w14:paraId="02A1FC61">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气候条件</w:t>
      </w:r>
    </w:p>
    <w:p w14:paraId="1B5BC233">
      <w:pPr>
        <w:snapToGrid w:val="0"/>
        <w:spacing w:before="0" w:after="0" w:line="360" w:lineRule="auto"/>
        <w:ind w:firstLine="566" w:firstLineChars="236"/>
        <w:rPr>
          <w:color w:val="auto"/>
          <w:highlight w:val="none"/>
        </w:rPr>
      </w:pPr>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属南亚热带季风气候，位于北回归线以南。由于四周环水，气候具有海洋性较强的特点。全年暖热，光照充足，雨量充沛，温差较小，干湿季节明显。年平均气温21.8℃，最冷月为1月，平均气温13.3℃，极端最低气温0.0℃，出现在1957年2月11日；最热为7月，平均气温28.4，极端最高气温38.7℃，出现在1953年8月12日。日平均气温全年均在0℃以上。无霜期年平均338天，年平均日照时数为1906小时，年总辐射4489兆焦/米。雨量充沛，年平均降雨量约1694.1毫米，降雨集中在每年4月至9月，雨季长达6个月，平均降雨量为1391.1毫米，占年降雨量的82.1%。旱季总降雨量只有303毫米，占全年降雨量的17.9%。5月最多，达293.8毫米，占全年的降雨量的17.46%，最少为12月，只有24.7毫米，占全年降雨量的1.5%。极端日最大雨量为284.9毫米，出现在1955年6月6日。冬夏季风交替是区内季风气候突出的特征，冬季吹偏北风，夏季吹偏南风，每年4~8月盛行夏季风，9~3月盛行冬季风。夏季风盛行季节，有时会受热带风暴和台风侵袭。冬季风盛行季节，有时会受强冷空气南下影响，会形成“寒露风”和“霜降风”天气。</w:t>
      </w:r>
    </w:p>
    <w:p w14:paraId="2A35D168">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地质条件</w:t>
      </w:r>
    </w:p>
    <w:p w14:paraId="6DAF5A12">
      <w:pPr>
        <w:snapToGrid w:val="0"/>
        <w:spacing w:before="0" w:after="0" w:line="360" w:lineRule="auto"/>
        <w:ind w:firstLine="566" w:firstLineChars="236"/>
        <w:rPr>
          <w:color w:val="auto"/>
          <w:highlight w:val="none"/>
        </w:rPr>
      </w:pPr>
      <w:bookmarkStart w:id="14" w:name="_Hlk74756690"/>
      <w:bookmarkEnd w:id="14"/>
      <w:r>
        <w:rPr>
          <w:rFonts w:hint="eastAsia" w:ascii="宋体" w:hAnsi="宋体" w:eastAsia="宋体" w:cs="宋体"/>
          <w:color w:val="auto"/>
          <w:sz w:val="24"/>
          <w:highlight w:val="none"/>
        </w:rPr>
        <w:t>广州市天河区</w:t>
      </w:r>
      <w:r>
        <w:rPr>
          <w:rFonts w:ascii="宋体" w:hAnsi="宋体" w:eastAsia="宋体" w:cs="宋体"/>
          <w:color w:val="auto"/>
          <w:sz w:val="24"/>
          <w:highlight w:val="none"/>
        </w:rPr>
        <w:t>地处珠江三角洲冲积平原的北部，北面、南面分别濒临珠江广州河段的前、后航道。总的地势是北高南低，地貌类型可分为低丘、台地和平原三种，以三角洲平原为主。北部从西往东为一列略有起伏的低丘岗峦，海拔一般约50米，最高的圣堂岗海拔54.3米；台地分二级，一级海拔约40米，另一级海拔约20米；南部和东部为河海冲积的沙洲平原，河网密布，一般海拔10米以下。区内有很多由风化剥蚀、海浪侵蚀或堆积而造成的遗迹，如七星岗海蚀遗迹、七星岗丹霞地貌、七星岗“鳞石”地貌、松岗及赤沙的沙堤及赤岗塔瓯穴群等。</w:t>
      </w:r>
    </w:p>
    <w:p w14:paraId="7B1F55D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市政条件</w:t>
      </w:r>
    </w:p>
    <w:p w14:paraId="7C2C986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项目用地周边目前没有给水、排水、供电、燃气等市政公用设施管网，周边市政道路及管线正在规划建设过程中。</w:t>
      </w:r>
    </w:p>
    <w:p w14:paraId="55E09BE3">
      <w:pPr>
        <w:pStyle w:val="5"/>
        <w:snapToGrid w:val="0"/>
        <w:spacing w:line="360" w:lineRule="auto"/>
        <w:ind w:left="0" w:firstLine="0"/>
        <w:rPr>
          <w:color w:val="auto"/>
          <w:highlight w:val="none"/>
        </w:rPr>
      </w:pPr>
      <w:r>
        <w:rPr>
          <w:rFonts w:ascii="宋体" w:hAnsi="宋体" w:eastAsia="宋体" w:cs="宋体"/>
          <w:color w:val="auto"/>
          <w:highlight w:val="none"/>
        </w:rPr>
        <w:t>给水现状</w:t>
      </w:r>
    </w:p>
    <w:p w14:paraId="24C92A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47FDF2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排水现状</w:t>
      </w:r>
    </w:p>
    <w:p w14:paraId="48A0789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579D19C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排水体制</w:t>
      </w:r>
    </w:p>
    <w:p w14:paraId="35A1CD49">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按照环境保护要求，同时根据污水体制的优缺点比较及根据城市规划,本地区属新区建设,采用分流制作为本项目的排水体制</w:t>
      </w:r>
      <w:r>
        <w:rPr>
          <w:rFonts w:hint="eastAsia" w:ascii="宋体" w:hAnsi="宋体" w:eastAsia="宋体" w:cs="宋体"/>
          <w:color w:val="auto"/>
          <w:sz w:val="24"/>
          <w:highlight w:val="none"/>
        </w:rPr>
        <w:t>。</w:t>
      </w:r>
    </w:p>
    <w:p w14:paraId="4F4007A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电力现状以及规划</w:t>
      </w:r>
    </w:p>
    <w:p w14:paraId="6671C19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51BD136">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燃气现状</w:t>
      </w:r>
    </w:p>
    <w:p w14:paraId="0735CFE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暂无。</w:t>
      </w:r>
    </w:p>
    <w:p w14:paraId="36765944">
      <w:pPr>
        <w:snapToGrid w:val="0"/>
        <w:spacing w:before="0" w:after="0" w:line="360" w:lineRule="auto"/>
        <w:ind w:firstLine="519" w:firstLineChars="236"/>
        <w:rPr>
          <w:color w:val="auto"/>
          <w:highlight w:val="none"/>
        </w:rPr>
      </w:pPr>
    </w:p>
    <w:p w14:paraId="754B58F2">
      <w:pPr>
        <w:snapToGrid w:val="0"/>
        <w:spacing w:before="0" w:after="0" w:line="360" w:lineRule="auto"/>
        <w:rPr>
          <w:color w:val="auto"/>
          <w:highlight w:val="none"/>
        </w:rPr>
      </w:pPr>
    </w:p>
    <w:p w14:paraId="66A0348C">
      <w:pPr>
        <w:pStyle w:val="2"/>
        <w:snapToGrid w:val="0"/>
        <w:spacing w:line="360" w:lineRule="auto"/>
        <w:ind w:left="0" w:firstLine="0"/>
        <w:jc w:val="center"/>
        <w:rPr>
          <w:b w:val="0"/>
          <w:bCs/>
          <w:color w:val="auto"/>
          <w:sz w:val="28"/>
          <w:szCs w:val="22"/>
          <w:highlight w:val="none"/>
        </w:rPr>
      </w:pPr>
      <w:bookmarkStart w:id="15" w:name="_Toc75504384"/>
      <w:bookmarkEnd w:id="15"/>
      <w:bookmarkStart w:id="16" w:name="_Toc215158533"/>
      <w:r>
        <w:rPr>
          <w:rFonts w:ascii="宋体" w:hAnsi="宋体" w:cs="宋体"/>
          <w:b w:val="0"/>
          <w:bCs/>
          <w:color w:val="auto"/>
          <w:sz w:val="28"/>
          <w:szCs w:val="22"/>
          <w:highlight w:val="none"/>
        </w:rPr>
        <w:t>设计原则及设计内容</w:t>
      </w:r>
      <w:bookmarkEnd w:id="16"/>
    </w:p>
    <w:p w14:paraId="2B0CC9C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项目的建设目标和任务将紧紧围绕</w:t>
      </w:r>
      <w:r>
        <w:rPr>
          <w:rFonts w:hint="eastAsia" w:ascii="宋体" w:hAnsi="宋体" w:eastAsia="宋体" w:cs="宋体"/>
          <w:color w:val="auto"/>
          <w:sz w:val="24"/>
          <w:highlight w:val="none"/>
        </w:rPr>
        <w:t>天河区元岗村城中村改造项目AT0206007地块（即YG8号地块）建设</w:t>
      </w:r>
      <w:r>
        <w:rPr>
          <w:rFonts w:ascii="宋体" w:hAnsi="宋体" w:eastAsia="宋体" w:cs="宋体"/>
          <w:color w:val="auto"/>
          <w:sz w:val="24"/>
          <w:highlight w:val="none"/>
        </w:rPr>
        <w:t>，强化地区的规划统筹，高位谋划、高标准设计，</w:t>
      </w:r>
      <w:r>
        <w:rPr>
          <w:rFonts w:hint="eastAsia" w:ascii="宋体" w:hAnsi="宋体" w:eastAsia="宋体" w:cs="宋体"/>
          <w:color w:val="auto"/>
          <w:sz w:val="24"/>
          <w:highlight w:val="none"/>
        </w:rPr>
        <w:t>充分利用周边交通便捷和配套丰富所带来的巨大的人流资源，结合场地周边资源优势，打造多种业态共生的新地标</w:t>
      </w:r>
      <w:r>
        <w:rPr>
          <w:rFonts w:ascii="宋体" w:hAnsi="宋体" w:eastAsia="宋体" w:cs="宋体"/>
          <w:color w:val="auto"/>
          <w:sz w:val="24"/>
          <w:highlight w:val="none"/>
        </w:rPr>
        <w:t>；同时全面提升城市人居环境品质。</w:t>
      </w:r>
    </w:p>
    <w:p w14:paraId="24A5DF3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建设应坚持遵循安全可靠、经济实用、资源节约、环境友好和适度创新的原则。建筑设计需充分考虑</w:t>
      </w:r>
      <w:r>
        <w:rPr>
          <w:rFonts w:hint="eastAsia" w:ascii="宋体" w:hAnsi="宋体" w:eastAsia="宋体" w:cs="宋体"/>
          <w:color w:val="auto"/>
          <w:sz w:val="24"/>
          <w:highlight w:val="none"/>
        </w:rPr>
        <w:t>各个功能业态布局、</w:t>
      </w:r>
      <w:r>
        <w:rPr>
          <w:rFonts w:ascii="宋体" w:hAnsi="宋体" w:eastAsia="宋体" w:cs="宋体"/>
          <w:color w:val="auto"/>
          <w:sz w:val="24"/>
          <w:highlight w:val="none"/>
        </w:rPr>
        <w:t>价值及其适用性。同时体现“以人为本”</w:t>
      </w:r>
      <w:r>
        <w:rPr>
          <w:rFonts w:hint="eastAsia" w:ascii="宋体" w:hAnsi="宋体" w:eastAsia="宋体" w:cs="宋体"/>
          <w:color w:val="auto"/>
          <w:sz w:val="24"/>
          <w:highlight w:val="none"/>
        </w:rPr>
        <w:t>、“因地制宜”</w:t>
      </w:r>
      <w:r>
        <w:rPr>
          <w:rFonts w:ascii="宋体" w:hAnsi="宋体" w:eastAsia="宋体" w:cs="宋体"/>
          <w:color w:val="auto"/>
          <w:sz w:val="24"/>
          <w:highlight w:val="none"/>
        </w:rPr>
        <w:t>的设计原则，创造安全、方便、健康、紧凑、和谐的人居环境，并合理采用成熟可靠的新技术、新材料、新工艺，符合国家有关技术标准、规范，达到节地、节能、节水、节材和环境保护的目标要求。</w:t>
      </w:r>
    </w:p>
    <w:p w14:paraId="0A71077E">
      <w:pPr>
        <w:pStyle w:val="3"/>
        <w:snapToGrid w:val="0"/>
        <w:spacing w:before="260" w:after="260" w:line="413" w:lineRule="auto"/>
        <w:ind w:left="0" w:firstLine="0"/>
        <w:jc w:val="left"/>
        <w:rPr>
          <w:color w:val="auto"/>
          <w:sz w:val="28"/>
          <w:szCs w:val="28"/>
          <w:highlight w:val="none"/>
        </w:rPr>
      </w:pPr>
      <w:bookmarkStart w:id="17" w:name="_Toc75504385"/>
      <w:bookmarkEnd w:id="17"/>
      <w:bookmarkStart w:id="18" w:name="_Toc215158534"/>
      <w:r>
        <w:rPr>
          <w:rFonts w:ascii="宋体" w:hAnsi="宋体" w:cs="宋体"/>
          <w:b/>
          <w:color w:val="auto"/>
          <w:sz w:val="28"/>
          <w:szCs w:val="28"/>
          <w:highlight w:val="none"/>
        </w:rPr>
        <w:t>设计原则</w:t>
      </w:r>
      <w:bookmarkEnd w:id="18"/>
    </w:p>
    <w:p w14:paraId="2D391D5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限额设计原则</w:t>
      </w:r>
    </w:p>
    <w:p w14:paraId="0326EDF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设计单位应按照政府固定资产投资应当坚持估算控制概算，概算控制预算，预算控制决算的原则，执行《广州市政府投资管理条例》、《广州市财政投资评审监督管理办法》做好限额设计。</w:t>
      </w:r>
    </w:p>
    <w:p w14:paraId="0783FD64">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应做到初步设计成果的编制提交要与初步设计概算的编制提交同步进行，做到项目立项和可行性研究报告批复的建设事项与勘察设计成果及项目概算编制事项应相互统一。</w:t>
      </w:r>
    </w:p>
    <w:p w14:paraId="6D9CA4F1">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满足规范标准原则</w:t>
      </w:r>
    </w:p>
    <w:p w14:paraId="2D70AA8D">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应参考相关规范的要求，并满足国家现行相关设计的规范标准的要求及设计行业相关技术规范条文的要求，严格执行国家工程建设标准强制性条文。</w:t>
      </w:r>
    </w:p>
    <w:p w14:paraId="564BBB43">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绿色生态原则</w:t>
      </w:r>
    </w:p>
    <w:p w14:paraId="325BE397">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广州市属亚热带季风气候。规划与建筑设计应充分考虑广州市的气候特征，充分利用自然通风，合理控制直接照射室内的阳光，体现生态思想和节能观念。同时设计要体现可持续发展的理念。</w:t>
      </w:r>
    </w:p>
    <w:p w14:paraId="0A36E11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项目应按绿色建筑标准进行规划设计，积极采用低碳、绿色、环保技术措施。</w:t>
      </w:r>
    </w:p>
    <w:p w14:paraId="7664E80B">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经济合理美观原则</w:t>
      </w:r>
    </w:p>
    <w:p w14:paraId="1826E7E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14:paraId="279B772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基本要求</w:t>
      </w:r>
    </w:p>
    <w:p w14:paraId="12365AFA">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公建配套的位置要充分结合周边产业现状以及周边规划用地</w:t>
      </w:r>
      <w:r>
        <w:rPr>
          <w:rFonts w:hint="eastAsia" w:ascii="宋体" w:hAnsi="宋体" w:eastAsia="宋体" w:cs="宋体"/>
          <w:color w:val="auto"/>
          <w:sz w:val="24"/>
          <w:highlight w:val="none"/>
        </w:rPr>
        <w:t>性质及</w:t>
      </w:r>
      <w:r>
        <w:rPr>
          <w:rFonts w:ascii="宋体" w:hAnsi="宋体" w:eastAsia="宋体" w:cs="宋体"/>
          <w:color w:val="auto"/>
          <w:sz w:val="24"/>
          <w:highlight w:val="none"/>
        </w:rPr>
        <w:t>属性，要注意商业物业的区分管理问题。</w:t>
      </w:r>
    </w:p>
    <w:p w14:paraId="4A4CD374">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“集约高效、统筹兼顾、统一布局”设计理念</w:t>
      </w:r>
    </w:p>
    <w:p w14:paraId="0058F0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1、项目建设必须体现“集约高效、统筹兼顾、统一布局”理念，将公建配套、停车等系统化进行考虑与设计。</w:t>
      </w:r>
    </w:p>
    <w:p w14:paraId="6F10D1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2、项目建设必须与周边人口规模相对应，满足用地规划条件要求。</w:t>
      </w:r>
      <w:r>
        <w:rPr>
          <w:rFonts w:hint="eastAsia" w:ascii="宋体" w:hAnsi="宋体" w:eastAsia="宋体" w:cs="宋体"/>
          <w:color w:val="auto"/>
          <w:sz w:val="24"/>
          <w:highlight w:val="none"/>
        </w:rPr>
        <w:t>并且统筹兼顾，考虑到周边地块对其影响</w:t>
      </w:r>
      <w:r>
        <w:rPr>
          <w:rFonts w:ascii="宋体" w:hAnsi="宋体" w:eastAsia="宋体" w:cs="宋体"/>
          <w:color w:val="auto"/>
          <w:sz w:val="24"/>
          <w:highlight w:val="none"/>
        </w:rPr>
        <w:t>。</w:t>
      </w:r>
    </w:p>
    <w:p w14:paraId="733FF12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3、建筑的业态定位需根据</w:t>
      </w:r>
      <w:r>
        <w:rPr>
          <w:rFonts w:hint="eastAsia" w:ascii="宋体" w:hAnsi="宋体" w:eastAsia="宋体" w:cs="宋体"/>
          <w:color w:val="auto"/>
          <w:sz w:val="24"/>
          <w:highlight w:val="none"/>
        </w:rPr>
        <w:t>周边规划配套、交通情况等多方面</w:t>
      </w:r>
      <w:r>
        <w:rPr>
          <w:rFonts w:ascii="宋体" w:hAnsi="宋体" w:eastAsia="宋体" w:cs="宋体"/>
          <w:color w:val="auto"/>
          <w:sz w:val="24"/>
          <w:highlight w:val="none"/>
        </w:rPr>
        <w:t>进行综合考虑，可考虑</w:t>
      </w:r>
      <w:bookmarkStart w:id="19" w:name="OLE_LINK6"/>
      <w:bookmarkStart w:id="20" w:name="OLE_LINK7"/>
      <w:r>
        <w:rPr>
          <w:rFonts w:ascii="宋体" w:hAnsi="宋体" w:eastAsia="宋体" w:cs="宋体"/>
          <w:color w:val="auto"/>
          <w:sz w:val="24"/>
          <w:highlight w:val="none"/>
        </w:rPr>
        <w:t>商业</w:t>
      </w:r>
      <w:r>
        <w:rPr>
          <w:rFonts w:hint="eastAsia" w:ascii="宋体" w:hAnsi="宋体" w:eastAsia="宋体" w:cs="宋体"/>
          <w:color w:val="auto"/>
          <w:sz w:val="24"/>
          <w:highlight w:val="none"/>
        </w:rPr>
        <w:t>、公寓及</w:t>
      </w:r>
      <w:bookmarkStart w:id="21" w:name="OLE_LINK9"/>
      <w:bookmarkStart w:id="22" w:name="OLE_LINK8"/>
      <w:r>
        <w:rPr>
          <w:rFonts w:hint="eastAsia" w:ascii="宋体" w:hAnsi="宋体" w:eastAsia="宋体" w:cs="宋体"/>
          <w:color w:val="auto"/>
          <w:sz w:val="24"/>
          <w:highlight w:val="none"/>
        </w:rPr>
        <w:t>产业孵化</w:t>
      </w:r>
      <w:bookmarkEnd w:id="19"/>
      <w:bookmarkEnd w:id="20"/>
      <w:bookmarkEnd w:id="21"/>
      <w:bookmarkEnd w:id="22"/>
      <w:r>
        <w:rPr>
          <w:rFonts w:ascii="宋体" w:hAnsi="宋体" w:eastAsia="宋体" w:cs="宋体"/>
          <w:color w:val="auto"/>
          <w:sz w:val="24"/>
          <w:highlight w:val="none"/>
        </w:rPr>
        <w:t>等多种业态，布局合理，便于后期运营。</w:t>
      </w:r>
    </w:p>
    <w:p w14:paraId="7713859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、本项目为限额设计，宜本着节约投资的原则，要求依据建设和技术资料合理选择、运用技术经济多方案比选等技术手段，科学分析、系统考虑，不断优化设计方案。</w:t>
      </w:r>
    </w:p>
    <w:p w14:paraId="42F8C7A6">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体现“绿色生态</w:t>
      </w:r>
      <w:r>
        <w:rPr>
          <w:rFonts w:hint="eastAsia" w:ascii="宋体" w:hAnsi="宋体" w:eastAsia="宋体" w:cs="宋体"/>
          <w:color w:val="auto"/>
          <w:sz w:val="24"/>
          <w:szCs w:val="22"/>
          <w:highlight w:val="none"/>
        </w:rPr>
        <w:t>与低碳</w:t>
      </w:r>
      <w:r>
        <w:rPr>
          <w:rFonts w:ascii="宋体" w:hAnsi="宋体" w:eastAsia="宋体" w:cs="宋体"/>
          <w:color w:val="auto"/>
          <w:sz w:val="24"/>
          <w:szCs w:val="22"/>
          <w:highlight w:val="none"/>
        </w:rPr>
        <w:t>”设计理念</w:t>
      </w:r>
    </w:p>
    <w:p w14:paraId="5D100465">
      <w:pPr>
        <w:snapToGrid w:val="0"/>
        <w:spacing w:before="0" w:after="0" w:line="360" w:lineRule="auto"/>
        <w:ind w:firstLine="566" w:firstLineChars="236"/>
        <w:rPr>
          <w:rFonts w:hint="eastAsia" w:ascii="宋体" w:hAnsi="宋体" w:eastAsia="宋体" w:cs="宋体"/>
          <w:color w:val="auto"/>
          <w:sz w:val="24"/>
          <w:highlight w:val="none"/>
        </w:rPr>
      </w:pPr>
      <w:r>
        <w:rPr>
          <w:rFonts w:ascii="宋体" w:hAnsi="宋体" w:eastAsia="宋体" w:cs="宋体"/>
          <w:color w:val="auto"/>
          <w:sz w:val="24"/>
          <w:highlight w:val="none"/>
        </w:rPr>
        <w:t>项目应按绿色建筑标准进行规划设计，积极采用低碳、绿色、环保技术措施。</w:t>
      </w:r>
    </w:p>
    <w:p w14:paraId="4A856F68">
      <w:pPr>
        <w:pStyle w:val="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落实“环五山创新策源区”相关建设要求</w:t>
      </w:r>
    </w:p>
    <w:p w14:paraId="7C0FC504">
      <w:pPr>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 “环五山创新策源区”及建设工程 “6+1”</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相关要求，如新技术、新材料、新能源等重点方向，如超低能耗建设，绿色建筑三星，装配式装修等要求，推动产业科技互促双强，支撑环五山创新策源区，加快建设具有全球影响力的科技创新策源地和全过程创新生态圈。</w:t>
      </w:r>
    </w:p>
    <w:p w14:paraId="04061B4D">
      <w:pPr>
        <w:pStyle w:val="3"/>
        <w:snapToGrid w:val="0"/>
        <w:spacing w:before="260" w:after="260" w:line="413" w:lineRule="auto"/>
        <w:ind w:left="0" w:firstLine="0"/>
        <w:jc w:val="left"/>
        <w:rPr>
          <w:color w:val="auto"/>
          <w:highlight w:val="none"/>
        </w:rPr>
      </w:pPr>
      <w:bookmarkStart w:id="23" w:name="_Toc215158535"/>
      <w:r>
        <w:rPr>
          <w:rFonts w:ascii="宋体" w:hAnsi="宋体" w:cs="宋体"/>
          <w:b/>
          <w:color w:val="auto"/>
          <w:sz w:val="28"/>
          <w:highlight w:val="none"/>
        </w:rPr>
        <w:t>勘察设计内容</w:t>
      </w:r>
      <w:bookmarkEnd w:id="23"/>
    </w:p>
    <w:p w14:paraId="7951FB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592506E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此部分内容设选项按标准化模式设置，标注“√”的选项即为本项目采用，标注“×”的选项为本项目不采用。包括但不限于以下内容：</w:t>
      </w:r>
    </w:p>
    <w:p w14:paraId="7C87EB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用地红线内（含代征用地）及红线外（管线）所涉及建设内容的全部勘察：完成地下、地上物探成果报告，收集周边地下、地上管线、建筑物、构筑物相关资料，编制项目前期摸查报告；进行初步勘察、详细勘察和初测、定测、测绘等实施工作，编制勘探、测量技术文件，编制勘探、土洞溶洞探测等相关总图；负责协调和配合相关主管部门对相关工作成果进行审批，直至获得批复。</w:t>
      </w:r>
    </w:p>
    <w:p w14:paraId="0558A3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347FC1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√（3）总平面规划方案设计：建设区域内修建性详细规划的设计：本项目用地红线范围内总平面及竖向规划设计、管线综合设计、建筑布局、交通组织、景观绿化等。</w:t>
      </w:r>
    </w:p>
    <w:p w14:paraId="242A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√（4）室外园林工程设计：包括本项目用地红线范围内的小区道路、供电、供水、排水、燃气工程等工程设计，以及各种管线综合平衡设计（含配合市政管线接口对接）等。</w:t>
      </w:r>
    </w:p>
    <w:p w14:paraId="16060E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0171D3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06CF25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√（7）电气设计</w:t>
      </w:r>
    </w:p>
    <w:p w14:paraId="53ED74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1）通信网络系统：包括计算机网络系统、电话（语音）网络系统、有线电视系统、公共广播及消防广播系统、无线上网系统；综合布线；信息导引及发布系统；</w:t>
      </w:r>
    </w:p>
    <w:p w14:paraId="578BA1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2）电子会议系统；</w:t>
      </w:r>
    </w:p>
    <w:p w14:paraId="22ACB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3）新闻发布系统；</w:t>
      </w:r>
    </w:p>
    <w:p w14:paraId="57A679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4）建筑设备监控系统；</w:t>
      </w:r>
    </w:p>
    <w:p w14:paraId="289CCD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5）安全防范系统（访客对讲、紧急求助报警装置等）；闭路电视监控系统、出入口控制系统、停车场管理系统；</w:t>
      </w:r>
    </w:p>
    <w:p w14:paraId="22894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6）智能化系统集成；</w:t>
      </w:r>
    </w:p>
    <w:p w14:paraId="07633C8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7）弱电防雷系统；</w:t>
      </w:r>
    </w:p>
    <w:p w14:paraId="0515C33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8）机房工程；</w:t>
      </w:r>
    </w:p>
    <w:p w14:paraId="2EEEC2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√（9）给排水设计（含外水接入、接出部分，需设计接至主管部门指定接口）：建筑给水、排水系统设计、用地内与市政管线接驳等设计。</w:t>
      </w:r>
    </w:p>
    <w:p w14:paraId="18BB2B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√（10）空调通风设计：包括不限于建筑物内部通风系统、防排烟系统、建筑物内部空气调节系统、集中供冷供热系统等的设计。</w:t>
      </w:r>
    </w:p>
    <w:p w14:paraId="5F851F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包括红线范围内给水排水系统；消火栓系统；自动喷水灭火系统；灭火器配置；气体灭火系统。</w:t>
      </w:r>
    </w:p>
    <w:p w14:paraId="111EAF1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√（11）消防设计：消火栓系统、自动喷淋系统、气体灭火系统、防排烟系统、火灾自动报警及联动控制系统。</w:t>
      </w:r>
    </w:p>
    <w:p w14:paraId="612F9F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√（12）电梯工程设计与相关配合。</w:t>
      </w:r>
    </w:p>
    <w:p w14:paraId="7AFE61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√（13）市政专业设计，包括本项目用地红线范围内市政路涉及的道路、桥梁、交通、给排水、照明、绿化、缆线管廊（电力及通信）等工程设计，以及各种管线综合平衡设计（含配合市政管线接口对接）等。</w:t>
      </w:r>
    </w:p>
    <w:p w14:paraId="0BE1E0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√（14）市政管线综合专业设计。</w:t>
      </w:r>
    </w:p>
    <w:p w14:paraId="736A6A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√（15）按照项目的灯光、声学等特殊工艺设计要求进行建筑、结构及其配套设备专业的设计与相关配合。</w:t>
      </w:r>
    </w:p>
    <w:p w14:paraId="548906C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√（16）管线综合平衡设计：各种专业设备、系统的管线在建筑物内、外的路由平衡设计。建筑物内、外的管线综合平衡设计以专篇形式提交。</w:t>
      </w:r>
    </w:p>
    <w:p w14:paraId="27D55F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√（17）设备选型意见：就拟采用的专用机电设备、专用电子设备（如大屏幕显示系统、广播音响系统等）的选型于施工图设计开始前向甲方提出书面意见并提供相关设备的技术参数规格书，但不设计专用设备。</w:t>
      </w:r>
    </w:p>
    <w:p w14:paraId="3FB3F0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√（18）建筑节能、绿色建筑设计，以及新技术应用的研究和设计。</w:t>
      </w:r>
    </w:p>
    <w:p w14:paraId="750F8E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√（19）编制方案设计投资估算。</w:t>
      </w:r>
    </w:p>
    <w:p w14:paraId="70E941B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√（20）编制初步设计概算。</w:t>
      </w:r>
    </w:p>
    <w:p w14:paraId="3F8B5D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×（21）编制设计变更预算。</w:t>
      </w:r>
    </w:p>
    <w:p w14:paraId="60873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×（22）编制施工图预算。</w:t>
      </w:r>
    </w:p>
    <w:p w14:paraId="3FAED8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√（23）在规划红线范围内，乙方应保证按规划及建筑功能要求、配套设施要求完成本合同工程造价中包含的全部项目的专业专项勘察、初步设计。</w:t>
      </w:r>
    </w:p>
    <w:p w14:paraId="31A6303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24）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4F93CF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√（25）提供主要设备材料表及技术要求书，配合甲方的招标工作。</w:t>
      </w:r>
    </w:p>
    <w:p w14:paraId="748EF2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地震评估、环境评估、防雷评估、风洞试验、振动台试验、点试验、消防性能化分析及有关专项试验、研究与论证不在乙方设计范畴内，但乙方应配合甲方工作。</w:t>
      </w:r>
    </w:p>
    <w:p w14:paraId="2B0C1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√（26）幕墙工程。</w:t>
      </w:r>
    </w:p>
    <w:p w14:paraId="0A3F90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√（27）环保工程设计。</w:t>
      </w:r>
    </w:p>
    <w:p w14:paraId="438DB6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√（28）防雷设计。</w:t>
      </w:r>
    </w:p>
    <w:p w14:paraId="2EA01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√（29）标识导引系统设计。</w:t>
      </w:r>
    </w:p>
    <w:p w14:paraId="4E0FD0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√（30）</w:t>
      </w:r>
      <w:bookmarkStart w:id="24" w:name="_Hlk75248990"/>
      <w:bookmarkEnd w:id="24"/>
      <w:r>
        <w:rPr>
          <w:rFonts w:ascii="宋体" w:hAnsi="宋体" w:eastAsia="宋体" w:cs="宋体"/>
          <w:color w:val="auto"/>
          <w:sz w:val="24"/>
          <w:highlight w:val="none"/>
        </w:rPr>
        <w:t>基坑专业设计。</w:t>
      </w:r>
    </w:p>
    <w:p w14:paraId="4FB8CC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√（31）临水、临电、施工围墙、施工便道、施工总平面等工程初步设计。</w:t>
      </w:r>
    </w:p>
    <w:p w14:paraId="7F88947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√（32）建设单位的驻地办公场所方案设计（临时板房、景观绿化、旗杆等）。</w:t>
      </w:r>
    </w:p>
    <w:p w14:paraId="35B3C1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×（33）本项目实施过程中所涉及的现有设施拆除、管线迁改等内容的初步设计。</w:t>
      </w:r>
    </w:p>
    <w:p w14:paraId="4C12BDC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√（34）人防工程设计。</w:t>
      </w:r>
    </w:p>
    <w:p w14:paraId="0607BF0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×（35）管线迁改设计。</w:t>
      </w:r>
    </w:p>
    <w:p w14:paraId="72377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√（36）燃气工程设计。</w:t>
      </w:r>
    </w:p>
    <w:p w14:paraId="5474F6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√（37）绿色建筑设计。</w:t>
      </w:r>
    </w:p>
    <w:p w14:paraId="261123E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√（38）海绵城市等专业设计。</w:t>
      </w:r>
    </w:p>
    <w:p w14:paraId="7A9BF9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√（39）装配式专项初步设计。</w:t>
      </w:r>
    </w:p>
    <w:p w14:paraId="4CC2DC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√（40）项目前期摸查报告编制（项目建设范围内及周边管线、地上建（构）筑物、交通、市政配套、地形地貌等前期摸查），项目各阶段设计重点、难点分析报告。</w:t>
      </w:r>
    </w:p>
    <w:p w14:paraId="6A8133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√（41）现场指导和配合服务（设计阶段根据工程建设的需要及建设方的要求确定服务时间）。</w:t>
      </w:r>
    </w:p>
    <w:p w14:paraId="7999AA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√（42）向政府主管部门进行报建手续及相关协调工作（包括建筑方案审查、初步设计评审等）。</w:t>
      </w:r>
    </w:p>
    <w:p w14:paraId="17214ED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√（43）本项目需采用BIM正向设计完成。</w:t>
      </w:r>
    </w:p>
    <w:p w14:paraId="73DA82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√（44）人员驻场服务：按招标文件及合同要求。</w:t>
      </w:r>
    </w:p>
    <w:p w14:paraId="20D1D2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√（45）招标文件及合同约定的其他设计、服务工作。</w:t>
      </w:r>
    </w:p>
    <w:p w14:paraId="2C87151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√（46）因政策变化或相应外部条件改变带来的相应设计工作。包括但不限于：文保专项设计、配合“新城建”工作等。</w:t>
      </w:r>
    </w:p>
    <w:p w14:paraId="55419B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×（47）总控协调工作（如有）。本项目实施过程中总控协调工作，负责项目各标段内外部衔接及相关工作，包括但不限于以下内容：</w:t>
      </w:r>
    </w:p>
    <w:p w14:paraId="50EDDC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1）协调组织各标段投标人研究建设项目的总体设计方案。</w:t>
      </w:r>
    </w:p>
    <w:p w14:paraId="502D932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2）配合招标人确定本项目统一的工程设计标准、深度和要求。</w:t>
      </w:r>
    </w:p>
    <w:p w14:paraId="7F72B49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3）组织协调各标段投标人完成修详规工作及编制建设项目工程设计总说明、总图、总概算书。</w:t>
      </w:r>
    </w:p>
    <w:p w14:paraId="6E8760B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4）协调工程设计进度，组织各投标人按照要求提交工程设计文件。</w:t>
      </w:r>
    </w:p>
    <w:p w14:paraId="5A9564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5）协调组织各投标人开展BIM正向设计，按照统一标准及要求提交成果。</w:t>
      </w:r>
    </w:p>
    <w:p w14:paraId="302E38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6）其他设计协调工作：在设计过程中招标人认为有需要应由投标人所做的管理、协调工作。</w:t>
      </w:r>
    </w:p>
    <w:p w14:paraId="7843E88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×（48）各投标人在本项目中须至少取得一项省级或以上勘察设计评奖并于项目前期建立创优管理架构，制定创优质量目标、管理制度，向招标人报送创优工作计划方案。</w:t>
      </w:r>
    </w:p>
    <w:p w14:paraId="603C67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×（49）涉及传统村落及古建筑保护及活化利用的项目，需完成如下内容：编制保护规划、古建筑精密测绘，结构鉴定等初设内容。</w:t>
      </w:r>
    </w:p>
    <w:p w14:paraId="085C497D">
      <w:pPr>
        <w:snapToGrid w:val="0"/>
        <w:spacing w:before="0" w:after="0" w:line="360" w:lineRule="auto"/>
        <w:ind w:firstLine="480" w:firstLineChars="200"/>
        <w:rPr>
          <w:rFonts w:hint="eastAsia" w:ascii="宋体" w:hAnsi="宋体" w:eastAsia="宋体" w:cs="宋体"/>
          <w:color w:val="auto"/>
          <w:sz w:val="24"/>
          <w:highlight w:val="none"/>
        </w:rPr>
      </w:pPr>
      <w:bookmarkStart w:id="25" w:name="OLE_LINK1"/>
      <w:r>
        <w:rPr>
          <w:rFonts w:ascii="宋体" w:hAnsi="宋体" w:eastAsia="宋体" w:cs="宋体"/>
          <w:color w:val="auto"/>
          <w:sz w:val="24"/>
          <w:highlight w:val="none"/>
        </w:rPr>
        <w:t>√</w:t>
      </w:r>
      <w:bookmarkEnd w:id="25"/>
      <w:r>
        <w:rPr>
          <w:rFonts w:ascii="宋体" w:hAnsi="宋体" w:eastAsia="宋体" w:cs="宋体"/>
          <w:color w:val="auto"/>
          <w:sz w:val="24"/>
          <w:highlight w:val="none"/>
        </w:rPr>
        <w:t>（50）与本项目初步设计阶段相关的勘察设计等工作。</w:t>
      </w:r>
    </w:p>
    <w:p w14:paraId="577BF0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勘察设计全过程的勘察、方案设计、总平面规划方案设计、初步设计各阶段各专业的具体设计内容和界面划分以及报批报审配合等服务工作按勘察设计合同执行。</w:t>
      </w:r>
    </w:p>
    <w:p w14:paraId="48CC82B3">
      <w:pPr>
        <w:snapToGrid w:val="0"/>
        <w:spacing w:before="0" w:after="0" w:line="360" w:lineRule="auto"/>
        <w:ind w:firstLine="519" w:firstLineChars="236"/>
        <w:rPr>
          <w:color w:val="auto"/>
          <w:highlight w:val="none"/>
        </w:rPr>
      </w:pPr>
    </w:p>
    <w:p w14:paraId="68BED7CE">
      <w:pPr>
        <w:snapToGrid w:val="0"/>
        <w:spacing w:before="0" w:after="0" w:line="360" w:lineRule="auto"/>
        <w:ind w:firstLine="519" w:firstLineChars="236"/>
        <w:rPr>
          <w:color w:val="auto"/>
          <w:highlight w:val="none"/>
        </w:rPr>
      </w:pPr>
    </w:p>
    <w:p w14:paraId="7C69DE50">
      <w:pPr>
        <w:pStyle w:val="2"/>
        <w:snapToGrid w:val="0"/>
        <w:spacing w:line="360" w:lineRule="auto"/>
        <w:ind w:left="0" w:firstLine="0"/>
        <w:jc w:val="center"/>
        <w:rPr>
          <w:color w:val="auto"/>
          <w:highlight w:val="none"/>
        </w:rPr>
      </w:pPr>
      <w:bookmarkStart w:id="26" w:name="_Toc75504387"/>
      <w:bookmarkEnd w:id="26"/>
      <w:bookmarkStart w:id="27" w:name="_Toc215158536"/>
      <w:r>
        <w:rPr>
          <w:rFonts w:ascii="宋体" w:hAnsi="宋体" w:cs="宋体"/>
          <w:color w:val="auto"/>
          <w:highlight w:val="none"/>
        </w:rPr>
        <w:t>勘察设计要求</w:t>
      </w:r>
      <w:bookmarkEnd w:id="27"/>
    </w:p>
    <w:p w14:paraId="04829329">
      <w:pPr>
        <w:pStyle w:val="3"/>
        <w:rPr>
          <w:rFonts w:hint="eastAsia" w:ascii="宋体" w:hAnsi="宋体" w:cs="宋体"/>
          <w:color w:val="auto"/>
          <w:sz w:val="28"/>
          <w:highlight w:val="none"/>
        </w:rPr>
      </w:pPr>
      <w:bookmarkStart w:id="28" w:name="_Toc75504388"/>
      <w:bookmarkEnd w:id="28"/>
      <w:bookmarkStart w:id="29" w:name="_Toc215158537"/>
      <w:r>
        <w:rPr>
          <w:rFonts w:ascii="宋体" w:hAnsi="宋体" w:cs="宋体"/>
          <w:color w:val="auto"/>
          <w:sz w:val="28"/>
          <w:highlight w:val="none"/>
        </w:rPr>
        <w:t>勘察设计总体要求</w:t>
      </w:r>
      <w:bookmarkEnd w:id="29"/>
    </w:p>
    <w:p w14:paraId="20543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遵循现行法律法规和规范标准，根据项目建议书和勘察设计任务书，按照甲方的设计管理要求进行勘察设计工作。项目立项及可行性研究报告批复的建设事项、内容、标准和要求，应与初步设计成果以及概算编制的事项、内容等要</w:t>
      </w:r>
      <w:r>
        <w:rPr>
          <w:rFonts w:hint="eastAsia" w:ascii="宋体" w:hAnsi="宋体" w:eastAsia="宋体" w:cs="宋体"/>
          <w:color w:val="auto"/>
          <w:sz w:val="24"/>
          <w:highlight w:val="none"/>
          <w:lang w:eastAsia="zh-CN"/>
        </w:rPr>
        <w:t>求</w:t>
      </w:r>
      <w:r>
        <w:rPr>
          <w:rFonts w:ascii="宋体" w:hAnsi="宋体" w:eastAsia="宋体" w:cs="宋体"/>
          <w:color w:val="auto"/>
          <w:sz w:val="24"/>
          <w:highlight w:val="none"/>
        </w:rPr>
        <w:t>相统一。初步设计与概算要同步完成、同步提交。</w:t>
      </w:r>
    </w:p>
    <w:p w14:paraId="598902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乙方除了落实项目建议书（如有，详见附件）和勘察设计任务书（详见附件）中的甲方需求外，还需要落实以下勘察设计及造价各专业要求。</w:t>
      </w:r>
    </w:p>
    <w:p w14:paraId="783C3055">
      <w:pPr>
        <w:pStyle w:val="3"/>
        <w:rPr>
          <w:color w:val="auto"/>
          <w:sz w:val="28"/>
          <w:szCs w:val="22"/>
          <w:highlight w:val="none"/>
        </w:rPr>
      </w:pPr>
      <w:bookmarkStart w:id="30" w:name="_Toc75504389"/>
      <w:bookmarkEnd w:id="30"/>
      <w:bookmarkStart w:id="31" w:name="_Toc215158538"/>
      <w:r>
        <w:rPr>
          <w:color w:val="auto"/>
          <w:sz w:val="28"/>
          <w:szCs w:val="22"/>
          <w:highlight w:val="none"/>
        </w:rPr>
        <w:t>勘察工作要求</w:t>
      </w:r>
      <w:bookmarkEnd w:id="31"/>
    </w:p>
    <w:p w14:paraId="381714E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各阶段的勘察工作除遵照勘察设计合同、项目建议书、现行法律法规和规范标准、政府有关部门的规定和审批意见等有关规定外，还需要做到招标人提出的下列设计要求（包括并不限于）。</w:t>
      </w:r>
    </w:p>
    <w:p w14:paraId="6888DA1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1、地质勘察阶段包括初勘、详勘阶段，各阶段地质勘察内容与要求执行《岩土工程勘察规范》（GB50021-2001）及国家现行有关标准、规范，建设单位勘察管理办法的规定。</w:t>
      </w:r>
    </w:p>
    <w:p w14:paraId="6522D8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规划用地红线内（含代征用地）及红线外（管线）所涉及建设内容的全部勘察：完成地下、地上物探成果报告，收集周边地下、地上管线、建筑物、构筑物相关资料，编制项目前期摸查报告；进行初步勘察、详细勘察、超前钻和初测、定测、测绘等实施工作，编制勘探、测量技术文件，编制勘探、土洞溶洞探测等相关总图；负责协调和配合相关主管部门对相关工作成果进行审批，直至获得批复。</w:t>
      </w:r>
      <w:r>
        <w:rPr>
          <w:rFonts w:ascii="宋体" w:hAnsi="宋体" w:eastAsia="宋体" w:cs="宋体"/>
          <w:color w:val="auto"/>
          <w:sz w:val="24"/>
          <w:highlight w:val="none"/>
        </w:rPr>
        <w:t>设计单位需对勘察成果予以分析，提出是否需要验证的建议和意见。</w:t>
      </w:r>
    </w:p>
    <w:p w14:paraId="04DF53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3、针对项目场地采用的勘察技术方案（包括勘察手段、方法、工艺及原位测试、土工试验等），提出本次勘察工作的难点及建议。</w:t>
      </w:r>
    </w:p>
    <w:p w14:paraId="0693D3A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4、满足设计工期要求，如果延误工期，严格按照合同专用条款的约定承担违约责任。</w:t>
      </w:r>
    </w:p>
    <w:p w14:paraId="702BB2A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57720D68">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设计和施工配合时，应当参与施工验槽，及时解决工程设计和施工中与勘察工作有关的问题；应当参与建设工程质量事故的分析，并对因勘察原因造成的质量事故，提出相应的技术处理方案。</w:t>
      </w:r>
    </w:p>
    <w:p w14:paraId="4D792D1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7、对地块内及红线外20m范围内管线进行物探，并绘制成果图纸。</w:t>
      </w:r>
    </w:p>
    <w:p w14:paraId="3CC4A5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ascii="宋体" w:hAnsi="宋体" w:eastAsia="宋体" w:cs="宋体"/>
          <w:color w:val="auto"/>
          <w:sz w:val="24"/>
          <w:highlight w:val="none"/>
        </w:rPr>
        <w:t xml:space="preserve">、本次勘察任务以包干的形式完成，对于勘察过程中出现的相关问题由勘察单位主导解决，包括不限于借用场地勘探，相关费用已包含在综合单价中。 </w:t>
      </w:r>
    </w:p>
    <w:p w14:paraId="5F14A627">
      <w:pPr>
        <w:pStyle w:val="3"/>
        <w:rPr>
          <w:color w:val="auto"/>
          <w:sz w:val="28"/>
          <w:szCs w:val="22"/>
          <w:highlight w:val="none"/>
        </w:rPr>
      </w:pPr>
      <w:bookmarkStart w:id="32" w:name="_Toc75504390"/>
      <w:bookmarkEnd w:id="32"/>
      <w:bookmarkStart w:id="33" w:name="_Toc215158539"/>
      <w:r>
        <w:rPr>
          <w:color w:val="auto"/>
          <w:sz w:val="28"/>
          <w:szCs w:val="22"/>
          <w:highlight w:val="none"/>
        </w:rPr>
        <w:t>设计工作要求</w:t>
      </w:r>
      <w:bookmarkEnd w:id="33"/>
    </w:p>
    <w:p w14:paraId="36370A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各阶段的设计工作除遵照勘察设计合同、项目建议书、现行法律法规和规范标准、政府有关部门的规定和审批意见等有关规定外，还需要做到招标人提出的下列设计要求（包括并不限于）。</w:t>
      </w:r>
    </w:p>
    <w:p w14:paraId="78A8EBA5">
      <w:pPr>
        <w:pStyle w:val="4"/>
        <w:snapToGrid w:val="0"/>
        <w:spacing w:before="100" w:after="100" w:line="360" w:lineRule="auto"/>
        <w:ind w:left="0" w:firstLine="0"/>
        <w:rPr>
          <w:color w:val="auto"/>
          <w:sz w:val="24"/>
          <w:szCs w:val="22"/>
          <w:highlight w:val="none"/>
        </w:rPr>
      </w:pPr>
      <w:bookmarkStart w:id="34" w:name="_Hlk75249235"/>
      <w:bookmarkEnd w:id="34"/>
      <w:r>
        <w:rPr>
          <w:rFonts w:ascii="宋体" w:hAnsi="宋体" w:eastAsia="宋体" w:cs="宋体"/>
          <w:color w:val="auto"/>
          <w:sz w:val="24"/>
          <w:szCs w:val="22"/>
          <w:highlight w:val="none"/>
        </w:rPr>
        <w:t>规划设计要求</w:t>
      </w:r>
    </w:p>
    <w:p w14:paraId="03650298">
      <w:pPr>
        <w:pStyle w:val="5"/>
        <w:snapToGrid w:val="0"/>
        <w:spacing w:line="360" w:lineRule="auto"/>
        <w:ind w:left="0" w:firstLine="0"/>
        <w:rPr>
          <w:b w:val="0"/>
          <w:bCs/>
          <w:color w:val="auto"/>
          <w:sz w:val="22"/>
          <w:szCs w:val="22"/>
          <w:highlight w:val="none"/>
        </w:rPr>
      </w:pPr>
      <w:bookmarkStart w:id="35" w:name="_Toc64660066"/>
      <w:bookmarkEnd w:id="35"/>
      <w:r>
        <w:rPr>
          <w:rFonts w:ascii="宋体" w:hAnsi="宋体" w:eastAsia="宋体" w:cs="宋体"/>
          <w:b w:val="0"/>
          <w:bCs/>
          <w:color w:val="auto"/>
          <w:szCs w:val="22"/>
          <w:highlight w:val="none"/>
        </w:rPr>
        <w:t>规划原则及用地布局</w:t>
      </w:r>
    </w:p>
    <w:p w14:paraId="5521393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 </w:t>
      </w:r>
    </w:p>
    <w:p w14:paraId="769BDA9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2、建筑规划布局应能形成良好的日照、采光、通风等条件，应充分考虑广州市的气候特征，体现岭南建筑的特点和风貌。</w:t>
      </w:r>
    </w:p>
    <w:p w14:paraId="541D281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3、规划应体现“绿色生态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 xml:space="preserve">”的设计理念。本项目按国家绿色建筑评价标准设计。 </w:t>
      </w:r>
    </w:p>
    <w:p w14:paraId="7D971F50">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4、建筑间距、道路宽度和绿地率应遵循集约节约用地的原则，应充分利用土地，容积率可按相应区域控制指标的上限取值。在总投资规模内合理控制工程造价，并考虑在投入使用后节约运作成本。</w:t>
      </w:r>
    </w:p>
    <w:p w14:paraId="29994C08">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5、建筑需符合相关的规范要求，</w:t>
      </w:r>
      <w:r>
        <w:rPr>
          <w:rFonts w:hint="eastAsia" w:ascii="宋体" w:hAnsi="宋体" w:eastAsia="宋体" w:cs="宋体"/>
          <w:color w:val="auto"/>
          <w:sz w:val="24"/>
          <w:highlight w:val="none"/>
        </w:rPr>
        <w:t>建筑的各个业态功能</w:t>
      </w:r>
      <w:r>
        <w:rPr>
          <w:rFonts w:ascii="宋体" w:hAnsi="宋体" w:eastAsia="宋体" w:cs="宋体"/>
          <w:color w:val="auto"/>
          <w:sz w:val="24"/>
          <w:highlight w:val="none"/>
        </w:rPr>
        <w:t xml:space="preserve">出入口合理设置，保证流线的独立性，方便运营及管理。 </w:t>
      </w:r>
    </w:p>
    <w:p w14:paraId="79068E1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6、项目建设必须体现“集约高效、统筹兼顾、统一布局”理念，将公建配套、停车等系统统一设计。 </w:t>
      </w:r>
    </w:p>
    <w:p w14:paraId="0B85271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7、规划应结合绿色建筑生态理念，降低热岛效应，适度利用再生能源。 </w:t>
      </w:r>
    </w:p>
    <w:p w14:paraId="0E39CCEA">
      <w:pPr>
        <w:pStyle w:val="5"/>
        <w:snapToGrid w:val="0"/>
        <w:spacing w:line="360" w:lineRule="auto"/>
        <w:ind w:left="0" w:firstLine="0"/>
        <w:rPr>
          <w:rFonts w:hint="eastAsia" w:ascii="宋体" w:hAnsi="宋体" w:eastAsia="宋体" w:cs="宋体"/>
          <w:b w:val="0"/>
          <w:bCs/>
          <w:color w:val="auto"/>
          <w:szCs w:val="22"/>
          <w:highlight w:val="none"/>
        </w:rPr>
      </w:pPr>
      <w:bookmarkStart w:id="36" w:name="_Toc64660067"/>
      <w:bookmarkEnd w:id="36"/>
      <w:r>
        <w:rPr>
          <w:rFonts w:ascii="宋体" w:hAnsi="宋体" w:eastAsia="宋体" w:cs="宋体"/>
          <w:b w:val="0"/>
          <w:bCs/>
          <w:color w:val="auto"/>
          <w:szCs w:val="22"/>
          <w:highlight w:val="none"/>
        </w:rPr>
        <w:t>总图设计原则</w:t>
      </w:r>
    </w:p>
    <w:p w14:paraId="5A76F6E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1、建筑必须按照规划设计要点的用地界线、控制高度、间距及开口天井等规划要求进行设计，并满足《广州市城乡规划技术规定》相关要求。 </w:t>
      </w:r>
    </w:p>
    <w:p w14:paraId="20EA400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2、在满足当地规划设计指标的前提下，结合动线需求，充分利用土地。</w:t>
      </w:r>
    </w:p>
    <w:p w14:paraId="55A807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3、总平面布置应综合考虑塔楼和裙楼的合理布置，</w:t>
      </w:r>
      <w:r>
        <w:rPr>
          <w:rFonts w:hint="eastAsia" w:ascii="宋体" w:hAnsi="宋体" w:eastAsia="宋体" w:cs="宋体"/>
          <w:color w:val="auto"/>
          <w:sz w:val="24"/>
          <w:highlight w:val="none"/>
        </w:rPr>
        <w:t>裙楼</w:t>
      </w:r>
      <w:r>
        <w:rPr>
          <w:rFonts w:ascii="宋体" w:hAnsi="宋体" w:eastAsia="宋体" w:cs="宋体"/>
          <w:color w:val="auto"/>
          <w:sz w:val="24"/>
          <w:highlight w:val="none"/>
        </w:rPr>
        <w:t>需有较好的形象入口。</w:t>
      </w:r>
    </w:p>
    <w:p w14:paraId="2A362A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4、应结合朝向、周围环境合理地组织自然通风和景观，同时处理好区域内外的水、电、通信等市政设施的衔接；</w:t>
      </w:r>
    </w:p>
    <w:p w14:paraId="7B0F034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5、应充分利用地形、地貌和环境，合理布置绿化景观，丰富空间，美化环境，体现地方特色，体现实用性，同时应注重景观的均好性。 </w:t>
      </w:r>
    </w:p>
    <w:p w14:paraId="09FCFCD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6、建筑间距、道路宽度和绿地率应遵循集约节约用地的原则，应充分利用土地，容积率可按相应区域控制指标的上限取值。 </w:t>
      </w:r>
    </w:p>
    <w:p w14:paraId="497C229D">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7、地下室顶板覆土的厚度在设计中应考虑植物生长的最小土层厚度。集中绿地部分覆土厚度建议不小于1.5m。地下室顶板覆土种植应增设疏水排水系统。 </w:t>
      </w:r>
    </w:p>
    <w:p w14:paraId="3A48B375">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8、合理设置公共服务设施，避免烟气、粉尘及噪声对居民的污染和干扰。 </w:t>
      </w:r>
    </w:p>
    <w:p w14:paraId="121961DA">
      <w:pPr>
        <w:pStyle w:val="5"/>
        <w:snapToGrid w:val="0"/>
        <w:spacing w:line="360" w:lineRule="auto"/>
        <w:ind w:left="0" w:firstLine="0"/>
        <w:rPr>
          <w:rFonts w:hint="eastAsia" w:ascii="宋体" w:hAnsi="宋体" w:eastAsia="宋体" w:cs="宋体"/>
          <w:b w:val="0"/>
          <w:bCs/>
          <w:color w:val="auto"/>
          <w:szCs w:val="22"/>
          <w:highlight w:val="none"/>
        </w:rPr>
      </w:pPr>
      <w:bookmarkStart w:id="37" w:name="_Toc64660068"/>
      <w:bookmarkEnd w:id="37"/>
      <w:r>
        <w:rPr>
          <w:rFonts w:ascii="宋体" w:hAnsi="宋体" w:eastAsia="宋体" w:cs="宋体"/>
          <w:b w:val="0"/>
          <w:bCs/>
          <w:color w:val="auto"/>
          <w:szCs w:val="22"/>
          <w:highlight w:val="none"/>
        </w:rPr>
        <w:t xml:space="preserve">空间组织和景观特色要求 </w:t>
      </w:r>
    </w:p>
    <w:p w14:paraId="72CBB3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1、规划布局和建筑设计应体现岭南建筑的特色，与周边环境相协调。应根据地块条件，进行合理布局及环境设计，形成丰富多变的空间。 </w:t>
      </w:r>
    </w:p>
    <w:p w14:paraId="0BB4DDE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2、建筑风格应结合所在地域的气候特性和绿色建筑要求，尽量减少无功能作用的造型装饰构件。建筑构件与建筑空间、建筑造型进行一体化设计，既作为立面设计的元素，又起到遮阳隔热、通风降温的作用。 </w:t>
      </w:r>
    </w:p>
    <w:p w14:paraId="34B1B6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3、建筑造型宜简洁大方，富有时代气息，适当借鉴岭南建筑与亚热带建筑手法。 </w:t>
      </w:r>
    </w:p>
    <w:p w14:paraId="20A476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4、独立的配套公建其建筑设计风格应与整体建筑协调，同时又要有自身的特色，以适度变化的建筑色彩和文化内涵，丰富整体效果。 </w:t>
      </w:r>
    </w:p>
    <w:p w14:paraId="606362B8">
      <w:pPr>
        <w:pStyle w:val="5"/>
        <w:snapToGrid w:val="0"/>
        <w:spacing w:line="360" w:lineRule="auto"/>
        <w:ind w:left="0" w:firstLine="0"/>
        <w:rPr>
          <w:rFonts w:hint="eastAsia" w:ascii="宋体" w:hAnsi="宋体" w:eastAsia="宋体" w:cs="宋体"/>
          <w:b w:val="0"/>
          <w:bCs/>
          <w:color w:val="auto"/>
          <w:szCs w:val="22"/>
          <w:highlight w:val="none"/>
        </w:rPr>
      </w:pPr>
      <w:bookmarkStart w:id="38" w:name="_Toc64660069"/>
      <w:bookmarkEnd w:id="38"/>
      <w:bookmarkStart w:id="39" w:name="_Toc64660070"/>
      <w:bookmarkEnd w:id="39"/>
      <w:r>
        <w:rPr>
          <w:rFonts w:ascii="宋体" w:hAnsi="宋体" w:eastAsia="宋体" w:cs="宋体"/>
          <w:b w:val="0"/>
          <w:bCs/>
          <w:color w:val="auto"/>
          <w:szCs w:val="22"/>
          <w:highlight w:val="none"/>
        </w:rPr>
        <w:t>流线设计</w:t>
      </w:r>
    </w:p>
    <w:p w14:paraId="5FCF12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1、交通组织便捷、经济、合理，道路网络层次适当，架构清晰，衔接合理。</w:t>
      </w:r>
    </w:p>
    <w:p w14:paraId="260944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2、场地内道路应基于交通流量分析进行优化设计，确保场地内部交通顺畅，提供车流及人流交通分析图。</w:t>
      </w:r>
    </w:p>
    <w:p w14:paraId="4C9CC3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3、装卸货区域、道路宽度、转弯半径均应满足规范及物流车辆的要求。</w:t>
      </w:r>
    </w:p>
    <w:p w14:paraId="3513E54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4、消防车道宽度、转弯半径满足规范要求，确保消防车道的环通。</w:t>
      </w:r>
    </w:p>
    <w:p w14:paraId="574EF0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5、地面机动车停车位可结合景观设计。</w:t>
      </w:r>
    </w:p>
    <w:p w14:paraId="0A63372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6、重点组织好各种交通流线设计：各出入流线应独立设置，尽量避免相互干扰。货流、客流及人流、车流应区分有序，符合日常使用要求。</w:t>
      </w:r>
    </w:p>
    <w:p w14:paraId="1B4737E6">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 xml:space="preserve">竖向规划原则 </w:t>
      </w:r>
    </w:p>
    <w:p w14:paraId="1638218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1、因地制宜地利用现状地形，尽量实现地块内或地块内土方平衡。对于地形复杂的场地，凡是地形变标高处，均应进行详细竖向设计。 </w:t>
      </w:r>
    </w:p>
    <w:p w14:paraId="026B5A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2、充分了解周围市政设施、综合管线规划和建设情况，对场地内综合管线（供水、雨水、污水、电力、燃气、电信）进行有机的组织和布局，并考虑合理的接驳位置。 </w:t>
      </w:r>
    </w:p>
    <w:p w14:paraId="6B757F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15B16D98">
      <w:pPr>
        <w:pStyle w:val="5"/>
        <w:snapToGrid w:val="0"/>
        <w:spacing w:line="360" w:lineRule="auto"/>
        <w:ind w:left="0" w:firstLine="0"/>
        <w:rPr>
          <w:rFonts w:hint="eastAsia" w:ascii="宋体" w:hAnsi="宋体" w:eastAsia="宋体" w:cs="宋体"/>
          <w:b w:val="0"/>
          <w:bCs/>
          <w:color w:val="auto"/>
          <w:szCs w:val="22"/>
          <w:highlight w:val="none"/>
        </w:rPr>
      </w:pPr>
      <w:bookmarkStart w:id="40" w:name="_Toc64660072"/>
      <w:bookmarkEnd w:id="40"/>
      <w:r>
        <w:rPr>
          <w:rFonts w:ascii="宋体" w:hAnsi="宋体" w:eastAsia="宋体" w:cs="宋体"/>
          <w:b w:val="0"/>
          <w:bCs/>
          <w:color w:val="auto"/>
          <w:szCs w:val="22"/>
          <w:highlight w:val="none"/>
        </w:rPr>
        <w:t>控高要求</w:t>
      </w:r>
    </w:p>
    <w:p w14:paraId="52C6302B">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根据</w:t>
      </w:r>
      <w:r>
        <w:rPr>
          <w:rFonts w:hint="eastAsia" w:ascii="宋体" w:hAnsi="宋体" w:eastAsia="宋体" w:cs="宋体"/>
          <w:color w:val="auto"/>
          <w:sz w:val="24"/>
          <w:highlight w:val="none"/>
        </w:rPr>
        <w:t>地块规划条件</w:t>
      </w:r>
      <w:r>
        <w:rPr>
          <w:rFonts w:ascii="宋体" w:hAnsi="宋体" w:eastAsia="宋体" w:cs="宋体"/>
          <w:color w:val="auto"/>
          <w:sz w:val="24"/>
          <w:highlight w:val="none"/>
        </w:rPr>
        <w:t>，本地块范围建筑限高100米。建筑物规划建筑高度不得超过限高要求，</w:t>
      </w:r>
      <w:r>
        <w:rPr>
          <w:rFonts w:hint="eastAsia" w:ascii="宋体" w:hAnsi="宋体" w:eastAsia="宋体" w:cs="宋体"/>
          <w:color w:val="auto"/>
          <w:sz w:val="24"/>
          <w:highlight w:val="none"/>
        </w:rPr>
        <w:t>并且建筑高度须满足岑村机场净空控制要求。</w:t>
      </w:r>
    </w:p>
    <w:p w14:paraId="1832B432">
      <w:pPr>
        <w:pStyle w:val="4"/>
        <w:snapToGrid w:val="0"/>
        <w:spacing w:before="100" w:after="100" w:line="360" w:lineRule="auto"/>
        <w:ind w:left="0" w:firstLine="0"/>
        <w:rPr>
          <w:color w:val="auto"/>
          <w:sz w:val="24"/>
          <w:szCs w:val="22"/>
          <w:highlight w:val="none"/>
        </w:rPr>
      </w:pPr>
      <w:bookmarkStart w:id="41" w:name="_Toc64660073"/>
      <w:bookmarkEnd w:id="41"/>
      <w:r>
        <w:rPr>
          <w:rFonts w:ascii="宋体" w:hAnsi="宋体" w:eastAsia="宋体" w:cs="宋体"/>
          <w:color w:val="auto"/>
          <w:sz w:val="24"/>
          <w:szCs w:val="22"/>
          <w:highlight w:val="none"/>
        </w:rPr>
        <w:t>建筑与室内装修设计要求</w:t>
      </w:r>
    </w:p>
    <w:p w14:paraId="6C379C15">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总体要求</w:t>
      </w:r>
    </w:p>
    <w:p w14:paraId="2C6BBB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1、设计应符合国家相关规范规程的行业标准。单体建筑功能组织合理，应提高空间实用性和利用率，控制公共分摊面积，降低建筑经济能耗。</w:t>
      </w:r>
    </w:p>
    <w:p w14:paraId="3BF6B1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2、建筑的总体设计满足规划条件同时，应满足项目的具体地块设计要求，在功能组织上做到空间紧凑，经济合理，充分的体现其建筑功能属性。</w:t>
      </w:r>
    </w:p>
    <w:p w14:paraId="01FA39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3、建筑风格设计应总体满足项目建设需要，尽量体现地域性的特征，展示独具特色的设计风貌和建筑空间。</w:t>
      </w:r>
    </w:p>
    <w:p w14:paraId="7772CF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4、充分考虑经济合理性以及绿色建筑要求，各功能房间应有直接采光通风，考虑加强各功能空间的合理性和舒适性。</w:t>
      </w:r>
    </w:p>
    <w:p w14:paraId="0A8867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5、建筑构造做法应满足广州地区常规的做法运用，提倡使用有专业论证和市场良好反馈的新材料、新技术。尤其在建筑防水、耐久性、节能、绿建等方面满足项目需求和国家现行规范和行业标准。</w:t>
      </w:r>
    </w:p>
    <w:p w14:paraId="2E0289A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6、停车配建：按照《广州市城乡规划技术规定》、《建设用地规划许可证》、规划条件及《广州市建设项目停车配建指标规定》核定，满足现行规范停车指标。</w:t>
      </w:r>
    </w:p>
    <w:p w14:paraId="32667F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满足本项目使用功能（设备）的建筑面积指标要求，不得有：发包人自行建设、和详见深化设计字样，必须委托专业分包单位设计，满足施工图审查要求；全部建筑和设备必须满足投资估算和发包人使用功能要求；</w:t>
      </w:r>
    </w:p>
    <w:p w14:paraId="2132D9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设计应全面考虑应设必设的设备机房、连廊、车道顶棚等必须满足报建建筑面积要求，不得出现‘规划验收后再实施’字样。门窗和幕墙满足使用需求：功能场所的透光私密性，各种外门的防雨雨棚设置、各种室内外标高的合理设置，防倒灌。市政和场地内道路与室内标高的合理性。护窗栏杆和防跌落的限位设计；</w:t>
      </w:r>
    </w:p>
    <w:p w14:paraId="36CEF5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9、建筑与各专业之间的协调配合性，设置每层强弱电间的合理性，防止线路损耗；</w:t>
      </w:r>
    </w:p>
    <w:p w14:paraId="3C9D5B4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10、充分考虑VRV空调和分体空调的设备基础、空调搁板等的土建条件设计（如有）；</w:t>
      </w:r>
    </w:p>
    <w:p w14:paraId="7BC3B0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11、设备（建筑大型设备）安装孔的预留设计；</w:t>
      </w:r>
    </w:p>
    <w:p w14:paraId="1D57D6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12、各种管道后的天花净高满足使用要求；</w:t>
      </w:r>
    </w:p>
    <w:p w14:paraId="4DCFB3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13、避免在高低压电房，开关房，信息机房等各类设备用房上方设置厕所等易漏水功能用房，避免各类排水管穿越设备用房。</w:t>
      </w:r>
    </w:p>
    <w:p w14:paraId="34307BC3">
      <w:pPr>
        <w:pStyle w:val="5"/>
        <w:snapToGrid w:val="0"/>
        <w:spacing w:line="360" w:lineRule="auto"/>
        <w:ind w:left="0" w:firstLine="0"/>
        <w:rPr>
          <w:rFonts w:hint="eastAsia" w:ascii="宋体" w:hAnsi="宋体" w:eastAsia="宋体" w:cs="宋体"/>
          <w:b w:val="0"/>
          <w:bCs/>
          <w:color w:val="auto"/>
          <w:szCs w:val="22"/>
          <w:highlight w:val="none"/>
        </w:rPr>
      </w:pPr>
      <w:r>
        <w:rPr>
          <w:rFonts w:hint="eastAsia" w:ascii="宋体" w:hAnsi="宋体" w:eastAsia="宋体" w:cs="宋体"/>
          <w:b w:val="0"/>
          <w:bCs/>
          <w:color w:val="auto"/>
          <w:szCs w:val="22"/>
          <w:highlight w:val="none"/>
        </w:rPr>
        <w:t>功能业态</w:t>
      </w:r>
      <w:r>
        <w:rPr>
          <w:rFonts w:ascii="宋体" w:hAnsi="宋体" w:eastAsia="宋体" w:cs="宋体"/>
          <w:b w:val="0"/>
          <w:bCs/>
          <w:color w:val="auto"/>
          <w:szCs w:val="22"/>
          <w:highlight w:val="none"/>
        </w:rPr>
        <w:t>设计</w:t>
      </w:r>
    </w:p>
    <w:p w14:paraId="4308B09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1、功能要求：可以综合考虑商业</w:t>
      </w:r>
      <w:r>
        <w:rPr>
          <w:rFonts w:hint="eastAsia" w:ascii="宋体" w:hAnsi="宋体" w:eastAsia="宋体" w:cs="宋体"/>
          <w:color w:val="auto"/>
          <w:sz w:val="24"/>
          <w:highlight w:val="none"/>
        </w:rPr>
        <w:t>、公寓及产业孵化</w:t>
      </w:r>
      <w:r>
        <w:rPr>
          <w:rFonts w:ascii="宋体" w:hAnsi="宋体" w:eastAsia="宋体" w:cs="宋体"/>
          <w:color w:val="auto"/>
          <w:sz w:val="24"/>
          <w:highlight w:val="none"/>
        </w:rPr>
        <w:t>结合布置，参考周边</w:t>
      </w:r>
      <w:r>
        <w:rPr>
          <w:rFonts w:hint="eastAsia" w:ascii="宋体" w:hAnsi="宋体" w:eastAsia="宋体" w:cs="宋体"/>
          <w:color w:val="auto"/>
          <w:sz w:val="24"/>
          <w:highlight w:val="none"/>
        </w:rPr>
        <w:t>配套</w:t>
      </w:r>
      <w:r>
        <w:rPr>
          <w:rFonts w:ascii="宋体" w:hAnsi="宋体" w:eastAsia="宋体" w:cs="宋体"/>
          <w:color w:val="auto"/>
          <w:sz w:val="24"/>
          <w:highlight w:val="none"/>
        </w:rPr>
        <w:t>业态，对本地块业态提出定位需求。</w:t>
      </w:r>
    </w:p>
    <w:p w14:paraId="3F6B9F5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2、标准层布置应功能合理、空间灵活，在力求安全、高效的前提下，考虑后期出租运营的灵活性、便利性。</w:t>
      </w:r>
    </w:p>
    <w:p w14:paraId="1ECDC5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3、空调形式结合功能定位进行综合考虑，便于后期管理维护的需要，舒适节能。</w:t>
      </w:r>
    </w:p>
    <w:p w14:paraId="571B85C4">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建筑风格</w:t>
      </w:r>
    </w:p>
    <w:p w14:paraId="55E79F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1、建筑造型宜简洁大方，富有现代气息，适当借鉴岭南建筑与亚热带建筑手法。</w:t>
      </w:r>
    </w:p>
    <w:p w14:paraId="31E3746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7DF62F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3、针对广州地区多雨的气候特征，建筑构件应考虑遮风挡雨及雨水疏导利用，并在易受风雨侵蚀的部位，选用合适的防水材料和构造，结合排水系统共同工作。</w:t>
      </w:r>
    </w:p>
    <w:p w14:paraId="6876C0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4、针对广州地区炎热潮湿的气候，结合建筑空间通风系统的组织，选用合适的建筑外墙材料，同时注重色彩搭配和细节设计，鼓励在立面细部构造中创新设计，增强建筑的整体效果。</w:t>
      </w:r>
    </w:p>
    <w:p w14:paraId="2EB8B8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建筑</w:t>
      </w:r>
      <w:r>
        <w:rPr>
          <w:rFonts w:ascii="宋体" w:hAnsi="宋体" w:eastAsia="宋体" w:cs="宋体"/>
          <w:color w:val="auto"/>
          <w:sz w:val="24"/>
          <w:highlight w:val="none"/>
        </w:rPr>
        <w:t>与周边城市风格适度协调，以适度变化的建筑色彩和文化内涵，丰富住区的整体效果。</w:t>
      </w:r>
    </w:p>
    <w:p w14:paraId="7F9C1A3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室内装修要求</w:t>
      </w:r>
    </w:p>
    <w:p w14:paraId="22A79FCE">
      <w:pPr>
        <w:snapToGrid w:val="0"/>
        <w:spacing w:before="0" w:after="0" w:line="360" w:lineRule="auto"/>
        <w:rPr>
          <w:rFonts w:hint="eastAsia" w:ascii="宋体" w:hAnsi="宋体" w:eastAsia="宋体" w:cs="宋体"/>
          <w:color w:val="auto"/>
          <w:sz w:val="24"/>
          <w:highlight w:val="none"/>
        </w:rPr>
      </w:pPr>
      <w:bookmarkStart w:id="42" w:name="_Toc64660076"/>
      <w:bookmarkEnd w:id="42"/>
      <w:r>
        <w:rPr>
          <w:rFonts w:ascii="宋体" w:hAnsi="宋体" w:eastAsia="宋体" w:cs="宋体"/>
          <w:color w:val="auto"/>
          <w:sz w:val="24"/>
          <w:highlight w:val="none"/>
        </w:rPr>
        <w:t xml:space="preserve">    本项目装修范围及部位包含但不限于大堂、电梯前室、走道、卫生间、展示中心（如有）、餐厅（如有）等公共区域。具体工作内容包括但不限于以下工作内容：</w:t>
      </w:r>
    </w:p>
    <w:p w14:paraId="13AA6F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1、室内设计说明，表达设计构想及设计意向：</w:t>
      </w:r>
    </w:p>
    <w:p w14:paraId="0C7A42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2、铺地平面图、天花平面图、重点位置立面图、剖面图以及室内空间效果图等</w:t>
      </w:r>
    </w:p>
    <w:p w14:paraId="4968B6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3、提供材料样板以及工程预算概算表；</w:t>
      </w:r>
    </w:p>
    <w:p w14:paraId="513BCC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4、灯具选型、五金洁具、水电平排表；</w:t>
      </w:r>
    </w:p>
    <w:p w14:paraId="7E1A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5、二次装饰消防机电设计、包括喷淋、烟感、消防栓等与一次消防位置不一致的及时调整及出图；</w:t>
      </w:r>
    </w:p>
    <w:p w14:paraId="4F4A1D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6、施工期间需对现场进行效果把控，施工前期每周两次到现场进行设计协调会议，施工后期即完工前一个月每周一次到现场进行设计协调会议，材料定板，对设计错漏碰缺补充变更图纸以及图纸更新管理；</w:t>
      </w:r>
    </w:p>
    <w:p w14:paraId="6962127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7、进行软装采购及摆置时，设计方需派相关专业人员随同采购、协助摆置工作（如有）；</w:t>
      </w:r>
    </w:p>
    <w:p w14:paraId="726C945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8、施工完成后，协助提供以下资料：</w:t>
      </w:r>
    </w:p>
    <w:p w14:paraId="4A8481C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a.最终版全套施工图（含材料清单、样板照片、洁具、五金、工程灯清单）电子版； </w:t>
      </w:r>
    </w:p>
    <w:p w14:paraId="5873D9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b.全套报消防图纸及后期配合消防报建的手续；</w:t>
      </w:r>
    </w:p>
    <w:p w14:paraId="6F6464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9、应进行配套二次机电设计，包括但不限于电气、暖通、智能化、给排水等专业设计。</w:t>
      </w:r>
    </w:p>
    <w:p w14:paraId="7975E993">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基坑支护设计</w:t>
      </w:r>
    </w:p>
    <w:p w14:paraId="3B8EB24D">
      <w:pPr>
        <w:pStyle w:val="5"/>
        <w:snapToGrid w:val="0"/>
        <w:spacing w:line="360" w:lineRule="auto"/>
        <w:ind w:left="0" w:firstLine="0"/>
        <w:rPr>
          <w:rFonts w:hint="eastAsia" w:ascii="宋体" w:hAnsi="宋体" w:eastAsia="宋体" w:cs="宋体"/>
          <w:b w:val="0"/>
          <w:bCs/>
          <w:color w:val="auto"/>
          <w:szCs w:val="22"/>
          <w:highlight w:val="none"/>
        </w:rPr>
      </w:pPr>
      <w:r>
        <w:rPr>
          <w:rFonts w:ascii="宋体" w:hAnsi="宋体" w:eastAsia="宋体" w:cs="宋体"/>
          <w:b w:val="0"/>
          <w:bCs/>
          <w:color w:val="auto"/>
          <w:szCs w:val="22"/>
          <w:highlight w:val="none"/>
        </w:rPr>
        <w:t>一般规定</w:t>
      </w:r>
    </w:p>
    <w:p w14:paraId="6C5AFE3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1、在基坑设计前应到现场进行基坑周边的环境调查踏勘工作，以获取相关的资料作为设计的依据。环境调查的主要内容：基坑开挖影响范围内的建（构）筑物、道路、地下管线、施工场地布置、载重车辆</w:t>
      </w:r>
      <w:r>
        <w:rPr>
          <w:rFonts w:hint="eastAsia" w:ascii="宋体" w:hAnsi="宋体" w:eastAsia="宋体" w:cs="宋体"/>
          <w:color w:val="auto"/>
          <w:sz w:val="24"/>
          <w:highlight w:val="none"/>
          <w:lang w:eastAsia="zh-CN"/>
        </w:rPr>
        <w:t>行驶</w:t>
      </w:r>
      <w:r>
        <w:rPr>
          <w:rFonts w:ascii="宋体" w:hAnsi="宋体" w:eastAsia="宋体" w:cs="宋体"/>
          <w:color w:val="auto"/>
          <w:sz w:val="24"/>
          <w:highlight w:val="none"/>
        </w:rPr>
        <w:t xml:space="preserve">路线等。 </w:t>
      </w:r>
    </w:p>
    <w:p w14:paraId="79D7D12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2、在基坑设计前应获得本工程的岩土工程勘察报告、地形图、管线图、红线图、建筑物规划总平面图、稳定的基础和地下室结构设计图等地下室相关图纸作为设计依据。 </w:t>
      </w:r>
    </w:p>
    <w:p w14:paraId="677EEC14">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3、支护结构作为永久结构的一部分时应满足耐久性要求。 </w:t>
      </w:r>
    </w:p>
    <w:p w14:paraId="0B33964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4、支护结构平面布置应满足地下室边墙外界尺寸要求，且支护结构受力变形、施工误差等，均在规范允许的范围内，不影响地下室的正常施工。 </w:t>
      </w:r>
    </w:p>
    <w:p w14:paraId="5519FC69">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5、深度应满足地下室净空要求，应计入基坑开挖计算深度的地下室底板和基础承台下垫层或者软土换填厚度；注意电梯井、消防水池、集水井等坑中坑影响情况。 </w:t>
      </w:r>
    </w:p>
    <w:p w14:paraId="60F52C52">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6、对基坑开挖边线</w:t>
      </w:r>
      <w:r>
        <w:rPr>
          <w:rFonts w:hint="eastAsia" w:ascii="宋体" w:hAnsi="宋体" w:eastAsia="宋体" w:cs="宋体"/>
          <w:color w:val="auto"/>
          <w:sz w:val="24"/>
          <w:highlight w:val="none"/>
        </w:rPr>
        <w:t>若</w:t>
      </w:r>
      <w:r>
        <w:rPr>
          <w:rFonts w:ascii="宋体" w:hAnsi="宋体" w:eastAsia="宋体" w:cs="宋体"/>
          <w:color w:val="auto"/>
          <w:sz w:val="24"/>
          <w:highlight w:val="none"/>
        </w:rPr>
        <w:t xml:space="preserve">处于地铁 50m控制保护范围内的需报送广州市地铁设施保护办公室进行审查，不在控制保护范围内的需到广州市地铁设施保护办公室出具该项目不在地铁控制保护区的核查意见。 </w:t>
      </w:r>
    </w:p>
    <w:p w14:paraId="38B2405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7、凡开挖深度大于等于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295C5CA5">
      <w:pPr>
        <w:pStyle w:val="5"/>
        <w:snapToGrid w:val="0"/>
        <w:spacing w:line="360" w:lineRule="auto"/>
        <w:ind w:left="0" w:firstLine="0"/>
        <w:rPr>
          <w:color w:val="auto"/>
          <w:highlight w:val="none"/>
        </w:rPr>
      </w:pPr>
      <w:r>
        <w:rPr>
          <w:rFonts w:ascii="宋体" w:hAnsi="宋体" w:eastAsia="宋体" w:cs="宋体"/>
          <w:color w:val="auto"/>
          <w:highlight w:val="none"/>
        </w:rPr>
        <w:t>基坑支护设计</w:t>
      </w:r>
    </w:p>
    <w:p w14:paraId="575B0181">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1、据场地工程地质条件、基坑周边环境，从安全、经济、可行的原则出发，优化设计，选择出合理支护结构方案。</w:t>
      </w:r>
    </w:p>
    <w:p w14:paraId="59558A5A">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41A98C64">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结构设计要求</w:t>
      </w:r>
    </w:p>
    <w:p w14:paraId="207BAF2C">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总体要求</w:t>
      </w:r>
    </w:p>
    <w:p w14:paraId="43FBF27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1、结构设计应安全可靠，经济合理；可采用经过实践检验的新工艺、新材料，以节约资金；应满足国家及地方的相应规范、规程及要求，采用可靠的结构体系，先进的工艺和技术。</w:t>
      </w:r>
    </w:p>
    <w:p w14:paraId="3391A40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2、抗震设计及结构安全等级应遵循现行的国家规范、规程与广州市地方标准。</w:t>
      </w:r>
    </w:p>
    <w:p w14:paraId="754DC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3、永久建筑的结构设计工作年限为50年。</w:t>
      </w:r>
    </w:p>
    <w:p w14:paraId="43BE6A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4、永久建筑应以钢筋混凝土结构为主，超高层建筑也可按需采用钢-混凝土混合结构，临时建筑应以钢结构为主，考虑重复利用的可能性。</w:t>
      </w:r>
    </w:p>
    <w:p w14:paraId="7AF706A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5、地下室长、宽超出规范伸缩缝最大间距要求时，宜首选采用后浇带或加强带等抗裂措施，同时设计院应提交抗裂措施多方案比选报告。</w:t>
      </w:r>
    </w:p>
    <w:p w14:paraId="71C6382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6、多塔楼建筑群在±0.00m以上，各塔楼之间宜设置防震缝，做到结构各自独立。</w:t>
      </w:r>
    </w:p>
    <w:p w14:paraId="5C64750C">
      <w:pPr>
        <w:pStyle w:val="5"/>
        <w:snapToGrid w:val="0"/>
        <w:spacing w:line="360" w:lineRule="auto"/>
        <w:ind w:left="0" w:firstLine="0"/>
        <w:rPr>
          <w:rFonts w:hint="eastAsia" w:ascii="仿宋" w:hAnsi="仿宋" w:eastAsia="仿宋"/>
          <w:color w:val="auto"/>
          <w:highlight w:val="none"/>
        </w:rPr>
      </w:pPr>
      <w:r>
        <w:rPr>
          <w:rFonts w:hint="eastAsia" w:ascii="仿宋" w:hAnsi="仿宋" w:eastAsia="仿宋" w:cs="宋体"/>
          <w:color w:val="auto"/>
          <w:highlight w:val="none"/>
        </w:rPr>
        <w:t>初步设计阶段设计包含但不限于以下内容：</w:t>
      </w:r>
    </w:p>
    <w:p w14:paraId="14EB4193">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方案选型：应根据建筑的使用功能、材料供应、施工条件及进度、自然环境和抗震设防等因素，对地基处理、基础（含抗浮）、地下室结构、上部结构进行多方案的技术及经济比选，完成并通过甲方</w:t>
      </w:r>
      <w:r>
        <w:rPr>
          <w:rFonts w:hint="eastAsia" w:ascii="宋体" w:hAnsi="宋体" w:eastAsia="宋体" w:cs="宋体"/>
          <w:color w:val="auto"/>
          <w:sz w:val="24"/>
          <w:highlight w:val="none"/>
          <w:lang w:eastAsia="zh-CN"/>
        </w:rPr>
        <w:t>组</w:t>
      </w:r>
      <w:r>
        <w:rPr>
          <w:rFonts w:hint="eastAsia" w:ascii="宋体" w:hAnsi="宋体" w:eastAsia="宋体" w:cs="宋体"/>
          <w:color w:val="auto"/>
          <w:sz w:val="24"/>
          <w:highlight w:val="none"/>
        </w:rPr>
        <w:t>织的各阶段方案论证。</w:t>
      </w:r>
    </w:p>
    <w:p w14:paraId="203F73A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提交勘察任务书，并提供对勘察成果的技术评审建议或意见。</w:t>
      </w:r>
    </w:p>
    <w:p w14:paraId="3D45946E">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结构方案应与甲方沟通，得到甲方认可后方可继续设计。</w:t>
      </w:r>
    </w:p>
    <w:p w14:paraId="315C1EF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完成合同范围内全部建筑（含建筑、构筑物、连廊等）的主体结构与地基基础计算分析，对于体型复杂的结构，结构计算应根据需要采用不同力学模型软件进行相互校核比对，并提供相应计算模型和计算书。绘制初步设计图纸（包含各层结构平面布置图，主要结构剖面图，典型的节点详图）。对于钢结构，应给出详细平面布置图、立面图、重要的节点详图。完成主体结构振动舒适度分析及设计。对复杂结构施工提供建议及相关分析。</w:t>
      </w:r>
    </w:p>
    <w:p w14:paraId="361CF639">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尽量避免结构超限，如无法避免，及时与甲方沟通后，一次性完成并通过结构超限审查（包含所需的各种补充计算分析工作）。</w:t>
      </w:r>
    </w:p>
    <w:p w14:paraId="101EB24A">
      <w:pPr>
        <w:numPr>
          <w:ilvl w:val="0"/>
          <w:numId w:val="2"/>
        </w:numPr>
        <w:spacing w:line="276" w:lineRule="auto"/>
        <w:ind w:left="0" w:leftChars="0" w:firstLine="40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构设计负责人需提供《结构专业设计统一技术措施》以供业主确认。项目组各结构设计人员应始终保持技术措施、设计概念的一致性：在结构布置、构件选型、材料选用以及构造做法等结构技术措施上应协调一致，避免差异。统一技术措施包含且不限于以下内容：1）模型分析与设计的参数定义；2）设计荷载取值；3）结构计算的总体控制要求；4）后浇带的设置；5) 地基方案及基础选型；6) 地下室及上部结构的结构布置方案；7）各部位材料选用；8）各部位主要结构尺寸；</w:t>
      </w:r>
    </w:p>
    <w:p w14:paraId="04AA8299">
      <w:pPr>
        <w:numPr>
          <w:ilvl w:val="0"/>
          <w:numId w:val="2"/>
        </w:numPr>
        <w:spacing w:line="276" w:lineRule="auto"/>
        <w:ind w:left="0" w:leftChars="0" w:firstLine="400" w:firstLineChars="0"/>
        <w:rPr>
          <w:rFonts w:hint="eastAsia" w:ascii="仿宋" w:hAnsi="仿宋" w:eastAsia="仿宋" w:cs="宋体"/>
          <w:color w:val="auto"/>
          <w:highlight w:val="none"/>
        </w:rPr>
      </w:pPr>
      <w:r>
        <w:rPr>
          <w:rFonts w:hint="eastAsia" w:ascii="宋体" w:hAnsi="宋体" w:eastAsia="宋体" w:cs="宋体"/>
          <w:color w:val="auto"/>
          <w:sz w:val="24"/>
          <w:highlight w:val="none"/>
        </w:rPr>
        <w:t>满足国家、广东省、广州市及甲方等对装配率的要求。</w:t>
      </w:r>
    </w:p>
    <w:p w14:paraId="1C60E686">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结构其他要求</w:t>
      </w:r>
    </w:p>
    <w:p w14:paraId="4C786C5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1、混凝土：主体结构混凝土强度等级不得低于C25。</w:t>
      </w:r>
    </w:p>
    <w:p w14:paraId="42E0E7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2、钢筋：受力钢筋应采用HRB400，fy=360N/mm2及HRB500，fy=435N/mm2。非受力的构造钢筋，可采用HRB300（Ⅰ级钢），fy=270N/mm2。公共建筑不得采用冷轧带肋钢筋和焊接钢筋网。</w:t>
      </w:r>
    </w:p>
    <w:p w14:paraId="492E29E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3、非承重墙体宜采用蒸压加气混凝土砌块，自重≤10KN/m³。外墙砌块强度不得小于A5.0，内墙砌块强度不得小于A3.5。砌体干燥收缩率应≤0.4mm/m。</w:t>
      </w:r>
    </w:p>
    <w:p w14:paraId="0B0AE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4、柱子截面应由轴压比控制，截面形式按建筑要求。每次收缩截面时，每个方向一般一次收缩不宜超过100mm。</w:t>
      </w:r>
    </w:p>
    <w:p w14:paraId="3C35C29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5、桩基础设计，应同时提交基础选型的经济技术多方案比选专题报告。</w:t>
      </w:r>
    </w:p>
    <w:p w14:paraId="757674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选用静压预应力管桩基础形式时，应根据地质情况，采用复压等措施确保桩的承载力。预应力管桩桩端嵌入遇水易软化的强风化岩、全风化岩和非饱和土时，桩端应采用C20微膨胀细石混凝土进行填芯，填芯高度1.5m~2m。</w:t>
      </w:r>
    </w:p>
    <w:p w14:paraId="5C5A1FDF">
      <w:pPr>
        <w:pStyle w:val="4"/>
        <w:snapToGrid w:val="0"/>
        <w:spacing w:before="100" w:after="100" w:line="360" w:lineRule="auto"/>
        <w:ind w:left="0" w:firstLine="0"/>
        <w:rPr>
          <w:color w:val="auto"/>
          <w:highlight w:val="none"/>
        </w:rPr>
      </w:pPr>
      <w:r>
        <w:rPr>
          <w:rFonts w:ascii="宋体" w:hAnsi="宋体" w:eastAsia="宋体" w:cs="宋体"/>
          <w:color w:val="auto"/>
          <w:highlight w:val="none"/>
        </w:rPr>
        <w:t>室外工程设计要求</w:t>
      </w:r>
    </w:p>
    <w:p w14:paraId="08858801">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室外广场</w:t>
      </w:r>
    </w:p>
    <w:p w14:paraId="05BF47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162AFCD2">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室外管网</w:t>
      </w:r>
    </w:p>
    <w:p w14:paraId="0A31D34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红线内室外管网新建工程及管线迁移工程，包括水、电、燃气等的接入与迁移工程。</w:t>
      </w:r>
    </w:p>
    <w:p w14:paraId="34829C6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道路照明按《广州市城市道路照明设施移交管理办法》和《广州市照明建设管理中心关于拟移交中心管养道路的照明项目有关要求的函(穗照明函[2015]44号)》的要求进行设计。</w:t>
      </w:r>
    </w:p>
    <w:p w14:paraId="11B757A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井盖设施的设计应当执行国家、省、市技术标准和规范，并满足《广州市井盖设施管理试行办法》、《广州城市道路井盖建设实施指引》的要求。井盖和井壁应当标明井盖设施权属单位名称和报修电话。</w:t>
      </w:r>
    </w:p>
    <w:p w14:paraId="41A9ECD8">
      <w:pPr>
        <w:pStyle w:val="5"/>
        <w:snapToGrid w:val="0"/>
        <w:spacing w:line="360" w:lineRule="auto"/>
        <w:ind w:left="0" w:firstLine="0"/>
        <w:rPr>
          <w:rFonts w:hint="eastAsia" w:ascii="宋体" w:hAnsi="宋体" w:eastAsia="宋体" w:cs="宋体"/>
          <w:b w:val="0"/>
          <w:bCs/>
          <w:color w:val="auto"/>
          <w:highlight w:val="none"/>
        </w:rPr>
      </w:pPr>
      <w:r>
        <w:rPr>
          <w:rFonts w:ascii="宋体" w:hAnsi="宋体" w:eastAsia="宋体" w:cs="宋体"/>
          <w:b w:val="0"/>
          <w:bCs/>
          <w:color w:val="auto"/>
          <w:highlight w:val="none"/>
        </w:rPr>
        <w:t>室外照明</w:t>
      </w:r>
    </w:p>
    <w:p w14:paraId="2EEFF223">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室外广场设高杆照明，道路照明采用马路弯灯，绿地设草坪灯及绿化景观灯，建筑物立面设泛光照明。泛光照明需进行方案比较，报招标人确认。</w:t>
      </w:r>
    </w:p>
    <w:p w14:paraId="4628F0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给排水设计要求</w:t>
      </w:r>
    </w:p>
    <w:p w14:paraId="2B90B31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明确给水量、消防水量和污水、废水量、供水方式，应充分利用市政水压,水质应符合中国卫生标准；考虑餐饮、员工食堂、商业用水等污水排放，考虑油污水处理，隔油池、化粪池等须充分满足运营后的使用要求，并保证满足环保相关要求;明确消防水系统的范围和分区，考虑特殊场所的针对性消防设施。</w:t>
      </w:r>
    </w:p>
    <w:p w14:paraId="6932A3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2、竖向排水的考虑：平面规划设计应提供场地与建筑的竖向标高，地面标高不得低于城建标高，需综合考虑竖向排水，满足海绵城市要求，在符合绿建设计的前提下尽量节约成本。</w:t>
      </w:r>
    </w:p>
    <w:p w14:paraId="56AE267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3、应结合地形处理好场地与外部道路的高差，以及地块内部场地排水问题。必须处理好场地与建筑内部的高差，建筑周围不应有积水，排水通畅。</w:t>
      </w:r>
    </w:p>
    <w:p w14:paraId="720791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4、水专业总图设计应考虑场地内雨水管网系统，海绵城市设计要求，场地内必须的设备管道及化粪池等应尽量隐蔽，且应注意安全问题。</w:t>
      </w:r>
    </w:p>
    <w:p w14:paraId="27734F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5、供水系统：考虑冷热水供应系统，如绿建需求考虑中水处理系统则一并考虑设计。</w:t>
      </w:r>
    </w:p>
    <w:p w14:paraId="0DBD021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6、应考虑所有地下室斜坡车道的排水系统及地下室车道口的防淹措施。</w:t>
      </w:r>
    </w:p>
    <w:p w14:paraId="270709F9">
      <w:pPr>
        <w:pStyle w:val="4"/>
        <w:snapToGrid w:val="0"/>
        <w:spacing w:before="100" w:after="100" w:line="360" w:lineRule="auto"/>
        <w:ind w:left="0" w:firstLine="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电气设计要求</w:t>
      </w:r>
    </w:p>
    <w:p w14:paraId="54165D76">
      <w:pPr>
        <w:pStyle w:val="5"/>
        <w:snapToGrid w:val="0"/>
        <w:spacing w:line="360" w:lineRule="auto"/>
        <w:ind w:left="0" w:firstLine="0"/>
        <w:rPr>
          <w:color w:val="auto"/>
          <w:highlight w:val="none"/>
        </w:rPr>
      </w:pPr>
      <w:r>
        <w:rPr>
          <w:rFonts w:ascii="宋体" w:hAnsi="宋体" w:eastAsia="宋体" w:cs="宋体"/>
          <w:color w:val="auto"/>
          <w:highlight w:val="none"/>
        </w:rPr>
        <w:t>变压器选择</w:t>
      </w:r>
    </w:p>
    <w:p w14:paraId="790C670F">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1、变压器容量选择原则：</w:t>
      </w:r>
    </w:p>
    <w:p w14:paraId="6BDA99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（1）专用变压器容量选择：配电变压器的长期工作负荷宜在</w:t>
      </w:r>
      <w:r>
        <w:rPr>
          <w:rFonts w:hint="eastAsia" w:ascii="宋体" w:hAnsi="宋体" w:eastAsia="宋体" w:cs="宋体"/>
          <w:color w:val="auto"/>
          <w:sz w:val="24"/>
          <w:highlight w:val="none"/>
        </w:rPr>
        <w:t>75%～85%</w:t>
      </w:r>
      <w:r>
        <w:rPr>
          <w:rFonts w:ascii="宋体" w:hAnsi="宋体" w:eastAsia="宋体" w:cs="宋体"/>
          <w:color w:val="auto"/>
          <w:sz w:val="24"/>
          <w:highlight w:val="none"/>
        </w:rPr>
        <w:t>之间，单台变压器容量不宜大于2000KVA，当仅有一台时，不宜大于1250KVA。</w:t>
      </w:r>
    </w:p>
    <w:p w14:paraId="3C4237E7">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2、应选用SCB14型干式配电变压器。</w:t>
      </w:r>
    </w:p>
    <w:p w14:paraId="536765D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电能计量</w:t>
      </w:r>
    </w:p>
    <w:p w14:paraId="40BBE465">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1、商业用电采用低压计量，实行一户一表，并安装集中抄表装置。</w:t>
      </w:r>
    </w:p>
    <w:p w14:paraId="0335BC01">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2、电梯、生活水泵、公共照明（地下室照明除外）应各自独立设置电能计量装置。</w:t>
      </w:r>
    </w:p>
    <w:p w14:paraId="3F7A2684">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变配电所址选择</w:t>
      </w:r>
    </w:p>
    <w:p w14:paraId="4C24599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1、设计方应与当地供电部门协调永久电房设置要求。</w:t>
      </w:r>
    </w:p>
    <w:p w14:paraId="298ECD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2、市政10kV开关房、专用高压配电房、专用变压器房、专用低压配电房的尺寸根据变配电系统负荷计算确定。</w:t>
      </w:r>
    </w:p>
    <w:p w14:paraId="66763AE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发、配电系统</w:t>
      </w:r>
    </w:p>
    <w:p w14:paraId="60BF42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1、本工程从市政两个不同变压站分别引来一路10kV高压电源供电，10kV配电系统采用单母线分段运行方式，平时两路电源同时供电，各带50%负荷，当一路电源故障，联络开关自投，由另一路电源供全部负荷。</w:t>
      </w:r>
    </w:p>
    <w:p w14:paraId="247969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2、配置柴油发电机作为备用电源。</w:t>
      </w:r>
    </w:p>
    <w:p w14:paraId="60CF71E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3、房间内空调、普通插座和照明应分回路配电。</w:t>
      </w:r>
    </w:p>
    <w:p w14:paraId="1151F1A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4、柜式空调电源插座回路应装设剩余电流动作保护器。</w:t>
      </w:r>
    </w:p>
    <w:p w14:paraId="0FAF7C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5、普通插座（包括卫生间排气扇插座）应有剩余电流动作保护。</w:t>
      </w:r>
    </w:p>
    <w:p w14:paraId="5A3E06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6、应预留房间配线箱（弱电箱）电源插座。</w:t>
      </w:r>
    </w:p>
    <w:p w14:paraId="18859A0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线路敷设要求</w:t>
      </w:r>
    </w:p>
    <w:p w14:paraId="587222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1、建筑物内应设强、弱电竖井，竖向电气干线应在管井内敷设。</w:t>
      </w:r>
    </w:p>
    <w:p w14:paraId="2D9813A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2、标准层电气线路原则上采用穿管暗敷方式，特殊情况可根据现场实际改用其它敷设方式。</w:t>
      </w:r>
    </w:p>
    <w:p w14:paraId="3E373F9E">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房间内电气设置要求及安装</w:t>
      </w:r>
    </w:p>
    <w:p w14:paraId="6890689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1、房间内灯具、插座等电气设备布置应遵循合理设置、方便使用、经济适用的原则。</w:t>
      </w:r>
    </w:p>
    <w:p w14:paraId="07093A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2、房间内应设配电箱。配电箱安装位置在进户门后墙面上，如该位置为混凝土柱或剪力墙，可移至附近墙面上。</w:t>
      </w:r>
    </w:p>
    <w:p w14:paraId="081CE62D">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电气照明</w:t>
      </w:r>
    </w:p>
    <w:p w14:paraId="57B7125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1、标准层走道及楼梯间照明应采用高效节能的照明灯具和光源，楼梯间照明灯具采用节能自熄开关控制。</w:t>
      </w:r>
    </w:p>
    <w:p w14:paraId="2547136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2、当应急照明采用集中控制集中电源型，在应急情况下，设有应急照明应自动点亮；无火灾自动报警系统的应急照明可集中点亮。</w:t>
      </w:r>
    </w:p>
    <w:p w14:paraId="32BF5B8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3、高层建筑应按照当地空管局规定设置航空障碍标志灯。</w:t>
      </w:r>
    </w:p>
    <w:p w14:paraId="722774C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4、楼层设备间和强、弱电竖井应设照明和检修插座。</w:t>
      </w:r>
    </w:p>
    <w:p w14:paraId="6EB8DB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建筑物防雷接地及安全系统</w:t>
      </w:r>
    </w:p>
    <w:p w14:paraId="44BA4D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1、本工程按第二类防雷措施；电子信息系统雷电防护等级为B级设防。</w:t>
      </w:r>
    </w:p>
    <w:p w14:paraId="3A3799D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2、接闪器、防雷引下线、接地装置、接地端子、防雷测试装置等需按规范设置。</w:t>
      </w:r>
    </w:p>
    <w:p w14:paraId="0214D2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3、本工程防雷装置、电气和电子系统、保护性接地和功能性接地等共用接地装置，要求接地电阻不大于1Ω，当实测不满足要求时，应增设人工接地极。</w:t>
      </w:r>
    </w:p>
    <w:p w14:paraId="73D7727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 xml:space="preserve"> 4、在变压器高压侧装设避雷器，在低压侧装设Ⅰ级试验的电涌保护器。在低压配电从室外引入的建筑物，在低压电源线路引入的总配电箱（柜）处装设Ⅰ级试验的电涌保护器。</w:t>
      </w:r>
    </w:p>
    <w:p w14:paraId="2B4FCF1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火灾自动报警系统</w:t>
      </w:r>
    </w:p>
    <w:p w14:paraId="2FC7D628">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1、应作火灾自动报警系统的总体设计，并合理设置火灾自动报警中心及分中心位置。</w:t>
      </w:r>
    </w:p>
    <w:p w14:paraId="206F9699">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2、按《火灾自动报警设计规范》要求设置火灾探测器，消火栓按钮、消防广播及声光报警器等设施；并对消防水泵、消防风机、防火卷帘等消防设备进行相关联动控制设计。</w:t>
      </w:r>
    </w:p>
    <w:p w14:paraId="73F12BCB">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通风空调设计要求</w:t>
      </w:r>
    </w:p>
    <w:p w14:paraId="0629FE2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、平层公寓空调系统</w:t>
      </w:r>
    </w:p>
    <w:p w14:paraId="140754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7830D15C">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w:t>
      </w:r>
      <w:r>
        <w:rPr>
          <w:rFonts w:hint="eastAsia" w:ascii="宋体" w:hAnsi="宋体" w:eastAsia="宋体" w:cs="宋体"/>
          <w:color w:val="auto"/>
          <w:sz w:val="24"/>
          <w:highlight w:val="none"/>
        </w:rPr>
        <w:t>产业孵化</w:t>
      </w:r>
      <w:r>
        <w:rPr>
          <w:rFonts w:ascii="宋体" w:hAnsi="宋体" w:eastAsia="宋体" w:cs="宋体"/>
          <w:color w:val="auto"/>
          <w:sz w:val="24"/>
          <w:highlight w:val="none"/>
        </w:rPr>
        <w:t>空调系统</w:t>
      </w:r>
    </w:p>
    <w:p w14:paraId="03DCB7A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原则上应按照集中空调设置，具体形式需对比分析确定。</w:t>
      </w:r>
    </w:p>
    <w:p w14:paraId="457F281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、商业空调系统</w:t>
      </w:r>
    </w:p>
    <w:p w14:paraId="3A30BA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原则上应按照集中空调设置，采用水冷冷水机组形式。</w:t>
      </w:r>
    </w:p>
    <w:p w14:paraId="7A7C997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、通风系统</w:t>
      </w:r>
    </w:p>
    <w:p w14:paraId="1917DE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地下车库应设置机械通风系统，并宜根据空气中一氧化碳的浓度自动运行控制，通风系统宜和排烟系统合用一套管道设备。</w:t>
      </w:r>
    </w:p>
    <w:p w14:paraId="43C7075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、人防地下室通风系统</w:t>
      </w:r>
    </w:p>
    <w:p w14:paraId="457162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人防地下室的战时通风系统设计应符合相关的国家人防工程设计规范，并应考虑平战结合设计。</w:t>
      </w:r>
    </w:p>
    <w:p w14:paraId="29E39164">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、防烟、排烟与通风空调系统防火措施满足国家相关规范要求。</w:t>
      </w:r>
    </w:p>
    <w:p w14:paraId="1A4D7D8D">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、空调通风设备应选用高效节能、低噪声、质量可靠、技术先进、维护、保养方便、使用寿命长和综合性价比优的产品。 </w:t>
      </w:r>
    </w:p>
    <w:p w14:paraId="29D643FE">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智能化工程设计要求</w:t>
      </w:r>
    </w:p>
    <w:p w14:paraId="1BFB42D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1、应遵循安全可靠、经济合理、安装维护方便的原则。</w:t>
      </w:r>
    </w:p>
    <w:p w14:paraId="113FE4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5B23992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2、设计内容包括：</w:t>
      </w:r>
    </w:p>
    <w:p w14:paraId="7FB65D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1）综合布线系统（GCS）（含网络布线，电话布线）</w:t>
      </w:r>
    </w:p>
    <w:p w14:paraId="123A7B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 计算机网络系统</w:t>
      </w:r>
    </w:p>
    <w:p w14:paraId="68AE8B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3）光纤到户系统</w:t>
      </w:r>
    </w:p>
    <w:p w14:paraId="0B37F7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4）电子信息发布系统</w:t>
      </w:r>
    </w:p>
    <w:p w14:paraId="7D19D4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5）多功能会议系统</w:t>
      </w:r>
    </w:p>
    <w:p w14:paraId="630575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6）视频监控系统</w:t>
      </w:r>
    </w:p>
    <w:p w14:paraId="637665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7）停车场管理系统</w:t>
      </w:r>
    </w:p>
    <w:p w14:paraId="50210BA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8）出入口管理（门禁系统、访客系统）</w:t>
      </w:r>
    </w:p>
    <w:p w14:paraId="1ECA22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9）入侵报警系统</w:t>
      </w:r>
    </w:p>
    <w:p w14:paraId="4B8CE3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10）无线巡更系统</w:t>
      </w:r>
    </w:p>
    <w:p w14:paraId="76EE21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11）无线对讲系统</w:t>
      </w:r>
    </w:p>
    <w:p w14:paraId="287A32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12）公共广播及背景音乐</w:t>
      </w:r>
    </w:p>
    <w:p w14:paraId="72E6A8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13）电梯五方通话</w:t>
      </w:r>
    </w:p>
    <w:p w14:paraId="15E97B3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14）建筑设备监控系统（BAS）</w:t>
      </w:r>
    </w:p>
    <w:p w14:paraId="392968F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15）智能照明系统</w:t>
      </w:r>
    </w:p>
    <w:p w14:paraId="04ACA01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16）远程智能抄表系统</w:t>
      </w:r>
    </w:p>
    <w:p w14:paraId="6D86CD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17）智能化可视化综合管理平台</w:t>
      </w:r>
    </w:p>
    <w:p w14:paraId="6779247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18）智能化系统的配电（含UPS配电）</w:t>
      </w:r>
    </w:p>
    <w:p w14:paraId="2D79A8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19）机房工程</w:t>
      </w:r>
    </w:p>
    <w:p w14:paraId="2F47CE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20）智能化系统防雷与接地</w:t>
      </w:r>
    </w:p>
    <w:p w14:paraId="70DB6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3、安防控制中心与消防控制中心合并或紧邻设置。</w:t>
      </w:r>
    </w:p>
    <w:p w14:paraId="2B2508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4、智能化系统的设计应充分考虑各专业的协调配合。</w:t>
      </w:r>
    </w:p>
    <w:p w14:paraId="46B980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5、各功能区域、各智能化系统应作为一个整体进行统筹优化设计，既满足各功能区域智能化系统的有机联系，又满足各系统独立管理的要求。</w:t>
      </w:r>
    </w:p>
    <w:p w14:paraId="55968E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6、系统设计与设备选型应采用先进成熟、稳定可靠的主流技术和主流产品，并已在国内工程得到成熟应用的技术和设备。</w:t>
      </w:r>
    </w:p>
    <w:p w14:paraId="0BD28E4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7、所有系统设备应选用标准化产品，设备选型应与技术发展的趋势相适应。遵循开放性原则，软件、硬件、通信接口、网络操作系统和数据库管理系统等应符合国际标准，使系统具备良好的兼容性和扩展性。</w:t>
      </w:r>
    </w:p>
    <w:p w14:paraId="27A8684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8、系统软件应采用中文操作界面。</w:t>
      </w:r>
    </w:p>
    <w:p w14:paraId="02B5074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9、各建筑物应预埋一定数量的弱电进户管道与室外的管网相连。</w:t>
      </w:r>
    </w:p>
    <w:p w14:paraId="75E5951F">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电梯设备设计要求</w:t>
      </w:r>
    </w:p>
    <w:p w14:paraId="0396AE0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1、本项目要根据工程方案中楼房的层高、层数和建筑面积、功能、人流状况设置电梯。</w:t>
      </w:r>
    </w:p>
    <w:p w14:paraId="469F961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2、电梯的型号和厢门材料、结构、上升速度、设置数量，均应在规划设计阶段配合建筑类型和装饰标准考虑。</w:t>
      </w:r>
    </w:p>
    <w:p w14:paraId="734CDB3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3、结构井道预留需满足多数品牌电梯安装要求。</w:t>
      </w:r>
    </w:p>
    <w:p w14:paraId="6683EE41">
      <w:pPr>
        <w:pStyle w:val="4"/>
        <w:snapToGrid w:val="0"/>
        <w:spacing w:before="100" w:after="100" w:line="360" w:lineRule="auto"/>
        <w:ind w:left="0" w:firstLine="0"/>
        <w:rPr>
          <w:color w:val="auto"/>
          <w:sz w:val="24"/>
          <w:highlight w:val="none"/>
        </w:rPr>
      </w:pPr>
      <w:r>
        <w:rPr>
          <w:rFonts w:ascii="宋体" w:hAnsi="宋体" w:eastAsia="宋体" w:cs="宋体"/>
          <w:color w:val="auto"/>
          <w:sz w:val="24"/>
          <w:highlight w:val="none"/>
        </w:rPr>
        <w:t>市政设计(管廊)</w:t>
      </w:r>
    </w:p>
    <w:p w14:paraId="6E5822E1">
      <w:pPr>
        <w:pStyle w:val="5"/>
        <w:snapToGrid w:val="0"/>
        <w:spacing w:line="360" w:lineRule="auto"/>
        <w:ind w:left="0" w:firstLine="0"/>
        <w:rPr>
          <w:color w:val="auto"/>
          <w:highlight w:val="none"/>
        </w:rPr>
      </w:pPr>
      <w:r>
        <w:rPr>
          <w:rFonts w:ascii="宋体" w:hAnsi="宋体" w:eastAsia="宋体" w:cs="宋体"/>
          <w:color w:val="auto"/>
          <w:highlight w:val="none"/>
        </w:rPr>
        <w:t>总体及道路工程</w:t>
      </w:r>
    </w:p>
    <w:p w14:paraId="463F07D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根据道路的规划功能定位和现场实际条件，正确使用技术标准，妥善处理技术与经济、局部与整体、当前与长远的关系。在造价增加不多的情况下，尽量选用较高的技术指标。</w:t>
      </w:r>
    </w:p>
    <w:p w14:paraId="7B1C0DA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域内的城市道路按道路在路网中的地位、交通功能以及对沿线的服务功能，划分为城市次干路和城市支路两个等级。设计需合理布置道路横断面，车行道、人行道、绿化设施带等的布置需满足流量及绿化率的要求。</w:t>
      </w:r>
    </w:p>
    <w:p w14:paraId="7E45B8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设计包括但不限于路基、路面、人行道铺装、边坡防护等，且满足城市道路工程相关规范标准。</w:t>
      </w:r>
    </w:p>
    <w:p w14:paraId="53D1921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桥梁工程</w:t>
      </w:r>
    </w:p>
    <w:p w14:paraId="29DE187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1、桥梁设计洪水频率：百年一遇。桥梁结构的设计基准期为 100年。</w:t>
      </w:r>
    </w:p>
    <w:p w14:paraId="485CF8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2、桥梁净宽设计应以车（人）流量计算为依据，与桥头道路匹配，以满足通行要求。</w:t>
      </w:r>
    </w:p>
    <w:p w14:paraId="31B24E3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3、重视工程桥梁立面、栏杆及花槽的安全、美观、耐久和方便检修维护。</w:t>
      </w:r>
    </w:p>
    <w:p w14:paraId="206FD38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4、人行天桥桥面铺装应简洁、美观、防滑。</w:t>
      </w:r>
    </w:p>
    <w:p w14:paraId="7D1193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5、应完善桥梁排水系统设计，如有花槽，还应完善花槽的给排水设施的设计。</w:t>
      </w:r>
    </w:p>
    <w:p w14:paraId="26531E6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6、桥梁设计中应注意上、下部结构的构造和外观，尽量采用轻盈、美观的桥型。</w:t>
      </w:r>
    </w:p>
    <w:p w14:paraId="5DC194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7、根据地形环境、桥高合理布置桥跨、墩（柱）数量，且墩体量合适；墩的造型、风格要协调；切忌各种不同型式、大小不一的桥墩杂乱堆砌的现象。</w:t>
      </w:r>
    </w:p>
    <w:p w14:paraId="6657D4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8、桥梁伸缩缝设计要求安装牢固、平顺，兼具防水、防积垃圾功能，应深化其细部设计。</w:t>
      </w:r>
    </w:p>
    <w:p w14:paraId="5284543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9、做好桥头填土的防沉降设计。</w:t>
      </w:r>
    </w:p>
    <w:p w14:paraId="39A093C2">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交通工程</w:t>
      </w:r>
    </w:p>
    <w:p w14:paraId="60514D0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严格按国标GB5768-2009《道路交通标志和标线》第1、2、3部分及广州市最新指引的规定设计，合理配置清楚明确的交通标志和标线，标志的内容力求简洁、清晰以及连续，给道路使用者提供正确、合理、及时的道路交通信息及安全、畅通、舒适的交通环境，保障行车安全与快捷，提高道路通行能力。</w:t>
      </w:r>
    </w:p>
    <w:p w14:paraId="2A04A6F6">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设计内容包括但不限于交通标线的设计、交通标志的布设、设置交通信号灯、电子警察及交通监控等。</w:t>
      </w:r>
    </w:p>
    <w:p w14:paraId="0F8605A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给排水及管线综合工程</w:t>
      </w:r>
    </w:p>
    <w:p w14:paraId="2393D32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给水工程设计应以批准的城镇总体规划和给排水专业规划为主要依据，按远期规划、近远期结合、以近期为主的原则进行设计，并满足城市给水、生活饮用水相关规范标准。</w:t>
      </w:r>
    </w:p>
    <w:p w14:paraId="79183F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排水工程应根据城市规划、现状情况、道路坡向等进行设计，采用雨污分流制，管材采用机制钢筋混凝土管，过河管或者过桥管道采用钢管，雨污水检查井采用预制混凝土井，相关设计需满足排水工程相关规范标准。</w:t>
      </w:r>
    </w:p>
    <w:p w14:paraId="32559E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GB 50289-2016）。</w:t>
      </w:r>
    </w:p>
    <w:p w14:paraId="19BBEE55">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绿化工程</w:t>
      </w:r>
    </w:p>
    <w:p w14:paraId="59B3044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14:paraId="43B6EF21">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园区室外照明工程</w:t>
      </w:r>
    </w:p>
    <w:p w14:paraId="5C00A3B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照明设计应根据国家规范《城市道路照明设计标准》 （CJJ45-2015），结合园区道路和场所的特点及照明要求，应充分考虑道路的使用性能、通行能力、通行速度，以及路面使用材料的反射特性等方面的因素，选择常规合适的照明方式。</w:t>
      </w:r>
    </w:p>
    <w:p w14:paraId="1F94D44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为方便管理，园区内道路照明灯具采用LED灯，路灯高度建议采用 8m。</w:t>
      </w:r>
    </w:p>
    <w:p w14:paraId="2BA0A83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室外缆线工程</w:t>
      </w:r>
    </w:p>
    <w:p w14:paraId="4D6252EC">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本项目室外线缆敷设包含电力及通信管线，于道路人行道下埋管敷设。</w:t>
      </w:r>
    </w:p>
    <w:p w14:paraId="5013F4C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其他</w:t>
      </w:r>
    </w:p>
    <w:p w14:paraId="28A1AC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14:paraId="5D5794FD">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BIM设计要求</w:t>
      </w:r>
    </w:p>
    <w:p w14:paraId="03FB88CD">
      <w:pPr>
        <w:pStyle w:val="5"/>
        <w:snapToGrid w:val="0"/>
        <w:spacing w:line="360" w:lineRule="auto"/>
        <w:ind w:left="0" w:firstLine="0"/>
        <w:rPr>
          <w:color w:val="auto"/>
          <w:sz w:val="22"/>
          <w:szCs w:val="22"/>
          <w:highlight w:val="none"/>
        </w:rPr>
      </w:pPr>
      <w:r>
        <w:rPr>
          <w:rFonts w:ascii="宋体" w:hAnsi="宋体" w:eastAsia="宋体" w:cs="宋体"/>
          <w:color w:val="auto"/>
          <w:szCs w:val="22"/>
          <w:highlight w:val="none"/>
        </w:rPr>
        <w:t>总则</w:t>
      </w:r>
    </w:p>
    <w:p w14:paraId="63BBE09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结合本项目的工程特点和BIM实施需求优先制定BIM实施方案指引明确各参与单位设计BIM实施职责。在统一规范的实施标准下分阶段分主次实施BIM应用有序推行流程管理和综合图模管理充分发挥BIM管理平台优势，协同各投标人共同落实BIM实施的具体应用点，在阶段性BIM成果中体现BIM实施和应用价值。</w:t>
      </w:r>
    </w:p>
    <w:p w14:paraId="39A4AD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2、将BIM技术与工程实际紧密结合，实现BIM技术落地应用，承担全过程设计BIM应用的示范和验证作用，体现BIM技术在项目全生命周期中的应用价值。</w:t>
      </w:r>
    </w:p>
    <w:p w14:paraId="7D91452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3、采用BIM辅助设计完成设计工作。</w:t>
      </w:r>
    </w:p>
    <w:p w14:paraId="4918299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4、完成住建局等政府部门要求的相关工作。</w:t>
      </w:r>
    </w:p>
    <w:p w14:paraId="3F014A85">
      <w:pPr>
        <w:pStyle w:val="5"/>
        <w:snapToGrid w:val="0"/>
        <w:spacing w:line="360" w:lineRule="auto"/>
        <w:ind w:left="0" w:firstLine="0"/>
        <w:rPr>
          <w:color w:val="auto"/>
          <w:highlight w:val="none"/>
        </w:rPr>
      </w:pPr>
      <w:bookmarkStart w:id="43" w:name="_Hlk75791310"/>
      <w:bookmarkEnd w:id="43"/>
      <w:r>
        <w:rPr>
          <w:rFonts w:ascii="宋体" w:hAnsi="宋体" w:eastAsia="宋体" w:cs="宋体"/>
          <w:color w:val="auto"/>
          <w:highlight w:val="none"/>
        </w:rPr>
        <w:t>BIM应用要求</w:t>
      </w:r>
    </w:p>
    <w:p w14:paraId="2F94AC08">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1、完成项目BIM实施方案，包括但不限于下列文件：</w:t>
      </w:r>
    </w:p>
    <w:p w14:paraId="75986EF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a)《BIM初步设计实施方案》；</w:t>
      </w:r>
    </w:p>
    <w:p w14:paraId="73E6058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b)《BIM实施过程管控方案》；</w:t>
      </w:r>
    </w:p>
    <w:p w14:paraId="5A6FA399">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2、方案设计阶段</w:t>
      </w:r>
    </w:p>
    <w:p w14:paraId="07E419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按照相关标准和要求，制定对应项目《方案设计阶段BIM实施方案》；</w:t>
      </w:r>
    </w:p>
    <w:p w14:paraId="54AF18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根据《广东省建筑信息模型应用统一标准》和深度要求，创建方案设计阶段BIM模型；</w:t>
      </w:r>
    </w:p>
    <w:p w14:paraId="5C45F4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根据本阶段的BIM应用特点，进行项目设计方案比选；</w:t>
      </w:r>
    </w:p>
    <w:p w14:paraId="02BA5CB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应用BIM技术进行项目建设条件分析；</w:t>
      </w:r>
    </w:p>
    <w:p w14:paraId="428355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进行场地分析等相关应用；</w:t>
      </w:r>
    </w:p>
    <w:p w14:paraId="437BE54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提交方案设计阶段BIM应用成果；</w:t>
      </w:r>
    </w:p>
    <w:p w14:paraId="0318EF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6EA504E0">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3、初步设计阶段</w:t>
      </w:r>
    </w:p>
    <w:p w14:paraId="4BB90A0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 按照相关标准和要求，制定对应项目《初步设计阶段BIM实施方案》；</w:t>
      </w:r>
    </w:p>
    <w:p w14:paraId="14C17FE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 根据《广东省建筑信息模型应用统一标准》和深度要求，创建初步设计阶段BIM模型；</w:t>
      </w:r>
    </w:p>
    <w:p w14:paraId="5E53F1C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 根据本阶段的BIM应用特点，进行建筑性能模拟分析；</w:t>
      </w:r>
    </w:p>
    <w:p w14:paraId="556FD9C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 利用BIM技术，进行设计方案比选；</w:t>
      </w:r>
    </w:p>
    <w:p w14:paraId="3F0289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 应用BIM技术支持对应项目报批报建工作；</w:t>
      </w:r>
    </w:p>
    <w:p w14:paraId="5F6B582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 提交初步设计阶段BIM应用成果；</w:t>
      </w:r>
    </w:p>
    <w:p w14:paraId="34219B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 完成合同规定的BIM应用其他具体要求。</w:t>
      </w:r>
    </w:p>
    <w:p w14:paraId="086A5896">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绿色建筑设计</w:t>
      </w:r>
    </w:p>
    <w:p w14:paraId="72D528E3">
      <w:pPr>
        <w:pStyle w:val="5"/>
        <w:snapToGrid w:val="0"/>
        <w:spacing w:line="360" w:lineRule="auto"/>
        <w:ind w:left="0" w:firstLine="0"/>
        <w:rPr>
          <w:color w:val="auto"/>
          <w:highlight w:val="none"/>
        </w:rPr>
      </w:pPr>
      <w:r>
        <w:rPr>
          <w:rFonts w:ascii="宋体" w:hAnsi="宋体" w:eastAsia="宋体" w:cs="宋体"/>
          <w:color w:val="auto"/>
          <w:highlight w:val="none"/>
        </w:rPr>
        <w:t>一般规定</w:t>
      </w:r>
    </w:p>
    <w:p w14:paraId="768E87B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1、设计均应满足国家和广东省节能相关规范要求，规划应体现“绿色生态</w:t>
      </w:r>
      <w:r>
        <w:rPr>
          <w:rFonts w:hint="eastAsia" w:ascii="宋体" w:hAnsi="宋体" w:eastAsia="宋体" w:cs="宋体"/>
          <w:color w:val="auto"/>
          <w:sz w:val="24"/>
          <w:highlight w:val="none"/>
        </w:rPr>
        <w:t>与低碳</w:t>
      </w:r>
      <w:r>
        <w:rPr>
          <w:rFonts w:ascii="宋体" w:hAnsi="宋体" w:eastAsia="宋体" w:cs="宋体"/>
          <w:color w:val="auto"/>
          <w:sz w:val="24"/>
          <w:highlight w:val="none"/>
        </w:rPr>
        <w:t>”的设计理念。本项目按国家绿色建筑评价标准</w:t>
      </w:r>
      <w:r>
        <w:rPr>
          <w:rFonts w:hint="eastAsia" w:ascii="宋体" w:hAnsi="宋体" w:eastAsia="宋体" w:cs="宋体"/>
          <w:color w:val="auto"/>
          <w:sz w:val="24"/>
          <w:highlight w:val="none"/>
        </w:rPr>
        <w:t>进行</w:t>
      </w:r>
      <w:r>
        <w:rPr>
          <w:rFonts w:ascii="宋体" w:hAnsi="宋体" w:eastAsia="宋体" w:cs="宋体"/>
          <w:color w:val="auto"/>
          <w:sz w:val="24"/>
          <w:highlight w:val="none"/>
        </w:rPr>
        <w:t>设计。</w:t>
      </w:r>
    </w:p>
    <w:p w14:paraId="54F9966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2、绿色建筑应遵循因地制宜的原则，结合建筑所在地域的气候、资源、生态环境、经济、人文等特点进行。</w:t>
      </w:r>
    </w:p>
    <w:p w14:paraId="060BD1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3、设计应按照被动措施优先的原则，优化建筑体型和内部空间布局，充分利用天然采光、自然通风，采用外围护结构保温、隔热、遮阳等措施，</w:t>
      </w:r>
      <w:r>
        <w:rPr>
          <w:rFonts w:hint="eastAsia" w:ascii="宋体" w:hAnsi="宋体" w:eastAsia="宋体" w:cs="宋体"/>
          <w:color w:val="auto"/>
          <w:sz w:val="24"/>
          <w:highlight w:val="none"/>
        </w:rPr>
        <w:t>按照不低于超低能耗建筑的节能标准进行建设</w:t>
      </w:r>
      <w:r>
        <w:rPr>
          <w:rFonts w:ascii="宋体" w:hAnsi="宋体" w:eastAsia="宋体" w:cs="宋体"/>
          <w:color w:val="auto"/>
          <w:sz w:val="24"/>
          <w:highlight w:val="none"/>
        </w:rPr>
        <w:t>。</w:t>
      </w:r>
    </w:p>
    <w:p w14:paraId="0E692F52">
      <w:pPr>
        <w:pStyle w:val="5"/>
        <w:snapToGrid w:val="0"/>
        <w:spacing w:line="360" w:lineRule="auto"/>
        <w:ind w:left="0" w:firstLine="0"/>
        <w:rPr>
          <w:color w:val="auto"/>
          <w:highlight w:val="none"/>
        </w:rPr>
      </w:pPr>
      <w:r>
        <w:rPr>
          <w:rFonts w:ascii="宋体" w:hAnsi="宋体" w:eastAsia="宋体" w:cs="宋体"/>
          <w:color w:val="auto"/>
          <w:highlight w:val="none"/>
        </w:rPr>
        <w:t>规划专业</w:t>
      </w:r>
    </w:p>
    <w:p w14:paraId="7449270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1、规划阶段应制定水系统规划方案，统筹、综合利用各种水资源，增加水资源循环利用率，减少市政供水量和污水排放量。</w:t>
      </w:r>
    </w:p>
    <w:p w14:paraId="356BAB1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设计</w:t>
      </w:r>
      <w:r>
        <w:rPr>
          <w:rFonts w:ascii="宋体" w:hAnsi="宋体" w:eastAsia="宋体" w:cs="宋体"/>
          <w:color w:val="auto"/>
          <w:sz w:val="24"/>
          <w:highlight w:val="none"/>
        </w:rPr>
        <w:t>必须按《广州市城市生活垃圾分类管理暂行规定》要求，设置生活垃圾分类收集站和容器。垃圾收集站应设置于下风向及隐蔽处。</w:t>
      </w:r>
    </w:p>
    <w:p w14:paraId="7E8E452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3、建筑布局应充分考虑对噪声的控制 , 当噪声无法通过规划设计改善时，应在交通干线两侧建筑的临街外窗和围护结构等方面采取有效的隔声措施。</w:t>
      </w:r>
    </w:p>
    <w:p w14:paraId="3300AA5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4、公建配套热水系统的热源优先选用太阳能等可再生能源。太阳能热水系统应统一规划，与建筑工程同时投入使用。</w:t>
      </w:r>
    </w:p>
    <w:p w14:paraId="3B92865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5、选址和出入口的设置应方便利用公共交通网络。出入口 500m范围内应有公交站点或地铁站。</w:t>
      </w:r>
    </w:p>
    <w:p w14:paraId="7F37C7A9">
      <w:pPr>
        <w:pStyle w:val="5"/>
        <w:snapToGrid w:val="0"/>
        <w:spacing w:line="360" w:lineRule="auto"/>
        <w:ind w:left="0" w:firstLine="0"/>
        <w:rPr>
          <w:color w:val="auto"/>
          <w:highlight w:val="none"/>
        </w:rPr>
      </w:pPr>
      <w:r>
        <w:rPr>
          <w:rFonts w:ascii="宋体" w:hAnsi="宋体" w:eastAsia="宋体" w:cs="宋体"/>
          <w:color w:val="auto"/>
          <w:highlight w:val="none"/>
        </w:rPr>
        <w:t>建筑专业</w:t>
      </w:r>
    </w:p>
    <w:p w14:paraId="19F3905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本项目绿色建筑设计须满足规划条件，满足《广州市绿色建筑发展专项规划（2021-2035年）》要求，根据专项规划图集中的绿色建筑目标单元划定图，该地块位于基础目标单元。</w:t>
      </w:r>
    </w:p>
    <w:p w14:paraId="2FF5FDE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1、设计应遵循循环经济理念，尽可能参照绿色建筑要求应用新技术，采用新型节能环保材料，地块内的建筑都要达到绿色建筑标准的要求。鼓励建筑设计按《智能建筑设计标准（GB/T50314-2006）》的要求，采用 BIM 技术进行设计。</w:t>
      </w:r>
    </w:p>
    <w:p w14:paraId="0B1A50A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2、规划方案及初步设计阶段应提交绿色建筑专篇，施工图设计阶段应提交绿色建筑说明专篇及相关模拟计算书、对应分析报告等。</w:t>
      </w:r>
    </w:p>
    <w:p w14:paraId="0B94BF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3、建筑立面设计鼓励采用被动节能措施，宜采用综合遮阳，挡板遮阳或垂直绿化遮阳等措施，不宜采用镜面反射玻璃或抛光金属板等材料。</w:t>
      </w:r>
    </w:p>
    <w:p w14:paraId="6494D0B3">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结构专业</w:t>
      </w:r>
    </w:p>
    <w:p w14:paraId="3C1753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1、现浇混凝土采用预拌混凝土。</w:t>
      </w:r>
    </w:p>
    <w:p w14:paraId="65F67ABF">
      <w:pPr>
        <w:snapToGrid w:val="0"/>
        <w:spacing w:before="0" w:after="0" w:line="360" w:lineRule="auto"/>
        <w:ind w:firstLine="480" w:firstLineChars="200"/>
        <w:rPr>
          <w:color w:val="auto"/>
          <w:highlight w:val="none"/>
        </w:rPr>
      </w:pPr>
      <w:r>
        <w:rPr>
          <w:rFonts w:ascii="宋体" w:hAnsi="宋体" w:eastAsia="宋体" w:cs="宋体"/>
          <w:color w:val="auto"/>
          <w:sz w:val="24"/>
          <w:highlight w:val="none"/>
        </w:rPr>
        <w:t>2、建筑结构材料合理采用高性能混凝土、高强度钢。</w:t>
      </w:r>
    </w:p>
    <w:p w14:paraId="3BCFCFB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给排水专业</w:t>
      </w:r>
    </w:p>
    <w:p w14:paraId="2E60B9F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1、采取有效措施避免管网损漏。</w:t>
      </w:r>
    </w:p>
    <w:p w14:paraId="4FCBC0D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2、采用节水器具和设备。</w:t>
      </w:r>
    </w:p>
    <w:p w14:paraId="56B24FE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3、调速泵在额定转速时的工作点，应位于水泵高效区的末端。</w:t>
      </w:r>
    </w:p>
    <w:p w14:paraId="11B009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4、合理设计雨水的径流控制利用途径，减少雨水受污染机率，削减雨洪峰流量。通过技术经济比较，合理确定雨水集蓄及利用方案。</w:t>
      </w:r>
    </w:p>
    <w:p w14:paraId="295D6017">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电气专业</w:t>
      </w:r>
    </w:p>
    <w:p w14:paraId="7E3C0A2C">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1、供配电系统节能设计</w:t>
      </w:r>
    </w:p>
    <w:p w14:paraId="605F468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（1）变配电系统设备应采用节能、高效型设备，实现变配电系统的经济运行。</w:t>
      </w:r>
    </w:p>
    <w:p w14:paraId="42225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（2）变电所的位置应靠近负荷中心，低压配电级数不宜多于三级，减少正常运行时的线路损耗，降低配电系统自身的能耗。</w:t>
      </w:r>
    </w:p>
    <w:p w14:paraId="3BC0EC8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（3）应按照经济电流合理选择电缆截面，降低线路损耗。</w:t>
      </w:r>
    </w:p>
    <w:p w14:paraId="733E8FF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（4）在低压配电系统设功率因数自动补偿装置，补偿后的功率因数大于 0.9，减少无功损耗。</w:t>
      </w:r>
    </w:p>
    <w:p w14:paraId="4226EFC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（5）空调器、水泵等采用节能型电动机，提高电动机的能效。</w:t>
      </w:r>
    </w:p>
    <w:p w14:paraId="6AC93301">
      <w:pPr>
        <w:spacing w:before="0" w:after="0"/>
        <w:jc w:val="left"/>
        <w:rPr>
          <w:rFonts w:hint="eastAsia" w:ascii="宋体" w:hAnsi="宋体" w:eastAsia="宋体" w:cs="宋体"/>
          <w:color w:val="auto"/>
          <w:highlight w:val="none"/>
        </w:rPr>
      </w:pPr>
      <w:r>
        <w:rPr>
          <w:rFonts w:hint="eastAsia" w:ascii="宋体" w:hAnsi="宋体" w:eastAsia="宋体" w:cs="宋体"/>
          <w:color w:val="auto"/>
          <w:highlight w:val="none"/>
        </w:rPr>
        <w:t>2、照明节能设计</w:t>
      </w:r>
    </w:p>
    <w:p w14:paraId="43B690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（1）应按照建筑照明设计标准，严格控制各个场所的照度标准值与照明功率密度值，并满足眩光值、效率、显指、色温要求。</w:t>
      </w:r>
    </w:p>
    <w:p w14:paraId="4DCF37C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（2）一般照明应采用直接照明为主方式，所有照明灯具、光源、电气附件等均选用高效、节能型，提高照明效率。</w:t>
      </w:r>
    </w:p>
    <w:p w14:paraId="219CB8F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（3）如采用荧光灯配电子镇流器，功率因数不小于 0.9</w:t>
      </w:r>
    </w:p>
    <w:p w14:paraId="1471DC5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（4）照明控制：楼梯灯采用节能自熄开关控制；门厅灯采用就地控制；地下室车库照明采用集中控制。</w:t>
      </w:r>
    </w:p>
    <w:p w14:paraId="6F1EB6F1">
      <w:pPr>
        <w:pStyle w:val="5"/>
        <w:snapToGrid w:val="0"/>
        <w:spacing w:line="360" w:lineRule="auto"/>
        <w:ind w:left="0" w:firstLine="0"/>
        <w:rPr>
          <w:color w:val="auto"/>
          <w:highlight w:val="none"/>
        </w:rPr>
      </w:pPr>
      <w:r>
        <w:rPr>
          <w:rFonts w:ascii="宋体" w:hAnsi="宋体" w:eastAsia="宋体" w:cs="宋体"/>
          <w:color w:val="auto"/>
          <w:highlight w:val="none"/>
        </w:rPr>
        <w:t>暖通空调专业</w:t>
      </w:r>
    </w:p>
    <w:p w14:paraId="085D2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1、空调器的能源效率等级指标应达到国家标准确定的节能型要求，所选产品能效应达到 2级以上。</w:t>
      </w:r>
    </w:p>
    <w:p w14:paraId="7849553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配套公共建筑采用多联机或分体式空调机时，应考虑空调机的安放位置和搁板构造，设计安放位置时应避免多台相邻室外机排风气流的相互干扰，设计板构造时应有利于空调机吸入和排出气流的通畅，空调室外机的进、排风口不应遮挡，为美观而设的遮蔽百叶应采用水平百叶，且透气率应达到 80%</w:t>
      </w:r>
      <w:r>
        <w:rPr>
          <w:rFonts w:hint="eastAsia" w:ascii="宋体" w:hAnsi="宋体" w:eastAsia="宋体" w:cs="宋体"/>
          <w:color w:val="auto"/>
          <w:sz w:val="24"/>
          <w:highlight w:val="none"/>
        </w:rPr>
        <w:t>以</w:t>
      </w:r>
      <w:r>
        <w:rPr>
          <w:rFonts w:ascii="宋体" w:hAnsi="宋体" w:eastAsia="宋体" w:cs="宋体"/>
          <w:color w:val="auto"/>
          <w:sz w:val="24"/>
          <w:highlight w:val="none"/>
        </w:rPr>
        <w:t>上，不应将空调室外机设置在闭口天井内，或宽度小于 4m且进深大于 6m 的凹槽内。</w:t>
      </w:r>
    </w:p>
    <w:p w14:paraId="3056C66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3.商业部分采用水冷中央空调系统时，应采用高效制冷主机及多联机组，能效比达到国家二级能效以上。</w:t>
      </w:r>
    </w:p>
    <w:p w14:paraId="0C05D927">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其它设计要求</w:t>
      </w:r>
    </w:p>
    <w:p w14:paraId="5768531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项目前期摸查报告编制。报告包含但不限于项目概况、项目现状、周边市政条件、报批报建工作进展、勘察设计工作进展、建设工作界面、勘察设计工作计划、存在的问题及相关建议等内容，前期摸查报告需经甲方审核通过后视为完成。</w:t>
      </w:r>
    </w:p>
    <w:p w14:paraId="58482305">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.幕墙设计：须进行技术方案比选分析。</w:t>
      </w:r>
    </w:p>
    <w:p w14:paraId="62746136">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.防雷设计，按《建筑物防雷设计规范》设计。</w:t>
      </w:r>
    </w:p>
    <w:p w14:paraId="25C25220">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.建筑节能新技术的应用及设计：进行技术方案比选分析。</w:t>
      </w:r>
    </w:p>
    <w:p w14:paraId="2AD5529E">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.标识导引（按照任务书或项目承建单位制定的范围进行设计）：设计单位在方案、初步设计中以单独篇章提交标志标识系统设计成果。</w:t>
      </w:r>
    </w:p>
    <w:p w14:paraId="54CF4BB1">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.管线综合平衡设计：各种专业设备、系统的管线在建筑物内系统设计、外的路由平衡设计(要求小管线、线槽做穿梁设计)，进行技术方案比选分析，所有管线不同平面、剖面画出具体定位，画至末端。</w:t>
      </w:r>
    </w:p>
    <w:p w14:paraId="2F97AC67">
      <w:pPr>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ascii="宋体" w:hAnsi="宋体" w:eastAsia="宋体" w:cs="宋体"/>
          <w:color w:val="auto"/>
          <w:sz w:val="24"/>
          <w:highlight w:val="none"/>
        </w:rPr>
        <w:t>.若采用自主创新、自主知识产权的新型产品，应在项目可行性研究报告报送前，提交专题方案比较论证报告报招标人确认，可行性研究报告中应有明确采购自主创新产品的具体要求。</w:t>
      </w:r>
    </w:p>
    <w:p w14:paraId="68BDC2DB">
      <w:pPr>
        <w:pStyle w:val="4"/>
        <w:snapToGrid w:val="0"/>
        <w:spacing w:before="100" w:after="100" w:line="360" w:lineRule="auto"/>
        <w:ind w:left="0" w:firstLine="0"/>
        <w:rPr>
          <w:color w:val="auto"/>
          <w:sz w:val="24"/>
          <w:szCs w:val="22"/>
          <w:highlight w:val="none"/>
        </w:rPr>
      </w:pPr>
      <w:r>
        <w:rPr>
          <w:rFonts w:ascii="宋体" w:hAnsi="宋体" w:eastAsia="宋体" w:cs="宋体"/>
          <w:color w:val="auto"/>
          <w:sz w:val="24"/>
          <w:szCs w:val="22"/>
          <w:highlight w:val="none"/>
        </w:rPr>
        <w:t>造价工作要求</w:t>
      </w:r>
    </w:p>
    <w:p w14:paraId="52E94AC9">
      <w:pPr>
        <w:pStyle w:val="5"/>
        <w:snapToGrid w:val="0"/>
        <w:spacing w:line="360" w:lineRule="auto"/>
        <w:ind w:left="0" w:firstLine="0"/>
        <w:rPr>
          <w:color w:val="auto"/>
          <w:highlight w:val="none"/>
        </w:rPr>
      </w:pPr>
      <w:r>
        <w:rPr>
          <w:rFonts w:ascii="宋体" w:hAnsi="宋体" w:eastAsia="宋体" w:cs="宋体"/>
          <w:color w:val="auto"/>
          <w:highlight w:val="none"/>
        </w:rPr>
        <w:t>造价文件编制及报审工作</w:t>
      </w:r>
    </w:p>
    <w:p w14:paraId="5AE6EB3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1.编制合同设计范围内方案估算（按分布分项进行限额控制）、初步设计概算；</w:t>
      </w:r>
    </w:p>
    <w:p w14:paraId="67D99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2.负责配合初步设计概算送报审工作；</w:t>
      </w:r>
    </w:p>
    <w:p w14:paraId="22C4FB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3.各设计阶段进行各类方案比选时编制造价分析材料，给出造价分析结论。</w:t>
      </w:r>
    </w:p>
    <w:p w14:paraId="79FBAE19">
      <w:pPr>
        <w:pStyle w:val="5"/>
        <w:snapToGrid w:val="0"/>
        <w:spacing w:line="360" w:lineRule="auto"/>
        <w:ind w:left="0" w:firstLine="0"/>
        <w:rPr>
          <w:rFonts w:hint="eastAsia" w:ascii="宋体" w:hAnsi="宋体" w:eastAsia="宋体" w:cs="宋体"/>
          <w:color w:val="auto"/>
          <w:highlight w:val="none"/>
        </w:rPr>
      </w:pPr>
      <w:r>
        <w:rPr>
          <w:rFonts w:ascii="宋体" w:hAnsi="宋体" w:eastAsia="宋体" w:cs="宋体"/>
          <w:color w:val="auto"/>
          <w:highlight w:val="none"/>
        </w:rPr>
        <w:t>造价控制要求及工作要求</w:t>
      </w:r>
    </w:p>
    <w:p w14:paraId="4752E6C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乙方除按合同要求做好工程投资控制外，还要做到以下要求：</w:t>
      </w:r>
    </w:p>
    <w:p w14:paraId="526B1C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1．各阶段的造价文件编制需满足对应阶段造价文件深度要求。各阶段造价成果文件误差控制不超过±10%。</w:t>
      </w:r>
    </w:p>
    <w:p w14:paraId="722BA9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1009B09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 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14:paraId="5EC808FD">
      <w:pPr>
        <w:snapToGrid w:val="0"/>
        <w:spacing w:before="0" w:after="0" w:line="360" w:lineRule="auto"/>
        <w:ind w:firstLine="519" w:firstLineChars="236"/>
        <w:rPr>
          <w:color w:val="auto"/>
          <w:highlight w:val="none"/>
        </w:rPr>
      </w:pPr>
    </w:p>
    <w:p w14:paraId="3B0DA8FA">
      <w:pPr>
        <w:widowControl/>
        <w:spacing w:before="0" w:after="0"/>
        <w:jc w:val="left"/>
        <w:rPr>
          <w:color w:val="auto"/>
          <w:highlight w:val="none"/>
        </w:rPr>
      </w:pPr>
      <w:r>
        <w:rPr>
          <w:color w:val="auto"/>
          <w:highlight w:val="none"/>
        </w:rPr>
        <w:br w:type="page"/>
      </w:r>
    </w:p>
    <w:p w14:paraId="16185B36">
      <w:pPr>
        <w:pStyle w:val="2"/>
        <w:snapToGrid w:val="0"/>
        <w:spacing w:line="360" w:lineRule="auto"/>
        <w:ind w:left="0" w:firstLine="0"/>
        <w:jc w:val="center"/>
        <w:rPr>
          <w:color w:val="auto"/>
          <w:highlight w:val="none"/>
        </w:rPr>
      </w:pPr>
      <w:bookmarkStart w:id="44" w:name="_Toc75504391"/>
      <w:bookmarkEnd w:id="44"/>
      <w:bookmarkStart w:id="45" w:name="_Toc215158540"/>
      <w:r>
        <w:rPr>
          <w:rFonts w:ascii="宋体" w:hAnsi="宋体" w:cs="宋体"/>
          <w:color w:val="auto"/>
          <w:highlight w:val="none"/>
        </w:rPr>
        <w:t>勘察设计人员组织管理要求</w:t>
      </w:r>
      <w:bookmarkEnd w:id="45"/>
    </w:p>
    <w:p w14:paraId="3F6FD8AB">
      <w:pPr>
        <w:pStyle w:val="3"/>
        <w:rPr>
          <w:rFonts w:hint="eastAsia" w:ascii="宋体" w:hAnsi="宋体" w:cs="宋体"/>
          <w:color w:val="auto"/>
          <w:sz w:val="28"/>
          <w:szCs w:val="22"/>
          <w:highlight w:val="none"/>
        </w:rPr>
      </w:pPr>
      <w:bookmarkStart w:id="46" w:name="_Toc75504392"/>
      <w:bookmarkEnd w:id="46"/>
      <w:bookmarkStart w:id="47" w:name="_Toc215158541"/>
      <w:r>
        <w:rPr>
          <w:rFonts w:hint="eastAsia" w:ascii="宋体" w:hAnsi="宋体" w:cs="宋体"/>
          <w:color w:val="auto"/>
          <w:sz w:val="28"/>
          <w:szCs w:val="22"/>
          <w:highlight w:val="none"/>
        </w:rPr>
        <w:t>设计人员组织管理</w:t>
      </w:r>
      <w:bookmarkEnd w:id="47"/>
    </w:p>
    <w:p w14:paraId="40D7FED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3958A5CC">
      <w:pPr>
        <w:snapToGrid w:val="0"/>
        <w:spacing w:before="0" w:after="0" w:line="360" w:lineRule="auto"/>
        <w:ind w:firstLine="480" w:firstLineChars="200"/>
        <w:rPr>
          <w:rFonts w:hint="eastAsia" w:ascii="宋体" w:hAnsi="宋体" w:eastAsia="宋体" w:cs="宋体"/>
          <w:color w:val="auto"/>
          <w:sz w:val="24"/>
          <w:highlight w:val="none"/>
        </w:rPr>
      </w:pPr>
      <w:bookmarkStart w:id="48" w:name="_Hlk75250235"/>
      <w:bookmarkEnd w:id="48"/>
      <w:r>
        <w:rPr>
          <w:rFonts w:ascii="宋体" w:hAnsi="宋体" w:eastAsia="宋体" w:cs="宋体"/>
          <w:color w:val="auto"/>
          <w:sz w:val="24"/>
          <w:highlight w:val="none"/>
        </w:rPr>
        <w:t>乙方应根据项目设计任务及工期要求建立项目组，具体见合同约定。</w:t>
      </w:r>
    </w:p>
    <w:p w14:paraId="18DD4A3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2、在设计高峰或项目承建单位认为有必要时，设计方必须集中力量确保设计进度。</w:t>
      </w:r>
    </w:p>
    <w:p w14:paraId="7C75084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30CB86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4、项目设计总负责人，各专业设计负责人应能够胜任所承担任务的设计、组织、计划、协调工作。</w:t>
      </w:r>
    </w:p>
    <w:p w14:paraId="0AE091B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5、须报送项目设计总负责人、各专业设计负责人、其他参与设计工作的人员姓名、年龄、学历、专业、职称、职务、相关经历和主要技术成果以及在本合同约定项目中负责的设计任务等资料。</w:t>
      </w:r>
    </w:p>
    <w:p w14:paraId="644383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6、必须保证参与本项目各设计单位人员的稳定性，不可随意撤换，且短时离开本地须向项目承建单位请假并</w:t>
      </w:r>
      <w:r>
        <w:rPr>
          <w:rFonts w:hint="eastAsia" w:ascii="宋体" w:hAnsi="宋体" w:eastAsia="宋体" w:cs="宋体"/>
          <w:color w:val="auto"/>
          <w:sz w:val="24"/>
          <w:highlight w:val="none"/>
        </w:rPr>
        <w:t>指定</w:t>
      </w:r>
      <w:r>
        <w:rPr>
          <w:rFonts w:ascii="宋体" w:hAnsi="宋体" w:eastAsia="宋体" w:cs="宋体"/>
          <w:color w:val="auto"/>
          <w:sz w:val="24"/>
          <w:highlight w:val="none"/>
        </w:rPr>
        <w:t>离开后的协调人，否则必须承担相应责任。</w:t>
      </w:r>
    </w:p>
    <w:p w14:paraId="0D20894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14:paraId="343E359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8、</w:t>
      </w:r>
      <w:bookmarkStart w:id="49" w:name="_Hlk75250093"/>
      <w:r>
        <w:rPr>
          <w:rFonts w:ascii="宋体" w:hAnsi="宋体" w:eastAsia="宋体" w:cs="宋体"/>
          <w:color w:val="auto"/>
          <w:sz w:val="24"/>
          <w:highlight w:val="none"/>
        </w:rPr>
        <w:t>设计单位应安排专人全面配合跟进所有报审报建工作（包括</w:t>
      </w:r>
      <w:bookmarkEnd w:id="49"/>
      <w:r>
        <w:rPr>
          <w:rFonts w:ascii="宋体" w:hAnsi="宋体" w:eastAsia="宋体" w:cs="宋体"/>
          <w:color w:val="auto"/>
          <w:sz w:val="24"/>
          <w:highlight w:val="none"/>
        </w:rPr>
        <w:t>但不限于提供项目承建单位报审报建及有关外出协调所需的交通工具，包括购买地形图、管线图纸、加晒加印图纸资料等相关报建费用、各阶段的汇报文件和送审文件晒制费用已包含在勘察设计费中）。</w:t>
      </w:r>
    </w:p>
    <w:p w14:paraId="5199C2EF">
      <w:pPr>
        <w:snapToGrid w:val="0"/>
        <w:spacing w:before="0" w:after="0" w:line="360" w:lineRule="auto"/>
        <w:ind w:firstLine="519" w:firstLineChars="236"/>
        <w:rPr>
          <w:color w:val="auto"/>
          <w:highlight w:val="none"/>
        </w:rPr>
      </w:pPr>
    </w:p>
    <w:p w14:paraId="12D81AB3">
      <w:pPr>
        <w:snapToGrid w:val="0"/>
        <w:spacing w:before="0" w:after="0" w:line="360" w:lineRule="auto"/>
        <w:rPr>
          <w:color w:val="auto"/>
          <w:highlight w:val="none"/>
        </w:rPr>
      </w:pPr>
    </w:p>
    <w:p w14:paraId="078510A2">
      <w:pPr>
        <w:pStyle w:val="2"/>
        <w:snapToGrid w:val="0"/>
        <w:spacing w:line="360" w:lineRule="auto"/>
        <w:ind w:left="0" w:firstLine="0"/>
        <w:jc w:val="center"/>
        <w:rPr>
          <w:color w:val="auto"/>
          <w:highlight w:val="none"/>
        </w:rPr>
      </w:pPr>
      <w:bookmarkStart w:id="50" w:name="_Toc75504393"/>
      <w:bookmarkEnd w:id="50"/>
      <w:bookmarkStart w:id="51" w:name="_Toc215158542"/>
      <w:r>
        <w:rPr>
          <w:rFonts w:ascii="宋体" w:hAnsi="宋体" w:cs="宋体"/>
          <w:color w:val="auto"/>
          <w:highlight w:val="none"/>
        </w:rPr>
        <w:t>勘察设计成果提交要求</w:t>
      </w:r>
      <w:bookmarkEnd w:id="51"/>
    </w:p>
    <w:p w14:paraId="16DBD4E5">
      <w:pPr>
        <w:pStyle w:val="3"/>
        <w:rPr>
          <w:rFonts w:hint="eastAsia" w:ascii="宋体" w:hAnsi="宋体" w:cs="宋体"/>
          <w:color w:val="auto"/>
          <w:sz w:val="28"/>
          <w:szCs w:val="22"/>
          <w:highlight w:val="none"/>
        </w:rPr>
      </w:pPr>
      <w:bookmarkStart w:id="52" w:name="_Toc75504394"/>
      <w:bookmarkEnd w:id="52"/>
      <w:bookmarkStart w:id="53" w:name="_Toc215158543"/>
      <w:r>
        <w:rPr>
          <w:rFonts w:hint="eastAsia" w:ascii="宋体" w:hAnsi="宋体" w:cs="宋体"/>
          <w:color w:val="auto"/>
          <w:sz w:val="28"/>
          <w:szCs w:val="22"/>
          <w:highlight w:val="none"/>
        </w:rPr>
        <w:t>通用要求</w:t>
      </w:r>
      <w:bookmarkEnd w:id="53"/>
    </w:p>
    <w:p w14:paraId="0A8317F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623ABF6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2、凡是涉及到报批报建图纸文件，均需要按专业主管部门的报审要求，按时报送，并负责通过审批。</w:t>
      </w:r>
    </w:p>
    <w:p w14:paraId="02CDFBD6">
      <w:pPr>
        <w:pStyle w:val="3"/>
        <w:rPr>
          <w:rFonts w:hint="eastAsia" w:ascii="宋体" w:hAnsi="宋体" w:cs="宋体"/>
          <w:color w:val="auto"/>
          <w:sz w:val="28"/>
          <w:szCs w:val="22"/>
          <w:highlight w:val="none"/>
        </w:rPr>
      </w:pPr>
      <w:bookmarkStart w:id="54" w:name="_Toc74837374"/>
      <w:bookmarkEnd w:id="54"/>
      <w:bookmarkStart w:id="55" w:name="_Toc75504395"/>
      <w:bookmarkStart w:id="56" w:name="_Toc215158544"/>
      <w:r>
        <w:rPr>
          <w:rFonts w:hint="eastAsia" w:ascii="宋体" w:hAnsi="宋体" w:cs="宋体"/>
          <w:color w:val="auto"/>
          <w:sz w:val="28"/>
          <w:szCs w:val="22"/>
          <w:highlight w:val="none"/>
        </w:rPr>
        <w:t>设计成果要求</w:t>
      </w:r>
      <w:bookmarkEnd w:id="55"/>
      <w:bookmarkEnd w:id="56"/>
    </w:p>
    <w:p w14:paraId="3342E84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1、设计文件要求（设计图纸包括且不限于以下内容）：</w:t>
      </w:r>
    </w:p>
    <w:p w14:paraId="28D6CE95">
      <w:pPr>
        <w:snapToGrid w:val="0"/>
        <w:spacing w:before="0" w:after="0" w:line="360" w:lineRule="auto"/>
        <w:ind w:firstLine="480" w:firstLineChars="200"/>
        <w:rPr>
          <w:rFonts w:hint="eastAsia" w:ascii="宋体" w:hAnsi="宋体" w:eastAsia="宋体" w:cs="宋体"/>
          <w:color w:val="auto"/>
          <w:sz w:val="24"/>
          <w:highlight w:val="none"/>
        </w:rPr>
      </w:pPr>
      <w:bookmarkStart w:id="57" w:name="_Hlk75250406"/>
      <w:bookmarkEnd w:id="57"/>
      <w:r>
        <w:rPr>
          <w:rFonts w:ascii="宋体" w:hAnsi="宋体" w:eastAsia="宋体" w:cs="宋体"/>
          <w:color w:val="auto"/>
          <w:sz w:val="24"/>
          <w:highlight w:val="none"/>
        </w:rPr>
        <w:t>（1）方案设计</w:t>
      </w:r>
      <w:bookmarkStart w:id="58" w:name="_Hlk75250413"/>
      <w:bookmarkEnd w:id="58"/>
      <w:r>
        <w:rPr>
          <w:rFonts w:ascii="宋体" w:hAnsi="宋体" w:eastAsia="宋体" w:cs="宋体"/>
          <w:color w:val="auto"/>
          <w:sz w:val="24"/>
          <w:highlight w:val="none"/>
        </w:rPr>
        <w:t>阶段</w:t>
      </w:r>
    </w:p>
    <w:p w14:paraId="53BFF73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A.基地区位图</w:t>
      </w:r>
    </w:p>
    <w:p w14:paraId="067C68C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B.基地现状图</w:t>
      </w:r>
    </w:p>
    <w:p w14:paraId="6DCB712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C.与周边环境及空间关系分析图</w:t>
      </w:r>
    </w:p>
    <w:p w14:paraId="30C1CCF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D.交通系统分析图</w:t>
      </w:r>
    </w:p>
    <w:p w14:paraId="15E14F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E.出入口、联系通道、垂直交通、公共交通设施等分布图</w:t>
      </w:r>
    </w:p>
    <w:p w14:paraId="7FB713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F.总平面设计图 （建议明确比例）</w:t>
      </w:r>
    </w:p>
    <w:p w14:paraId="2D6A24F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G.各层平面图(电子制图比例为1：200)</w:t>
      </w:r>
    </w:p>
    <w:p w14:paraId="5C19D44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H.主要剖面和立面图(电子制图比例为1：200)</w:t>
      </w:r>
    </w:p>
    <w:p w14:paraId="65F2785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I.主要出入口、广场、下沉空间等重要空间节点效果图</w:t>
      </w:r>
    </w:p>
    <w:p w14:paraId="2200ABA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J.主要空间节点透视图</w:t>
      </w:r>
    </w:p>
    <w:p w14:paraId="0EC6090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K.防灾系统方案图和相关分析图</w:t>
      </w:r>
    </w:p>
    <w:p w14:paraId="5E54FF7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L.机电设备系统方案图</w:t>
      </w:r>
    </w:p>
    <w:p w14:paraId="7DD9AC0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M.信息通信网络传输系统图</w:t>
      </w:r>
    </w:p>
    <w:p w14:paraId="22AA92E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O.综合管线系统方案图</w:t>
      </w:r>
    </w:p>
    <w:p w14:paraId="04D20DC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P.给排水设计图</w:t>
      </w:r>
    </w:p>
    <w:p w14:paraId="0967095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Q.相关竖向设计图</w:t>
      </w:r>
    </w:p>
    <w:p w14:paraId="50DE597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R.景观设计图</w:t>
      </w:r>
    </w:p>
    <w:p w14:paraId="7D1A5A8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S.相关分析图和鸟瞰图</w:t>
      </w:r>
    </w:p>
    <w:p w14:paraId="770EFCD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T.项目估算及投资分析报告</w:t>
      </w:r>
    </w:p>
    <w:p w14:paraId="1507FA8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U.项目其它设计方案图</w:t>
      </w:r>
    </w:p>
    <w:p w14:paraId="6E22450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（2）初步设计阶段</w:t>
      </w:r>
    </w:p>
    <w:p w14:paraId="33BF551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A.建筑专业初步设计</w:t>
      </w:r>
    </w:p>
    <w:p w14:paraId="4E313AA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B.结构专业初步设计</w:t>
      </w:r>
      <w:bookmarkStart w:id="59" w:name="_Hlk75250453"/>
      <w:bookmarkEnd w:id="59"/>
    </w:p>
    <w:p w14:paraId="51A357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C.基坑支护初步设计</w:t>
      </w:r>
    </w:p>
    <w:p w14:paraId="026B61F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D.给排水专业初步设计</w:t>
      </w:r>
    </w:p>
    <w:p w14:paraId="6C99C6B9">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E.电气及智能化专业初步设计</w:t>
      </w:r>
    </w:p>
    <w:p w14:paraId="6269956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F.暖通专业初步设计</w:t>
      </w:r>
    </w:p>
    <w:p w14:paraId="07966ED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G.景观专业初步设计</w:t>
      </w:r>
    </w:p>
    <w:p w14:paraId="3127B5D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H.市政专业初步设计</w:t>
      </w:r>
    </w:p>
    <w:p w14:paraId="5B78546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I.市政管线专业初步设计</w:t>
      </w:r>
    </w:p>
    <w:p w14:paraId="324B801D">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J.绿色建筑、建筑节能初步设计</w:t>
      </w:r>
    </w:p>
    <w:p w14:paraId="157E99F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K.海绵城市初步设计</w:t>
      </w:r>
    </w:p>
    <w:p w14:paraId="34E4C8B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L.人防初步设计</w:t>
      </w:r>
    </w:p>
    <w:p w14:paraId="47F4A1E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M.初步设计概算编制等</w:t>
      </w:r>
    </w:p>
    <w:p w14:paraId="0EF3956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N.管线综合平衡图</w:t>
      </w:r>
    </w:p>
    <w:p w14:paraId="31B64CC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O.其它专项初步设计（如需要）</w:t>
      </w:r>
    </w:p>
    <w:p w14:paraId="39AC646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2、三维数据模型：设计单位在中标后，设计方案通过确认后30天内提交三维数据模型（通用3ds max格式、revit格式等）。并有责任协助建设单位将其他设计单位提供的三维数据模型进行整合工作。</w:t>
      </w:r>
    </w:p>
    <w:p w14:paraId="2593C14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3、工程勘察成果文件（包括但不限于）</w:t>
      </w:r>
    </w:p>
    <w:p w14:paraId="306A3A5A">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（1）工程可行性研究阶段</w:t>
      </w:r>
    </w:p>
    <w:p w14:paraId="764D50B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《岩土工程勘察大纲》</w:t>
      </w:r>
    </w:p>
    <w:p w14:paraId="0F1E0A9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（2）勘察阶段</w:t>
      </w:r>
    </w:p>
    <w:p w14:paraId="0E883C3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《初勘阶段岩土工程勘察技术要求及验收标准》</w:t>
      </w:r>
    </w:p>
    <w:p w14:paraId="1B7AADC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《初勘阶段岩土工程勘察大纲》</w:t>
      </w:r>
    </w:p>
    <w:p w14:paraId="4C6A3E3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《初勘阶段岩土工程勘察报告》</w:t>
      </w:r>
    </w:p>
    <w:p w14:paraId="22E13B9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《详勘阶段岩土工程勘察技术要求》</w:t>
      </w:r>
    </w:p>
    <w:p w14:paraId="35B7DC8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《详勘阶段岩土工程勘察大纲》</w:t>
      </w:r>
    </w:p>
    <w:p w14:paraId="69933A1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《详勘阶段岩土工程勘察报告》</w:t>
      </w:r>
    </w:p>
    <w:p w14:paraId="5028A6E0">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4、造价成果文件（包括但不限于）</w:t>
      </w:r>
    </w:p>
    <w:p w14:paraId="4296B86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除按要求提交概算成果外，还需要</w:t>
      </w:r>
      <w:r>
        <w:rPr>
          <w:rFonts w:hint="eastAsia" w:ascii="宋体" w:hAnsi="宋体" w:eastAsia="宋体" w:cs="宋体"/>
          <w:color w:val="auto"/>
          <w:sz w:val="24"/>
          <w:highlight w:val="none"/>
        </w:rPr>
        <w:t>参照</w:t>
      </w:r>
      <w:r>
        <w:rPr>
          <w:rFonts w:ascii="宋体" w:hAnsi="宋体" w:eastAsia="宋体" w:cs="宋体"/>
          <w:color w:val="auto"/>
          <w:sz w:val="24"/>
          <w:highlight w:val="none"/>
        </w:rPr>
        <w:t>《关于财政投资评审实行预受理制度的通知》（穗财建[2012]446号），</w:t>
      </w:r>
      <w:r>
        <w:rPr>
          <w:rFonts w:hint="eastAsia" w:ascii="宋体" w:hAnsi="宋体" w:eastAsia="宋体" w:cs="宋体"/>
          <w:color w:val="auto"/>
          <w:sz w:val="24"/>
          <w:highlight w:val="none"/>
        </w:rPr>
        <w:t>按照广州市天河区相关政策要求及政府主管部门的要求</w:t>
      </w:r>
      <w:r>
        <w:rPr>
          <w:rFonts w:ascii="宋体" w:hAnsi="宋体" w:eastAsia="宋体" w:cs="宋体"/>
          <w:color w:val="auto"/>
          <w:sz w:val="24"/>
          <w:highlight w:val="none"/>
        </w:rPr>
        <w:t>准备设计图纸等送审资料，并配合</w:t>
      </w:r>
      <w:r>
        <w:rPr>
          <w:rFonts w:hint="eastAsia" w:ascii="宋体" w:hAnsi="宋体" w:eastAsia="宋体" w:cs="宋体"/>
          <w:color w:val="auto"/>
          <w:sz w:val="24"/>
          <w:highlight w:val="none"/>
        </w:rPr>
        <w:t>政府主管</w:t>
      </w:r>
      <w:r>
        <w:rPr>
          <w:rFonts w:ascii="宋体" w:hAnsi="宋体" w:eastAsia="宋体" w:cs="宋体"/>
          <w:color w:val="auto"/>
          <w:sz w:val="24"/>
          <w:highlight w:val="none"/>
        </w:rPr>
        <w:t>部门的核审工作。</w:t>
      </w:r>
    </w:p>
    <w:p w14:paraId="2B2CA614">
      <w:pPr>
        <w:pStyle w:val="3"/>
        <w:rPr>
          <w:rFonts w:hint="eastAsia" w:ascii="宋体" w:hAnsi="宋体" w:cs="宋体"/>
          <w:color w:val="auto"/>
          <w:sz w:val="28"/>
          <w:szCs w:val="22"/>
          <w:highlight w:val="none"/>
        </w:rPr>
      </w:pPr>
      <w:bookmarkStart w:id="60" w:name="_Toc75504396"/>
      <w:bookmarkEnd w:id="60"/>
      <w:bookmarkStart w:id="61" w:name="_Toc215158545"/>
      <w:bookmarkStart w:id="62" w:name="_Toc74837375"/>
      <w:r>
        <w:rPr>
          <w:rFonts w:hint="eastAsia" w:ascii="宋体" w:hAnsi="宋体" w:cs="宋体"/>
          <w:color w:val="auto"/>
          <w:sz w:val="28"/>
          <w:szCs w:val="22"/>
          <w:highlight w:val="none"/>
        </w:rPr>
        <w:t>提交设计资料要求</w:t>
      </w:r>
      <w:bookmarkEnd w:id="61"/>
      <w:bookmarkEnd w:id="62"/>
    </w:p>
    <w:p w14:paraId="6AEC0742">
      <w:pPr>
        <w:snapToGrid w:val="0"/>
        <w:spacing w:before="0" w:after="0" w:line="360" w:lineRule="auto"/>
        <w:ind w:firstLine="480" w:firstLineChars="200"/>
        <w:rPr>
          <w:rFonts w:hint="eastAsia" w:ascii="宋体" w:hAnsi="宋体" w:eastAsia="宋体" w:cs="宋体"/>
          <w:color w:val="auto"/>
          <w:sz w:val="28"/>
          <w:highlight w:val="none"/>
        </w:rPr>
      </w:pPr>
      <w:r>
        <w:rPr>
          <w:rFonts w:ascii="宋体" w:hAnsi="宋体" w:eastAsia="宋体" w:cs="宋体"/>
          <w:color w:val="auto"/>
          <w:sz w:val="24"/>
          <w:highlight w:val="none"/>
        </w:rPr>
        <w:t>1、中标设计单位设计成果文件的提交时间以符合合同约定质量的设计成果文件的提交时间为准。设计成果文件提交的时间及份数如下</w:t>
      </w:r>
    </w:p>
    <w:p w14:paraId="7BDF5F71">
      <w:pPr>
        <w:snapToGrid w:val="0"/>
        <w:spacing w:before="0" w:after="0" w:line="360" w:lineRule="auto"/>
        <w:jc w:val="center"/>
        <w:rPr>
          <w:color w:val="auto"/>
          <w:highlight w:val="none"/>
        </w:rPr>
      </w:pPr>
      <w:r>
        <w:rPr>
          <w:rFonts w:ascii="宋体" w:hAnsi="宋体" w:eastAsia="宋体" w:cs="宋体"/>
          <w:color w:val="auto"/>
          <w:sz w:val="24"/>
          <w:highlight w:val="none"/>
        </w:rPr>
        <w:t>表</w:t>
      </w:r>
      <w:r>
        <w:rPr>
          <w:rFonts w:hint="eastAsia" w:ascii="宋体" w:hAnsi="宋体" w:eastAsia="宋体" w:cs="宋体"/>
          <w:color w:val="auto"/>
          <w:sz w:val="24"/>
          <w:highlight w:val="none"/>
        </w:rPr>
        <w:t>5</w:t>
      </w:r>
      <w:r>
        <w:rPr>
          <w:rFonts w:ascii="宋体" w:hAnsi="宋体" w:eastAsia="宋体" w:cs="宋体"/>
          <w:color w:val="auto"/>
          <w:sz w:val="24"/>
          <w:highlight w:val="none"/>
        </w:rPr>
        <w:t>-1 设计各阶段提交时间控制表</w:t>
      </w:r>
    </w:p>
    <w:tbl>
      <w:tblPr>
        <w:tblStyle w:val="2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54"/>
        <w:gridCol w:w="2897"/>
        <w:gridCol w:w="1373"/>
        <w:gridCol w:w="1326"/>
        <w:gridCol w:w="1458"/>
      </w:tblGrid>
      <w:tr w14:paraId="11E1BDB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7" w:hRule="atLeast"/>
        </w:trPr>
        <w:tc>
          <w:tcPr>
            <w:tcW w:w="654" w:type="dxa"/>
            <w:tcBorders>
              <w:top w:val="single" w:color="000000" w:sz="8"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435D649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序号</w:t>
            </w:r>
          </w:p>
        </w:tc>
        <w:tc>
          <w:tcPr>
            <w:tcW w:w="2897"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0E9D0E5">
            <w:pPr>
              <w:snapToGrid w:val="0"/>
              <w:spacing w:before="0" w:after="0" w:line="360" w:lineRule="auto"/>
              <w:ind w:firstLine="27" w:firstLineChars="13"/>
              <w:jc w:val="center"/>
              <w:rPr>
                <w:color w:val="auto"/>
                <w:sz w:val="21"/>
                <w:szCs w:val="21"/>
                <w:highlight w:val="none"/>
              </w:rPr>
            </w:pPr>
            <w:r>
              <w:rPr>
                <w:rFonts w:ascii="宋体" w:hAnsi="宋体" w:eastAsia="宋体" w:cs="宋体"/>
                <w:color w:val="auto"/>
                <w:sz w:val="21"/>
                <w:szCs w:val="21"/>
                <w:highlight w:val="none"/>
              </w:rPr>
              <w:t>资料及文件名称</w:t>
            </w:r>
          </w:p>
        </w:tc>
        <w:tc>
          <w:tcPr>
            <w:tcW w:w="1373"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4FFD6AE">
            <w:pPr>
              <w:snapToGrid w:val="0"/>
              <w:spacing w:before="0" w:after="0" w:line="360" w:lineRule="auto"/>
              <w:ind w:firstLine="50" w:firstLineChars="24"/>
              <w:jc w:val="center"/>
              <w:rPr>
                <w:color w:val="auto"/>
                <w:sz w:val="21"/>
                <w:szCs w:val="21"/>
                <w:highlight w:val="none"/>
              </w:rPr>
            </w:pPr>
            <w:r>
              <w:rPr>
                <w:rFonts w:ascii="宋体" w:hAnsi="宋体" w:eastAsia="宋体" w:cs="宋体"/>
                <w:color w:val="auto"/>
                <w:sz w:val="21"/>
                <w:szCs w:val="21"/>
                <w:highlight w:val="none"/>
              </w:rPr>
              <w:t>提交日期</w:t>
            </w:r>
          </w:p>
        </w:tc>
        <w:tc>
          <w:tcPr>
            <w:tcW w:w="1326"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5DBA3DB">
            <w:pPr>
              <w:snapToGrid w:val="0"/>
              <w:spacing w:before="0" w:after="0" w:line="360" w:lineRule="auto"/>
              <w:ind w:firstLine="75" w:firstLineChars="36"/>
              <w:jc w:val="center"/>
              <w:rPr>
                <w:color w:val="auto"/>
                <w:sz w:val="21"/>
                <w:szCs w:val="21"/>
                <w:highlight w:val="none"/>
              </w:rPr>
            </w:pPr>
            <w:r>
              <w:rPr>
                <w:rFonts w:ascii="宋体" w:hAnsi="宋体" w:eastAsia="宋体" w:cs="宋体"/>
                <w:color w:val="auto"/>
                <w:sz w:val="21"/>
                <w:szCs w:val="21"/>
                <w:highlight w:val="none"/>
              </w:rPr>
              <w:t>份数</w:t>
            </w:r>
          </w:p>
        </w:tc>
        <w:tc>
          <w:tcPr>
            <w:tcW w:w="1458" w:type="dxa"/>
            <w:tcBorders>
              <w:top w:val="single" w:color="000000" w:sz="8"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629EFD0">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备注</w:t>
            </w:r>
          </w:p>
        </w:tc>
      </w:tr>
      <w:tr w14:paraId="435CA35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6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C386722">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1</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D93FAB">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勘察成果文件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B6C656D">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各阶段勘察任务在收到发包人进场通知后60天内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87BEC6D">
            <w:pPr>
              <w:snapToGrid w:val="0"/>
              <w:spacing w:before="0" w:after="0" w:line="360" w:lineRule="auto"/>
              <w:ind w:firstLine="210" w:firstLineChars="100"/>
              <w:jc w:val="left"/>
              <w:rPr>
                <w:color w:val="auto"/>
                <w:sz w:val="21"/>
                <w:szCs w:val="21"/>
                <w:highlight w:val="none"/>
              </w:rPr>
            </w:pPr>
            <w:r>
              <w:rPr>
                <w:rFonts w:ascii="宋体" w:hAnsi="宋体" w:eastAsia="宋体" w:cs="宋体"/>
                <w:color w:val="auto"/>
                <w:sz w:val="21"/>
                <w:szCs w:val="21"/>
                <w:highlight w:val="none"/>
              </w:rPr>
              <w:t>10份</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529E5A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电子文档各3份</w:t>
            </w:r>
          </w:p>
        </w:tc>
      </w:tr>
      <w:tr w14:paraId="5A510A8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56"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53F23E3B">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2</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F4A352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深化方案设计成果文件（含总平面规划设计、工程估算）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CE6CDB9">
            <w:pPr>
              <w:snapToGrid w:val="0"/>
              <w:spacing w:before="0" w:after="0" w:line="360" w:lineRule="auto"/>
              <w:ind w:firstLine="50" w:firstLineChars="24"/>
              <w:jc w:val="left"/>
              <w:rPr>
                <w:color w:val="auto"/>
                <w:sz w:val="21"/>
                <w:szCs w:val="21"/>
                <w:highlight w:val="none"/>
              </w:rPr>
            </w:pPr>
            <w:r>
              <w:rPr>
                <w:rFonts w:ascii="宋体" w:hAnsi="宋体" w:eastAsia="宋体" w:cs="宋体"/>
                <w:color w:val="auto"/>
                <w:sz w:val="21"/>
                <w:szCs w:val="21"/>
                <w:highlight w:val="none"/>
              </w:rPr>
              <w:t>中标后30天内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D6F0BE6">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30份，或按甲方要求提供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8283A4B">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2BD5250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8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0D376D">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3</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01449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规划报建相关设计成果文件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55E6661">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18A54F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2EAFC1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CD25D9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0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2AFADD0E">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4</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4FF358E">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方案审批设计成果文件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DB66FC2">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AEA6A53">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FDCDF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04E57B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69"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6D5CFE7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5</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239ACCD6">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初步设计成果文件（含概算）</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B0EAD0">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深化方案确定后45天内</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22CE277">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15份，或按甲方要求提供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5EF8ABD9">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电子文档3份（含符合评审要求的软件版）</w:t>
            </w:r>
          </w:p>
        </w:tc>
      </w:tr>
      <w:tr w14:paraId="021C6A5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12"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72C564A5">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6</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9B309E0">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初步设计阶段相关报批成果文件</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048E9AA3">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6DCF24E5">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按报建要求或甲方要求提供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EC7628C">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r w14:paraId="335AED0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55" w:hRule="atLeast"/>
        </w:trPr>
        <w:tc>
          <w:tcPr>
            <w:tcW w:w="654" w:type="dxa"/>
            <w:tcBorders>
              <w:top w:val="single" w:color="000000" w:sz="0" w:space="0"/>
              <w:left w:val="single" w:color="000000" w:sz="8" w:space="0"/>
              <w:bottom w:val="single" w:color="000000" w:sz="8" w:space="0"/>
              <w:right w:val="single" w:color="000000" w:sz="8" w:space="0"/>
            </w:tcBorders>
            <w:tcMar>
              <w:top w:w="120" w:type="dxa"/>
              <w:left w:w="60" w:type="dxa"/>
              <w:bottom w:w="120" w:type="dxa"/>
              <w:right w:w="60" w:type="dxa"/>
            </w:tcMar>
            <w:vAlign w:val="center"/>
          </w:tcPr>
          <w:p w14:paraId="1728E234">
            <w:pPr>
              <w:snapToGrid w:val="0"/>
              <w:spacing w:before="0" w:after="0" w:line="360" w:lineRule="auto"/>
              <w:jc w:val="center"/>
              <w:rPr>
                <w:color w:val="auto"/>
                <w:sz w:val="21"/>
                <w:szCs w:val="21"/>
                <w:highlight w:val="none"/>
              </w:rPr>
            </w:pPr>
            <w:r>
              <w:rPr>
                <w:rFonts w:ascii="宋体" w:hAnsi="宋体" w:eastAsia="宋体" w:cs="宋体"/>
                <w:color w:val="auto"/>
                <w:sz w:val="21"/>
                <w:szCs w:val="21"/>
                <w:highlight w:val="none"/>
              </w:rPr>
              <w:t>7</w:t>
            </w:r>
          </w:p>
        </w:tc>
        <w:tc>
          <w:tcPr>
            <w:tcW w:w="2897"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167AA0C3">
            <w:pPr>
              <w:snapToGrid w:val="0"/>
              <w:spacing w:before="0" w:after="0" w:line="360" w:lineRule="auto"/>
              <w:ind w:firstLine="27" w:firstLineChars="13"/>
              <w:jc w:val="left"/>
              <w:rPr>
                <w:color w:val="auto"/>
                <w:sz w:val="21"/>
                <w:szCs w:val="21"/>
                <w:highlight w:val="none"/>
              </w:rPr>
            </w:pPr>
            <w:r>
              <w:rPr>
                <w:rFonts w:ascii="宋体" w:hAnsi="宋体" w:eastAsia="宋体" w:cs="宋体"/>
                <w:color w:val="auto"/>
                <w:sz w:val="21"/>
                <w:szCs w:val="21"/>
                <w:highlight w:val="none"/>
              </w:rPr>
              <w:t>最终设计成果文件（包括地块内各相关专业、管线综合、园林景观等初步设计内容）</w:t>
            </w:r>
          </w:p>
        </w:tc>
        <w:tc>
          <w:tcPr>
            <w:tcW w:w="1373"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79762856">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根据实际情况，按工作计划</w:t>
            </w:r>
          </w:p>
        </w:tc>
        <w:tc>
          <w:tcPr>
            <w:tcW w:w="1326"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44F660BB">
            <w:pPr>
              <w:snapToGrid w:val="0"/>
              <w:spacing w:before="0" w:after="0" w:line="360" w:lineRule="auto"/>
              <w:ind w:firstLine="75" w:firstLineChars="36"/>
              <w:jc w:val="left"/>
              <w:rPr>
                <w:color w:val="auto"/>
                <w:sz w:val="21"/>
                <w:szCs w:val="21"/>
                <w:highlight w:val="none"/>
              </w:rPr>
            </w:pPr>
            <w:r>
              <w:rPr>
                <w:rFonts w:ascii="宋体" w:hAnsi="宋体" w:eastAsia="宋体" w:cs="宋体"/>
                <w:color w:val="auto"/>
                <w:sz w:val="21"/>
                <w:szCs w:val="21"/>
                <w:highlight w:val="none"/>
              </w:rPr>
              <w:t>按甲方要求提供</w:t>
            </w:r>
          </w:p>
        </w:tc>
        <w:tc>
          <w:tcPr>
            <w:tcW w:w="1458" w:type="dxa"/>
            <w:tcBorders>
              <w:top w:val="single" w:color="000000" w:sz="0" w:space="0"/>
              <w:left w:val="single" w:color="000000" w:sz="0" w:space="0"/>
              <w:bottom w:val="single" w:color="000000" w:sz="8" w:space="0"/>
              <w:right w:val="single" w:color="000000" w:sz="8" w:space="0"/>
            </w:tcBorders>
            <w:tcMar>
              <w:top w:w="120" w:type="dxa"/>
              <w:left w:w="60" w:type="dxa"/>
              <w:bottom w:w="120" w:type="dxa"/>
              <w:right w:w="60" w:type="dxa"/>
            </w:tcMar>
            <w:vAlign w:val="center"/>
          </w:tcPr>
          <w:p w14:paraId="3AE9B895">
            <w:pPr>
              <w:snapToGrid w:val="0"/>
              <w:spacing w:before="0" w:after="0" w:line="360" w:lineRule="auto"/>
              <w:jc w:val="left"/>
              <w:rPr>
                <w:color w:val="auto"/>
                <w:sz w:val="21"/>
                <w:szCs w:val="21"/>
                <w:highlight w:val="none"/>
              </w:rPr>
            </w:pPr>
            <w:r>
              <w:rPr>
                <w:rFonts w:ascii="宋体" w:hAnsi="宋体" w:eastAsia="宋体" w:cs="宋体"/>
                <w:color w:val="auto"/>
                <w:sz w:val="21"/>
                <w:szCs w:val="21"/>
                <w:highlight w:val="none"/>
              </w:rPr>
              <w:t>电子文档3份</w:t>
            </w:r>
          </w:p>
        </w:tc>
      </w:tr>
    </w:tbl>
    <w:p w14:paraId="424397D5">
      <w:pPr>
        <w:snapToGrid w:val="0"/>
        <w:spacing w:before="0" w:after="0" w:line="360" w:lineRule="auto"/>
        <w:rPr>
          <w:color w:val="auto"/>
          <w:highlight w:val="none"/>
        </w:rPr>
      </w:pPr>
      <w:r>
        <w:rPr>
          <w:rFonts w:ascii="宋体" w:hAnsi="宋体" w:eastAsia="宋体" w:cs="宋体"/>
          <w:color w:val="auto"/>
          <w:sz w:val="24"/>
          <w:highlight w:val="none"/>
        </w:rPr>
        <w:t>（备注：上述各阶段成果提交时间由建设单位控制，可根据实际情况调整。）</w:t>
      </w:r>
    </w:p>
    <w:p w14:paraId="36249701">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2、各阶段所有提供的效果图必须同时提交PSD或PDF电子版文件，精度要求：分辨率不低于4kx4k。</w:t>
      </w:r>
    </w:p>
    <w:p w14:paraId="34C1C5EC">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在规划红线范围内，设计人应保证按规划及建筑功能要求、配套设施要求完成本工程造价中包含的全部项目的专业专项设计。限于专业资质问题不能进行的专项设计（如10千伏高压供电、红线外市政给排水及供电工程、环保工程、燃气工程、幕墙、装修、园林景观、泛光照明等），由设计人报甲方同意后进行分包，专项分包设计费由设计人承担。建筑主体设计单位全面负责管理和协调专业分包单位。专项分包各阶段设计文件中，须设计人校核确认，并由项目负责人及专项分包方人员进行会签、盖章确认（设计图要求含有两</w:t>
      </w:r>
      <w:r>
        <w:rPr>
          <w:rFonts w:hint="eastAsia" w:ascii="宋体" w:hAnsi="宋体" w:eastAsia="宋体" w:cs="宋体"/>
          <w:color w:val="auto"/>
          <w:sz w:val="24"/>
          <w:highlight w:val="none"/>
        </w:rPr>
        <w:t>家</w:t>
      </w:r>
      <w:r>
        <w:rPr>
          <w:rFonts w:ascii="宋体" w:hAnsi="宋体" w:eastAsia="宋体" w:cs="宋体"/>
          <w:color w:val="auto"/>
          <w:sz w:val="24"/>
          <w:highlight w:val="none"/>
        </w:rPr>
        <w:t>单位的图签，双图签出图）。</w:t>
      </w:r>
    </w:p>
    <w:p w14:paraId="08D2D04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14:paraId="1A8D93C2">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5、中标设计单位按合同约定的时限将设计成果文件或资料交付至本项目建设单位指定的地点，相关费用（包括运输、邮寄、电传、关税等费用）已经含于设计费中。</w:t>
      </w:r>
    </w:p>
    <w:p w14:paraId="446A2A08">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在报建过程中需要提供设计成果文件或设计中间资料的电子文档的，中标设计单位应无偿提供。报建费用（除行政事业性收费由甲方负责缴纳外）由设计单位负责，包括购买地形图、管线图纸、加晒加印图纸资料、修详通、报建通编制等，不再单独计取。各阶段的汇报文件和送审文件晒制费用包含在设计费中，不再单独计取。</w:t>
      </w:r>
    </w:p>
    <w:p w14:paraId="37DB435B">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按照设计成果质量审核实施的要求，甲方可根据项目推进情况及重要性，组织相关专家对乙方提供的方案、初步设计（含概算）、节能和绿色建筑咨询及评估工作等设计成果进行评审。甲方根据需要召开的各阶段设计成果（含概算）专家评审/审核会的场地费、专家费、交通费、餐费等相关费用已包含在本合同勘察设计收费里，不另外计取。设计成果（含概算）必须经过乙方内部各专业总工审核（分包的单项设计由乙方统筹负责，所以也要由乙方内部各专业总工审核）方可提交专家评审/审核会。</w:t>
      </w:r>
    </w:p>
    <w:p w14:paraId="71B3DAB7">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建筑节能新技术的应用及设计：包括节能、环保、绿色建筑等专项工程设计。乙方必须按照广州市绿色建筑和建筑节能管理规定开展设计工作提交绿色建筑设计专题报告（包括本项目采用绿建标准进行设计的论证报告及造价分析），确保达到甲方要求的星级标准设计。</w:t>
      </w:r>
    </w:p>
    <w:p w14:paraId="1BDA847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9185E96">
      <w:pPr>
        <w:snapToGrid w:val="0"/>
        <w:spacing w:before="0" w:after="0" w:line="360" w:lineRule="auto"/>
        <w:ind w:firstLine="519" w:firstLineChars="236"/>
        <w:rPr>
          <w:color w:val="auto"/>
          <w:highlight w:val="none"/>
        </w:rPr>
      </w:pPr>
    </w:p>
    <w:p w14:paraId="26F1716B">
      <w:pPr>
        <w:snapToGrid w:val="0"/>
        <w:spacing w:before="0" w:after="0" w:line="360" w:lineRule="auto"/>
        <w:ind w:firstLine="519" w:firstLineChars="236"/>
        <w:rPr>
          <w:color w:val="auto"/>
          <w:highlight w:val="none"/>
        </w:rPr>
      </w:pPr>
    </w:p>
    <w:p w14:paraId="1798CFF1">
      <w:pPr>
        <w:pStyle w:val="2"/>
        <w:snapToGrid w:val="0"/>
        <w:spacing w:line="360" w:lineRule="auto"/>
        <w:ind w:left="0" w:firstLine="0"/>
        <w:jc w:val="center"/>
        <w:rPr>
          <w:color w:val="auto"/>
          <w:highlight w:val="none"/>
        </w:rPr>
      </w:pPr>
      <w:bookmarkStart w:id="63" w:name="_Toc75504397"/>
      <w:bookmarkEnd w:id="63"/>
      <w:bookmarkStart w:id="64" w:name="_Toc215158546"/>
      <w:r>
        <w:rPr>
          <w:rFonts w:ascii="宋体" w:hAnsi="宋体" w:cs="宋体"/>
          <w:color w:val="auto"/>
          <w:highlight w:val="none"/>
        </w:rPr>
        <w:t>附则</w:t>
      </w:r>
      <w:bookmarkEnd w:id="64"/>
    </w:p>
    <w:p w14:paraId="5C6E219F">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1、本设计任务书对于设计技术审查与评审办法、中标实施方案的规定</w:t>
      </w:r>
      <w:r>
        <w:rPr>
          <w:rFonts w:hint="eastAsia" w:ascii="宋体" w:hAnsi="宋体" w:eastAsia="宋体" w:cs="宋体"/>
          <w:color w:val="auto"/>
          <w:sz w:val="24"/>
          <w:highlight w:val="none"/>
        </w:rPr>
        <w:t>以</w:t>
      </w:r>
      <w:r>
        <w:rPr>
          <w:rFonts w:ascii="宋体" w:hAnsi="宋体" w:eastAsia="宋体" w:cs="宋体"/>
          <w:color w:val="auto"/>
          <w:sz w:val="24"/>
          <w:highlight w:val="none"/>
        </w:rPr>
        <w:t>及相关法律责任等方面的规定参照设计招标文件相应内容执行。</w:t>
      </w:r>
    </w:p>
    <w:p w14:paraId="080CBF23">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2、设计成果评审后不予退回。</w:t>
      </w:r>
    </w:p>
    <w:p w14:paraId="6C0D442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3、甲方有权使用实施方案的设计成果，并根据需要要求设计方对选定的实施方案进行调整或修改。</w:t>
      </w:r>
    </w:p>
    <w:p w14:paraId="53FD87D4">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4、投标单位在此前所收到的公告、邀请函、通知等文件内容与本技术文件有矛盾时，以技术文件为准；招标期间由招标组织单位发出的有关投标答疑文件与其它文件内容有矛盾时，以日期较晚的文件为准。</w:t>
      </w:r>
    </w:p>
    <w:p w14:paraId="4050B83E">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14:paraId="73B8EF66">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6、如对本任务书有疑问，按照招标文件的相关规定进行答疑。</w:t>
      </w:r>
    </w:p>
    <w:p w14:paraId="18C503D5">
      <w:pPr>
        <w:snapToGrid w:val="0"/>
        <w:spacing w:before="0" w:after="0"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p w14:paraId="5930CBE2">
      <w:pPr>
        <w:snapToGrid w:val="0"/>
        <w:spacing w:before="0" w:after="0" w:line="360" w:lineRule="auto"/>
        <w:rPr>
          <w:color w:val="auto"/>
          <w:highlight w:val="none"/>
        </w:rPr>
        <w:sectPr>
          <w:pgSz w:w="11906" w:h="16838"/>
          <w:pgMar w:top="1440" w:right="1797" w:bottom="1440" w:left="1797" w:header="851" w:footer="992" w:gutter="0"/>
          <w:cols w:space="0" w:num="1"/>
          <w:docGrid w:type="lines" w:linePitch="387" w:charSpace="0"/>
        </w:sectPr>
      </w:pPr>
    </w:p>
    <w:p w14:paraId="400A7E35">
      <w:pPr>
        <w:snapToGrid w:val="0"/>
        <w:spacing w:before="0" w:after="0" w:line="360" w:lineRule="auto"/>
        <w:rPr>
          <w:color w:val="auto"/>
          <w:highlight w:val="none"/>
        </w:rPr>
      </w:pPr>
    </w:p>
    <w:p w14:paraId="6D98A0AD">
      <w:pPr>
        <w:pStyle w:val="18"/>
        <w:snapToGrid w:val="0"/>
        <w:spacing w:before="240" w:line="360" w:lineRule="auto"/>
        <w:ind w:firstLine="758" w:firstLineChars="236"/>
        <w:outlineLvl w:val="9"/>
        <w:rPr>
          <w:color w:val="auto"/>
          <w:highlight w:val="none"/>
        </w:rPr>
      </w:pPr>
      <w:bookmarkStart w:id="65" w:name="_Toc75504398"/>
      <w:bookmarkEnd w:id="65"/>
      <w:r>
        <w:rPr>
          <w:rFonts w:ascii="宋体" w:hAnsi="宋体" w:eastAsia="宋体" w:cs="宋体"/>
          <w:color w:val="auto"/>
          <w:sz w:val="32"/>
          <w:highlight w:val="none"/>
        </w:rPr>
        <w:t>附件目录</w:t>
      </w:r>
    </w:p>
    <w:p w14:paraId="1358FC7E">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1. 用地红线图（CAD版本）</w:t>
      </w:r>
    </w:p>
    <w:p w14:paraId="57DB3A20">
      <w:pPr>
        <w:snapToGrid w:val="0"/>
        <w:spacing w:before="0" w:after="0" w:line="360" w:lineRule="auto"/>
        <w:ind w:firstLine="566" w:firstLineChars="236"/>
        <w:rPr>
          <w:color w:val="auto"/>
          <w:highlight w:val="none"/>
        </w:rPr>
      </w:pPr>
      <w:r>
        <w:rPr>
          <w:rFonts w:ascii="宋体" w:hAnsi="宋体" w:eastAsia="宋体" w:cs="宋体"/>
          <w:color w:val="auto"/>
          <w:sz w:val="24"/>
          <w:highlight w:val="none"/>
        </w:rPr>
        <w:t>2. 项目规划条件（pdf版）</w:t>
      </w:r>
    </w:p>
    <w:p w14:paraId="1051BAFD">
      <w:pPr>
        <w:rPr>
          <w:color w:val="auto"/>
          <w:highlight w:val="none"/>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140BC"/>
    <w:multiLevelType w:val="multilevel"/>
    <w:tmpl w:val="988140BC"/>
    <w:lvl w:ilvl="0" w:tentative="0">
      <w:start w:val="1"/>
      <w:numFmt w:val="chineseCounting"/>
      <w:pStyle w:val="2"/>
      <w:suff w:val="nothing"/>
      <w:lvlText w:val="第%1章 "/>
      <w:lvlJc w:val="left"/>
      <w:pPr>
        <w:ind w:left="432" w:hanging="432"/>
      </w:pPr>
      <w:rPr>
        <w:rFonts w:hint="eastAsia" w:ascii="宋体" w:hAnsi="宋体" w:eastAsia="宋体" w:cs="宋体"/>
        <w:sz w:val="28"/>
        <w:szCs w:val="28"/>
      </w:rPr>
    </w:lvl>
    <w:lvl w:ilvl="1" w:tentative="0">
      <w:start w:val="1"/>
      <w:numFmt w:val="decimal"/>
      <w:pStyle w:val="3"/>
      <w:isLgl/>
      <w:lvlText w:val="%1.%2."/>
      <w:lvlJc w:val="left"/>
      <w:pPr>
        <w:ind w:left="575" w:hanging="575"/>
      </w:pPr>
      <w:rPr>
        <w:rFonts w:hint="default" w:ascii="宋体" w:hAnsi="宋体" w:eastAsia="宋体" w:cs="宋体"/>
      </w:rPr>
    </w:lvl>
    <w:lvl w:ilvl="2" w:tentative="0">
      <w:start w:val="1"/>
      <w:numFmt w:val="decimal"/>
      <w:pStyle w:val="4"/>
      <w:isLgl/>
      <w:lvlText w:val="%1.%2.%3."/>
      <w:lvlJc w:val="left"/>
      <w:pPr>
        <w:ind w:left="720" w:hanging="720"/>
      </w:pPr>
      <w:rPr>
        <w:rFonts w:hint="default" w:ascii="宋体" w:hAnsi="宋体" w:eastAsia="宋体" w:cs="宋体"/>
        <w:b w:val="0"/>
        <w:bCs w:val="0"/>
        <w:color w:val="auto"/>
        <w:sz w:val="24"/>
        <w:szCs w:val="24"/>
      </w:rPr>
    </w:lvl>
    <w:lvl w:ilvl="3" w:tentative="0">
      <w:start w:val="1"/>
      <w:numFmt w:val="decimal"/>
      <w:pStyle w:val="5"/>
      <w:isLgl/>
      <w:lvlText w:val="%1.%2.%3.%4."/>
      <w:lvlJc w:val="left"/>
      <w:pPr>
        <w:ind w:left="864" w:hanging="864"/>
      </w:pPr>
      <w:rPr>
        <w:rFonts w:hint="default" w:ascii="宋体" w:hAnsi="宋体" w:eastAsia="宋体" w:cs="宋体"/>
        <w:sz w:val="24"/>
        <w:szCs w:val="24"/>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630989EA"/>
    <w:multiLevelType w:val="singleLevel"/>
    <w:tmpl w:val="630989EA"/>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90D61"/>
    <w:rsid w:val="000B62CA"/>
    <w:rsid w:val="0020542B"/>
    <w:rsid w:val="002A53AA"/>
    <w:rsid w:val="002C1B2E"/>
    <w:rsid w:val="002C60DD"/>
    <w:rsid w:val="00363B19"/>
    <w:rsid w:val="003A4B18"/>
    <w:rsid w:val="003B4302"/>
    <w:rsid w:val="0042026C"/>
    <w:rsid w:val="00423692"/>
    <w:rsid w:val="004B1D5E"/>
    <w:rsid w:val="00502162"/>
    <w:rsid w:val="00571AE8"/>
    <w:rsid w:val="005A2F5C"/>
    <w:rsid w:val="005C35DE"/>
    <w:rsid w:val="005E6B6C"/>
    <w:rsid w:val="00626AA2"/>
    <w:rsid w:val="0068574D"/>
    <w:rsid w:val="006C3BE2"/>
    <w:rsid w:val="006E696F"/>
    <w:rsid w:val="0071681D"/>
    <w:rsid w:val="00724667"/>
    <w:rsid w:val="00771282"/>
    <w:rsid w:val="007C7A70"/>
    <w:rsid w:val="007D0541"/>
    <w:rsid w:val="007F3A10"/>
    <w:rsid w:val="00822F7E"/>
    <w:rsid w:val="0088260D"/>
    <w:rsid w:val="008831CA"/>
    <w:rsid w:val="00890FE1"/>
    <w:rsid w:val="008B1A61"/>
    <w:rsid w:val="008D0028"/>
    <w:rsid w:val="0090731C"/>
    <w:rsid w:val="00987BA4"/>
    <w:rsid w:val="009D3E8C"/>
    <w:rsid w:val="009E7FC9"/>
    <w:rsid w:val="009F75EF"/>
    <w:rsid w:val="00A52D16"/>
    <w:rsid w:val="00A85D95"/>
    <w:rsid w:val="00AB1D25"/>
    <w:rsid w:val="00AC2A9B"/>
    <w:rsid w:val="00AD3D80"/>
    <w:rsid w:val="00B13BAC"/>
    <w:rsid w:val="00B40255"/>
    <w:rsid w:val="00B71EEC"/>
    <w:rsid w:val="00B727BA"/>
    <w:rsid w:val="00BE0D57"/>
    <w:rsid w:val="00C33BB4"/>
    <w:rsid w:val="00C46191"/>
    <w:rsid w:val="00C50CF1"/>
    <w:rsid w:val="00CA59E2"/>
    <w:rsid w:val="00D956DD"/>
    <w:rsid w:val="00D96B88"/>
    <w:rsid w:val="00E221DF"/>
    <w:rsid w:val="00F50C8B"/>
    <w:rsid w:val="00F85960"/>
    <w:rsid w:val="0148269D"/>
    <w:rsid w:val="01CB100E"/>
    <w:rsid w:val="025008C3"/>
    <w:rsid w:val="047728CD"/>
    <w:rsid w:val="04B4709D"/>
    <w:rsid w:val="0584760A"/>
    <w:rsid w:val="06A64BF8"/>
    <w:rsid w:val="07011CC2"/>
    <w:rsid w:val="07644792"/>
    <w:rsid w:val="07AE1028"/>
    <w:rsid w:val="090E2789"/>
    <w:rsid w:val="09284798"/>
    <w:rsid w:val="0B0C512F"/>
    <w:rsid w:val="0B7F5D75"/>
    <w:rsid w:val="0D8B3EDF"/>
    <w:rsid w:val="0F104659"/>
    <w:rsid w:val="0F2B6FD9"/>
    <w:rsid w:val="13BA6FDB"/>
    <w:rsid w:val="14C8078D"/>
    <w:rsid w:val="1666025D"/>
    <w:rsid w:val="18256883"/>
    <w:rsid w:val="183C240D"/>
    <w:rsid w:val="18AC3409"/>
    <w:rsid w:val="1A0B7F69"/>
    <w:rsid w:val="1AA24D9F"/>
    <w:rsid w:val="1C4A255E"/>
    <w:rsid w:val="20B70D13"/>
    <w:rsid w:val="21543357"/>
    <w:rsid w:val="21FC7CC7"/>
    <w:rsid w:val="237844F1"/>
    <w:rsid w:val="27FBD2E2"/>
    <w:rsid w:val="28346E65"/>
    <w:rsid w:val="28DA2E89"/>
    <w:rsid w:val="2A0A5C85"/>
    <w:rsid w:val="2A4254F9"/>
    <w:rsid w:val="2A677CA8"/>
    <w:rsid w:val="2C15108D"/>
    <w:rsid w:val="2D1F32F4"/>
    <w:rsid w:val="2DF27A16"/>
    <w:rsid w:val="302C48AB"/>
    <w:rsid w:val="31C76C46"/>
    <w:rsid w:val="323B4D81"/>
    <w:rsid w:val="33112893"/>
    <w:rsid w:val="34B70380"/>
    <w:rsid w:val="3AE174A3"/>
    <w:rsid w:val="3DD27E37"/>
    <w:rsid w:val="401B3861"/>
    <w:rsid w:val="42863347"/>
    <w:rsid w:val="43446334"/>
    <w:rsid w:val="44A84E71"/>
    <w:rsid w:val="477DCE1E"/>
    <w:rsid w:val="4A7144FF"/>
    <w:rsid w:val="4D1C287E"/>
    <w:rsid w:val="51054EEC"/>
    <w:rsid w:val="55F04E72"/>
    <w:rsid w:val="56250663"/>
    <w:rsid w:val="573E1E21"/>
    <w:rsid w:val="592759BD"/>
    <w:rsid w:val="5A0B517B"/>
    <w:rsid w:val="5B487E91"/>
    <w:rsid w:val="5BF208CF"/>
    <w:rsid w:val="5C922E09"/>
    <w:rsid w:val="5CF9550F"/>
    <w:rsid w:val="5D137698"/>
    <w:rsid w:val="5E801448"/>
    <w:rsid w:val="5EFEBDE8"/>
    <w:rsid w:val="62C47A88"/>
    <w:rsid w:val="63407AA7"/>
    <w:rsid w:val="68CA2609"/>
    <w:rsid w:val="68CC1AED"/>
    <w:rsid w:val="69BB0F42"/>
    <w:rsid w:val="6A637494"/>
    <w:rsid w:val="6AB93C00"/>
    <w:rsid w:val="6BCF62E6"/>
    <w:rsid w:val="6CD3A16D"/>
    <w:rsid w:val="6D535020"/>
    <w:rsid w:val="6E2D792F"/>
    <w:rsid w:val="6E5F49A6"/>
    <w:rsid w:val="6ECB111E"/>
    <w:rsid w:val="6FFF37D2"/>
    <w:rsid w:val="707F2C23"/>
    <w:rsid w:val="70DE2EF1"/>
    <w:rsid w:val="73630C39"/>
    <w:rsid w:val="7567044C"/>
    <w:rsid w:val="768C44EF"/>
    <w:rsid w:val="795744AD"/>
    <w:rsid w:val="7C5F4108"/>
    <w:rsid w:val="7D576E43"/>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宋体"/>
      <w:b/>
      <w:kern w:val="44"/>
      <w:sz w:val="32"/>
    </w:rPr>
  </w:style>
  <w:style w:type="paragraph" w:styleId="3">
    <w:name w:val="heading 2"/>
    <w:basedOn w:val="1"/>
    <w:next w:val="1"/>
    <w:qFormat/>
    <w:uiPriority w:val="0"/>
    <w:pPr>
      <w:keepNext/>
      <w:keepLines/>
      <w:numPr>
        <w:ilvl w:val="1"/>
        <w:numId w:val="1"/>
      </w:numPr>
      <w:outlineLvl w:val="1"/>
    </w:pPr>
    <w:rPr>
      <w:rFonts w:eastAsia="宋体"/>
      <w:sz w:val="32"/>
    </w:rPr>
  </w:style>
  <w:style w:type="paragraph" w:styleId="4">
    <w:name w:val="heading 3"/>
    <w:basedOn w:val="1"/>
    <w:next w:val="1"/>
    <w:qFormat/>
    <w:uiPriority w:val="0"/>
    <w:pPr>
      <w:keepNext/>
      <w:keepLines/>
      <w:numPr>
        <w:ilvl w:val="2"/>
        <w:numId w:val="1"/>
      </w:numPr>
      <w:outlineLvl w:val="2"/>
    </w:pPr>
    <w:rPr>
      <w:b/>
      <w:sz w:val="28"/>
    </w:rPr>
  </w:style>
  <w:style w:type="paragraph" w:styleId="5">
    <w:name w:val="heading 4"/>
    <w:basedOn w:val="1"/>
    <w:next w:val="1"/>
    <w:qFormat/>
    <w:uiPriority w:val="0"/>
    <w:pPr>
      <w:keepNext/>
      <w:keepLines/>
      <w:numPr>
        <w:ilvl w:val="3"/>
        <w:numId w:val="1"/>
      </w:numPr>
      <w:outlineLvl w:val="3"/>
    </w:pPr>
    <w:rPr>
      <w:b/>
      <w:sz w:val="24"/>
    </w:rPr>
  </w:style>
  <w:style w:type="paragraph" w:styleId="6">
    <w:name w:val="heading 5"/>
    <w:basedOn w:val="1"/>
    <w:next w:val="1"/>
    <w:qFormat/>
    <w:uiPriority w:val="0"/>
    <w:pPr>
      <w:keepNext/>
      <w:keepLines/>
      <w:numPr>
        <w:ilvl w:val="4"/>
        <w:numId w:val="1"/>
      </w:numPr>
      <w:spacing w:line="480" w:lineRule="auto"/>
      <w:outlineLvl w:val="4"/>
    </w:pPr>
    <w:rPr>
      <w:b/>
    </w:rPr>
  </w:style>
  <w:style w:type="paragraph" w:styleId="7">
    <w:name w:val="heading 6"/>
    <w:basedOn w:val="1"/>
    <w:next w:val="1"/>
    <w:qFormat/>
    <w:uiPriority w:val="0"/>
    <w:pPr>
      <w:keepNext/>
      <w:keepLines/>
      <w:numPr>
        <w:ilvl w:val="5"/>
        <w:numId w:val="1"/>
      </w:numPr>
      <w:spacing w:line="480" w:lineRule="auto"/>
      <w:outlineLvl w:val="5"/>
    </w:pPr>
    <w:rPr>
      <w:b/>
    </w:rPr>
  </w:style>
  <w:style w:type="paragraph" w:styleId="8">
    <w:name w:val="heading 7"/>
    <w:basedOn w:val="1"/>
    <w:next w:val="1"/>
    <w:unhideWhenUsed/>
    <w:qFormat/>
    <w:uiPriority w:val="0"/>
    <w:pPr>
      <w:keepNext/>
      <w:keepLines/>
      <w:numPr>
        <w:ilvl w:val="6"/>
        <w:numId w:val="1"/>
      </w:numPr>
      <w:spacing w:line="480" w:lineRule="auto"/>
      <w:outlineLvl w:val="6"/>
    </w:pPr>
    <w:rPr>
      <w:b/>
    </w:rPr>
  </w:style>
  <w:style w:type="paragraph" w:styleId="9">
    <w:name w:val="heading 8"/>
    <w:basedOn w:val="1"/>
    <w:next w:val="1"/>
    <w:unhideWhenUsed/>
    <w:qFormat/>
    <w:uiPriority w:val="0"/>
    <w:pPr>
      <w:keepNext/>
      <w:keepLines/>
      <w:numPr>
        <w:ilvl w:val="7"/>
        <w:numId w:val="1"/>
      </w:numPr>
      <w:spacing w:line="480" w:lineRule="auto"/>
      <w:outlineLvl w:val="7"/>
    </w:pPr>
    <w:rPr>
      <w:b/>
    </w:rPr>
  </w:style>
  <w:style w:type="paragraph" w:styleId="10">
    <w:name w:val="heading 9"/>
    <w:basedOn w:val="1"/>
    <w:next w:val="1"/>
    <w:unhideWhenUsed/>
    <w:qFormat/>
    <w:uiPriority w:val="0"/>
    <w:pPr>
      <w:keepNext/>
      <w:keepLines/>
      <w:numPr>
        <w:ilvl w:val="8"/>
        <w:numId w:val="1"/>
      </w:numPr>
      <w:spacing w:line="480" w:lineRule="auto"/>
      <w:outlineLvl w:val="8"/>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9"/>
    <w:qFormat/>
    <w:uiPriority w:val="0"/>
    <w:pPr>
      <w:jc w:val="left"/>
    </w:pPr>
  </w:style>
  <w:style w:type="paragraph" w:styleId="12">
    <w:name w:val="toc 8"/>
    <w:basedOn w:val="1"/>
    <w:next w:val="1"/>
    <w:autoRedefine/>
    <w:qFormat/>
    <w:uiPriority w:val="99"/>
    <w:pPr>
      <w:ind w:left="2940" w:leftChars="1400"/>
    </w:pPr>
  </w:style>
  <w:style w:type="paragraph" w:styleId="13">
    <w:name w:val="footer"/>
    <w:basedOn w:val="1"/>
    <w:qFormat/>
    <w:uiPriority w:val="0"/>
    <w:pPr>
      <w:tabs>
        <w:tab w:val="center" w:pos="4153"/>
        <w:tab w:val="right" w:pos="8306"/>
      </w:tabs>
      <w:snapToGrid w:val="0"/>
      <w:jc w:val="center"/>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25"/>
    <w:qFormat/>
    <w:uiPriority w:val="0"/>
    <w:pPr>
      <w:jc w:val="center"/>
      <w:outlineLvl w:val="1"/>
    </w:pPr>
    <w:rPr>
      <w:rFonts w:cstheme="minorBidi"/>
      <w:b/>
      <w:bCs/>
      <w:kern w:val="28"/>
      <w:sz w:val="44"/>
      <w:szCs w:val="32"/>
    </w:rPr>
  </w:style>
  <w:style w:type="paragraph" w:styleId="17">
    <w:name w:val="toc 2"/>
    <w:basedOn w:val="1"/>
    <w:next w:val="1"/>
    <w:qFormat/>
    <w:uiPriority w:val="39"/>
    <w:pPr>
      <w:ind w:left="420" w:leftChars="200"/>
    </w:pPr>
  </w:style>
  <w:style w:type="paragraph" w:styleId="18">
    <w:name w:val="Title"/>
    <w:basedOn w:val="1"/>
    <w:next w:val="1"/>
    <w:link w:val="26"/>
    <w:qFormat/>
    <w:uiPriority w:val="0"/>
    <w:pPr>
      <w:jc w:val="center"/>
      <w:outlineLvl w:val="0"/>
    </w:pPr>
    <w:rPr>
      <w:rFonts w:cstheme="majorBidi"/>
      <w:b/>
      <w:bCs/>
      <w:sz w:val="48"/>
      <w:szCs w:val="32"/>
    </w:rPr>
  </w:style>
  <w:style w:type="paragraph" w:styleId="19">
    <w:name w:val="annotation subject"/>
    <w:basedOn w:val="11"/>
    <w:next w:val="11"/>
    <w:link w:val="30"/>
    <w:qFormat/>
    <w:uiPriority w:val="0"/>
    <w:rPr>
      <w:b/>
      <w:bCs/>
    </w:rPr>
  </w:style>
  <w:style w:type="table" w:styleId="21">
    <w:name w:val="Table Grid"/>
    <w:basedOn w:val="20"/>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3">
    <w:name w:val="Hyperlink"/>
    <w:basedOn w:val="22"/>
    <w:qFormat/>
    <w:uiPriority w:val="99"/>
    <w:rPr>
      <w:color w:val="1E6FFF"/>
      <w:u w:val="single"/>
    </w:rPr>
  </w:style>
  <w:style w:type="character" w:styleId="24">
    <w:name w:val="annotation reference"/>
    <w:basedOn w:val="22"/>
    <w:qFormat/>
    <w:uiPriority w:val="0"/>
    <w:rPr>
      <w:sz w:val="21"/>
      <w:szCs w:val="21"/>
    </w:rPr>
  </w:style>
  <w:style w:type="character" w:customStyle="1" w:styleId="25">
    <w:name w:val="副标题 字符"/>
    <w:basedOn w:val="22"/>
    <w:link w:val="16"/>
    <w:qFormat/>
    <w:uiPriority w:val="0"/>
    <w:rPr>
      <w:rFonts w:ascii="Arial" w:hAnsi="Arial" w:eastAsia="微软雅黑" w:cstheme="minorBidi"/>
      <w:b/>
      <w:bCs/>
      <w:kern w:val="28"/>
      <w:sz w:val="44"/>
      <w:szCs w:val="32"/>
    </w:rPr>
  </w:style>
  <w:style w:type="character" w:customStyle="1" w:styleId="26">
    <w:name w:val="标题 字符"/>
    <w:basedOn w:val="22"/>
    <w:link w:val="18"/>
    <w:qFormat/>
    <w:uiPriority w:val="0"/>
    <w:rPr>
      <w:rFonts w:ascii="Arial" w:hAnsi="Arial" w:eastAsia="微软雅黑" w:cstheme="majorBidi"/>
      <w:b/>
      <w:bCs/>
      <w:kern w:val="2"/>
      <w:sz w:val="48"/>
      <w:szCs w:val="32"/>
    </w:rPr>
  </w:style>
  <w:style w:type="paragraph" w:customStyle="1" w:styleId="27">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8">
    <w:name w:val="melo-codeblock-Base-theme-char"/>
    <w:qFormat/>
    <w:uiPriority w:val="99"/>
    <w:rPr>
      <w:rFonts w:ascii="Monaco" w:hAnsi="Monaco" w:eastAsia="Monaco" w:cs="Monaco"/>
      <w:color w:val="000000"/>
      <w:sz w:val="21"/>
    </w:rPr>
  </w:style>
  <w:style w:type="character" w:customStyle="1" w:styleId="29">
    <w:name w:val="批注文字 字符"/>
    <w:basedOn w:val="22"/>
    <w:link w:val="11"/>
    <w:qFormat/>
    <w:uiPriority w:val="0"/>
    <w:rPr>
      <w:color w:val="333333"/>
      <w:kern w:val="2"/>
      <w:sz w:val="22"/>
      <w:szCs w:val="24"/>
    </w:rPr>
  </w:style>
  <w:style w:type="character" w:customStyle="1" w:styleId="30">
    <w:name w:val="批注主题 字符"/>
    <w:basedOn w:val="29"/>
    <w:link w:val="19"/>
    <w:qFormat/>
    <w:uiPriority w:val="0"/>
    <w:rPr>
      <w:b/>
      <w:bCs/>
      <w:color w:val="333333"/>
      <w:kern w:val="2"/>
      <w:sz w:val="22"/>
      <w:szCs w:val="24"/>
    </w:rPr>
  </w:style>
  <w:style w:type="paragraph" w:customStyle="1" w:styleId="31">
    <w:name w:val="修订1"/>
    <w:hidden/>
    <w:unhideWhenUsed/>
    <w:qFormat/>
    <w:uiPriority w:val="99"/>
    <w:rPr>
      <w:rFonts w:ascii="Arial" w:hAnsi="Arial" w:eastAsia="微软雅黑" w:cs="Arial"/>
      <w:color w:val="333333"/>
      <w:kern w:val="2"/>
      <w:sz w:val="22"/>
      <w:szCs w:val="24"/>
      <w:lang w:val="en-US" w:eastAsia="zh-CN" w:bidi="ar-SA"/>
    </w:rPr>
  </w:style>
  <w:style w:type="paragraph" w:customStyle="1" w:styleId="32">
    <w:name w:val="修订2"/>
    <w:hidden/>
    <w:unhideWhenUsed/>
    <w:qFormat/>
    <w:uiPriority w:val="99"/>
    <w:rPr>
      <w:rFonts w:ascii="Arial" w:hAnsi="Arial" w:eastAsia="微软雅黑" w:cs="Arial"/>
      <w:color w:val="333333"/>
      <w:kern w:val="2"/>
      <w:sz w:val="2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18371</Words>
  <Characters>18977</Characters>
  <Lines>630</Lines>
  <Paragraphs>660</Paragraphs>
  <TotalTime>0</TotalTime>
  <ScaleCrop>false</ScaleCrop>
  <LinksUpToDate>false</LinksUpToDate>
  <CharactersWithSpaces>19154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2025-11-27T09:55:00Z</dcterms:created>
  <dc:creator>Administrator</dc:creator>
  <cp:lastModifiedBy>..</cp:lastModifiedBy>
  <dcterms:modified xsi:type="dcterms:W3CDTF">2025-12-08T05:16:27Z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eyJoZGlkIjoiYTZlMWU3M2ViM2NmNDIwYTQ3NzM1N2UxYTgxMzBkM2YiLCJ1c2VySWQiOiIzODM2MzE0MjYifQ==</vt:lpwstr>
  </property>
  <property fmtid="{D5CDD505-2E9C-101B-9397-08002B2CF9AE}" pid="3" name="KSOProductBuildVer">
    <vt:lpwstr>2052-12.1.0.24034</vt:lpwstr>
  </property>
  <property fmtid="{D5CDD505-2E9C-101B-9397-08002B2CF9AE}" pid="4" name="ICV">
    <vt:lpwstr>C534A9669AB4421C913E1B6D73948359_13</vt:lpwstr>
  </property>
</Properties>
</file>