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E5F40">
      <w:pPr>
        <w:bidi w:val="0"/>
        <w:rPr>
          <w:rFonts w:hint="eastAsia"/>
          <w:color w:val="auto"/>
          <w:highlight w:val="none"/>
          <w:lang w:eastAsia="zh-CN"/>
        </w:rPr>
      </w:pPr>
    </w:p>
    <w:p w14:paraId="44AD33B3">
      <w:pPr>
        <w:pStyle w:val="11"/>
        <w:ind w:left="0"/>
        <w:jc w:val="center"/>
        <w:rPr>
          <w:rFonts w:hint="eastAsia"/>
          <w:color w:val="auto"/>
          <w:spacing w:val="-1"/>
          <w:highlight w:val="none"/>
          <w:lang w:eastAsia="zh-CN"/>
        </w:rPr>
      </w:pPr>
    </w:p>
    <w:p w14:paraId="6245968F">
      <w:pPr>
        <w:adjustRightInd w:val="0"/>
        <w:snapToGrid w:val="0"/>
        <w:spacing w:line="360" w:lineRule="auto"/>
        <w:jc w:val="center"/>
        <w:rPr>
          <w:rFonts w:hint="eastAsia" w:ascii="宋体" w:hAnsi="宋体"/>
          <w:b/>
          <w:color w:val="auto"/>
          <w:sz w:val="48"/>
          <w:szCs w:val="48"/>
          <w:highlight w:val="none"/>
          <w:lang w:eastAsia="zh-CN"/>
        </w:rPr>
      </w:pPr>
    </w:p>
    <w:p w14:paraId="64D9FE7D">
      <w:pPr>
        <w:pStyle w:val="11"/>
        <w:spacing w:after="0"/>
        <w:jc w:val="center"/>
        <w:rPr>
          <w:rFonts w:hint="eastAsia"/>
          <w:b/>
          <w:bCs/>
          <w:color w:val="auto"/>
          <w:sz w:val="44"/>
          <w:szCs w:val="44"/>
          <w:highlight w:val="none"/>
          <w:lang w:eastAsia="zh-CN"/>
        </w:rPr>
      </w:pPr>
      <w:r>
        <w:rPr>
          <w:rFonts w:hint="eastAsia"/>
          <w:b/>
          <w:bCs/>
          <w:color w:val="auto"/>
          <w:sz w:val="44"/>
          <w:szCs w:val="44"/>
          <w:highlight w:val="none"/>
          <w:lang w:eastAsia="zh-CN"/>
        </w:rPr>
        <w:t>天河区元岗村城中村改造项目AT0206007地块（即YG8号地块）勘察和初步设计</w:t>
      </w:r>
    </w:p>
    <w:p w14:paraId="7C5862F5">
      <w:pPr>
        <w:adjustRightInd w:val="0"/>
        <w:snapToGrid w:val="0"/>
        <w:jc w:val="center"/>
        <w:rPr>
          <w:rFonts w:hint="eastAsia" w:ascii="宋体" w:hAnsi="宋体"/>
          <w:b/>
          <w:color w:val="auto"/>
          <w:sz w:val="48"/>
          <w:szCs w:val="48"/>
          <w:highlight w:val="none"/>
          <w:lang w:eastAsia="zh-CN"/>
        </w:rPr>
      </w:pPr>
    </w:p>
    <w:p w14:paraId="6AC579CA">
      <w:pPr>
        <w:pStyle w:val="27"/>
        <w:spacing w:after="0"/>
        <w:ind w:left="440" w:firstLine="964"/>
        <w:rPr>
          <w:rFonts w:hint="eastAsia" w:ascii="宋体" w:hAnsi="宋体"/>
          <w:b/>
          <w:color w:val="auto"/>
          <w:sz w:val="48"/>
          <w:szCs w:val="48"/>
          <w:highlight w:val="none"/>
          <w:lang w:eastAsia="zh-CN"/>
        </w:rPr>
      </w:pPr>
    </w:p>
    <w:p w14:paraId="27F4B708">
      <w:pPr>
        <w:pStyle w:val="27"/>
        <w:spacing w:after="0"/>
        <w:ind w:left="440" w:firstLine="964"/>
        <w:rPr>
          <w:rFonts w:hint="eastAsia" w:ascii="宋体" w:hAnsi="宋体"/>
          <w:b/>
          <w:color w:val="auto"/>
          <w:sz w:val="48"/>
          <w:szCs w:val="48"/>
          <w:highlight w:val="none"/>
          <w:lang w:eastAsia="zh-CN"/>
        </w:rPr>
      </w:pPr>
    </w:p>
    <w:p w14:paraId="4B284EB6">
      <w:pPr>
        <w:adjustRightInd w:val="0"/>
        <w:snapToGrid w:val="0"/>
        <w:spacing w:line="360" w:lineRule="auto"/>
        <w:jc w:val="center"/>
        <w:rPr>
          <w:rFonts w:hint="eastAsia" w:ascii="华文中宋" w:hAnsi="华文中宋" w:eastAsia="华文中宋"/>
          <w:b/>
          <w:bCs/>
          <w:snapToGrid w:val="0"/>
          <w:color w:val="auto"/>
          <w:sz w:val="84"/>
          <w:szCs w:val="84"/>
          <w:highlight w:val="none"/>
          <w:lang w:eastAsia="zh-CN"/>
        </w:rPr>
      </w:pPr>
      <w:r>
        <w:rPr>
          <w:rFonts w:hint="eastAsia" w:ascii="华文中宋" w:hAnsi="华文中宋" w:eastAsia="华文中宋"/>
          <w:b/>
          <w:bCs/>
          <w:snapToGrid w:val="0"/>
          <w:color w:val="auto"/>
          <w:sz w:val="84"/>
          <w:szCs w:val="84"/>
          <w:highlight w:val="none"/>
          <w:lang w:eastAsia="zh-CN"/>
        </w:rPr>
        <w:t>合 同 书</w:t>
      </w:r>
    </w:p>
    <w:p w14:paraId="782A07B3">
      <w:pPr>
        <w:adjustRightInd w:val="0"/>
        <w:snapToGrid w:val="0"/>
        <w:spacing w:line="360" w:lineRule="auto"/>
        <w:ind w:firstLine="2233" w:firstLineChars="695"/>
        <w:jc w:val="both"/>
        <w:rPr>
          <w:rFonts w:hint="eastAsia" w:ascii="宋体" w:hAnsi="宋体" w:eastAsia="宋体"/>
          <w:b/>
          <w:bCs/>
          <w:snapToGrid w:val="0"/>
          <w:color w:val="auto"/>
          <w:sz w:val="32"/>
          <w:szCs w:val="32"/>
          <w:highlight w:val="none"/>
          <w:lang w:eastAsia="zh-CN"/>
        </w:rPr>
      </w:pPr>
    </w:p>
    <w:p w14:paraId="759CFA65">
      <w:pPr>
        <w:adjustRightInd w:val="0"/>
        <w:snapToGrid w:val="0"/>
        <w:spacing w:line="360" w:lineRule="auto"/>
        <w:ind w:firstLine="2233" w:firstLineChars="695"/>
        <w:jc w:val="both"/>
        <w:rPr>
          <w:rFonts w:hint="eastAsia" w:ascii="宋体" w:hAnsi="宋体" w:eastAsia="宋体"/>
          <w:b/>
          <w:bCs/>
          <w:snapToGrid w:val="0"/>
          <w:color w:val="auto"/>
          <w:sz w:val="32"/>
          <w:szCs w:val="32"/>
          <w:highlight w:val="none"/>
          <w:lang w:eastAsia="zh-CN"/>
        </w:rPr>
      </w:pPr>
    </w:p>
    <w:p w14:paraId="49231C98">
      <w:pPr>
        <w:adjustRightInd w:val="0"/>
        <w:snapToGrid w:val="0"/>
        <w:spacing w:line="360" w:lineRule="auto"/>
        <w:ind w:firstLine="2233" w:firstLineChars="695"/>
        <w:jc w:val="both"/>
        <w:rPr>
          <w:rFonts w:hint="eastAsia" w:ascii="宋体" w:hAnsi="宋体" w:eastAsia="宋体"/>
          <w:b/>
          <w:bCs/>
          <w:snapToGrid w:val="0"/>
          <w:color w:val="auto"/>
          <w:sz w:val="32"/>
          <w:szCs w:val="32"/>
          <w:highlight w:val="none"/>
          <w:lang w:eastAsia="zh-CN"/>
        </w:rPr>
      </w:pPr>
      <w:r>
        <w:rPr>
          <w:rFonts w:hint="eastAsia" w:ascii="宋体" w:hAnsi="宋体" w:eastAsia="宋体"/>
          <w:b/>
          <w:bCs/>
          <w:snapToGrid w:val="0"/>
          <w:color w:val="auto"/>
          <w:sz w:val="32"/>
          <w:szCs w:val="32"/>
          <w:highlight w:val="none"/>
          <w:lang w:eastAsia="zh-CN"/>
        </w:rPr>
        <w:t xml:space="preserve">合同编号： </w:t>
      </w:r>
    </w:p>
    <w:p w14:paraId="65DEFB20">
      <w:pPr>
        <w:adjustRightInd w:val="0"/>
        <w:snapToGrid w:val="0"/>
        <w:spacing w:line="360" w:lineRule="auto"/>
        <w:ind w:firstLine="2233" w:firstLineChars="695"/>
        <w:jc w:val="both"/>
        <w:rPr>
          <w:rFonts w:hint="eastAsia" w:ascii="宋体" w:hAnsi="宋体" w:eastAsia="宋体"/>
          <w:b/>
          <w:snapToGrid w:val="0"/>
          <w:color w:val="auto"/>
          <w:sz w:val="32"/>
          <w:szCs w:val="32"/>
          <w:highlight w:val="none"/>
          <w:u w:val="single"/>
          <w:lang w:eastAsia="zh-CN"/>
        </w:rPr>
      </w:pPr>
      <w:r>
        <w:rPr>
          <w:rFonts w:hint="eastAsia" w:ascii="宋体" w:hAnsi="宋体" w:eastAsia="宋体"/>
          <w:b/>
          <w:bCs/>
          <w:snapToGrid w:val="0"/>
          <w:color w:val="auto"/>
          <w:sz w:val="32"/>
          <w:szCs w:val="32"/>
          <w:highlight w:val="none"/>
          <w:lang w:eastAsia="zh-CN"/>
        </w:rPr>
        <w:t>工程编码：</w:t>
      </w:r>
    </w:p>
    <w:p w14:paraId="687BB07C">
      <w:pPr>
        <w:adjustRightInd w:val="0"/>
        <w:snapToGrid w:val="0"/>
        <w:spacing w:line="360" w:lineRule="auto"/>
        <w:jc w:val="center"/>
        <w:rPr>
          <w:rFonts w:hint="eastAsia" w:ascii="宋体" w:hAnsi="宋体" w:eastAsia="宋体"/>
          <w:snapToGrid w:val="0"/>
          <w:color w:val="auto"/>
          <w:sz w:val="24"/>
          <w:szCs w:val="24"/>
          <w:highlight w:val="none"/>
          <w:lang w:eastAsia="zh-CN"/>
        </w:rPr>
      </w:pPr>
    </w:p>
    <w:p w14:paraId="135D6DBD">
      <w:pPr>
        <w:pStyle w:val="27"/>
        <w:spacing w:after="0"/>
        <w:ind w:left="440" w:firstLine="400"/>
        <w:rPr>
          <w:rFonts w:hint="eastAsia" w:eastAsia="宋体"/>
          <w:color w:val="auto"/>
          <w:highlight w:val="none"/>
          <w:lang w:eastAsia="zh-CN"/>
        </w:rPr>
      </w:pPr>
    </w:p>
    <w:p w14:paraId="28511C53">
      <w:pPr>
        <w:pStyle w:val="27"/>
        <w:spacing w:after="0"/>
        <w:ind w:left="440" w:firstLine="400"/>
        <w:rPr>
          <w:rFonts w:hint="eastAsia" w:eastAsia="宋体"/>
          <w:color w:val="auto"/>
          <w:highlight w:val="none"/>
          <w:lang w:eastAsia="zh-CN"/>
        </w:rPr>
      </w:pPr>
    </w:p>
    <w:p w14:paraId="71385E45">
      <w:pPr>
        <w:pStyle w:val="27"/>
        <w:spacing w:after="0"/>
        <w:ind w:left="440" w:firstLine="400"/>
        <w:rPr>
          <w:rFonts w:hint="eastAsia" w:eastAsia="宋体"/>
          <w:color w:val="auto"/>
          <w:highlight w:val="none"/>
          <w:lang w:eastAsia="zh-CN"/>
        </w:rPr>
      </w:pPr>
    </w:p>
    <w:p w14:paraId="4ED41E15">
      <w:pPr>
        <w:adjustRightInd w:val="0"/>
        <w:snapToGrid w:val="0"/>
        <w:spacing w:line="360" w:lineRule="auto"/>
        <w:jc w:val="both"/>
        <w:rPr>
          <w:rFonts w:hint="eastAsia" w:ascii="宋体" w:hAnsi="宋体" w:eastAsia="宋体"/>
          <w:snapToGrid w:val="0"/>
          <w:color w:val="auto"/>
          <w:sz w:val="24"/>
          <w:szCs w:val="24"/>
          <w:highlight w:val="none"/>
          <w:lang w:eastAsia="zh-CN"/>
        </w:rPr>
      </w:pPr>
    </w:p>
    <w:p w14:paraId="45122A10">
      <w:pPr>
        <w:adjustRightInd w:val="0"/>
        <w:snapToGrid w:val="0"/>
        <w:spacing w:line="360" w:lineRule="auto"/>
        <w:jc w:val="both"/>
        <w:rPr>
          <w:rFonts w:hint="eastAsia" w:ascii="宋体" w:hAnsi="宋体" w:eastAsia="宋体"/>
          <w:snapToGrid w:val="0"/>
          <w:color w:val="auto"/>
          <w:sz w:val="24"/>
          <w:szCs w:val="24"/>
          <w:highlight w:val="none"/>
          <w:lang w:eastAsia="zh-CN"/>
        </w:rPr>
      </w:pPr>
    </w:p>
    <w:p w14:paraId="0E980FCE">
      <w:pPr>
        <w:adjustRightInd w:val="0"/>
        <w:snapToGrid w:val="0"/>
        <w:spacing w:line="360" w:lineRule="auto"/>
        <w:ind w:left="0" w:leftChars="0" w:firstLine="662" w:firstLineChars="206"/>
        <w:jc w:val="both"/>
        <w:rPr>
          <w:rFonts w:hint="eastAsia" w:ascii="宋体" w:hAnsi="宋体" w:eastAsia="宋体"/>
          <w:b/>
          <w:bCs/>
          <w:snapToGrid w:val="0"/>
          <w:color w:val="auto"/>
          <w:sz w:val="32"/>
          <w:szCs w:val="32"/>
          <w:highlight w:val="none"/>
          <w:lang w:eastAsia="zh-CN"/>
        </w:rPr>
      </w:pPr>
      <w:r>
        <w:rPr>
          <w:rFonts w:hint="eastAsia" w:ascii="宋体" w:hAnsi="宋体" w:eastAsia="宋体"/>
          <w:b/>
          <w:bCs/>
          <w:snapToGrid w:val="0"/>
          <w:color w:val="auto"/>
          <w:sz w:val="32"/>
          <w:szCs w:val="32"/>
          <w:highlight w:val="none"/>
          <w:lang w:eastAsia="zh-CN"/>
        </w:rPr>
        <w:t>甲方（发包人）：</w:t>
      </w:r>
      <w:r>
        <w:rPr>
          <w:rFonts w:hint="eastAsia" w:ascii="宋体" w:hAnsi="宋体" w:eastAsia="宋体" w:cs="宋体"/>
          <w:b/>
          <w:color w:val="auto"/>
          <w:sz w:val="32"/>
          <w:szCs w:val="32"/>
          <w:highlight w:val="none"/>
          <w:lang w:eastAsia="zh-CN"/>
        </w:rPr>
        <w:t>广州环五山创新策源区元岗城市更新有限公司</w:t>
      </w:r>
    </w:p>
    <w:p w14:paraId="7BF6CF9A">
      <w:pPr>
        <w:adjustRightInd w:val="0"/>
        <w:snapToGrid w:val="0"/>
        <w:spacing w:line="360" w:lineRule="auto"/>
        <w:ind w:left="0" w:leftChars="0" w:firstLine="662" w:firstLineChars="206"/>
        <w:jc w:val="both"/>
        <w:rPr>
          <w:rFonts w:hint="eastAsia" w:ascii="宋体" w:hAnsi="宋体" w:eastAsia="宋体"/>
          <w:b/>
          <w:bCs/>
          <w:snapToGrid w:val="0"/>
          <w:color w:val="auto"/>
          <w:sz w:val="32"/>
          <w:szCs w:val="32"/>
          <w:highlight w:val="none"/>
          <w:lang w:eastAsia="zh-CN"/>
        </w:rPr>
      </w:pPr>
      <w:r>
        <w:rPr>
          <w:rFonts w:hint="eastAsia" w:ascii="宋体" w:hAnsi="宋体" w:eastAsia="宋体"/>
          <w:b/>
          <w:bCs/>
          <w:snapToGrid w:val="0"/>
          <w:color w:val="auto"/>
          <w:sz w:val="32"/>
          <w:szCs w:val="32"/>
          <w:highlight w:val="none"/>
          <w:lang w:eastAsia="zh-CN"/>
        </w:rPr>
        <w:t xml:space="preserve">乙方（承包人）： </w:t>
      </w:r>
    </w:p>
    <w:p w14:paraId="5BEA0CF8">
      <w:pPr>
        <w:adjustRightInd w:val="0"/>
        <w:snapToGrid w:val="0"/>
        <w:spacing w:line="360" w:lineRule="auto"/>
        <w:ind w:firstLine="540" w:firstLineChars="168"/>
        <w:jc w:val="both"/>
        <w:rPr>
          <w:rFonts w:hint="eastAsia" w:ascii="宋体" w:hAnsi="宋体" w:eastAsia="宋体"/>
          <w:b/>
          <w:bCs/>
          <w:snapToGrid w:val="0"/>
          <w:color w:val="auto"/>
          <w:sz w:val="32"/>
          <w:szCs w:val="32"/>
          <w:highlight w:val="none"/>
          <w:lang w:eastAsia="zh-CN"/>
        </w:rPr>
      </w:pPr>
    </w:p>
    <w:p w14:paraId="35E34E3D">
      <w:pPr>
        <w:pStyle w:val="27"/>
        <w:spacing w:after="0"/>
        <w:ind w:left="440" w:firstLine="400"/>
        <w:rPr>
          <w:color w:val="auto"/>
          <w:highlight w:val="none"/>
          <w:lang w:eastAsia="zh-CN"/>
        </w:rPr>
      </w:pPr>
    </w:p>
    <w:p w14:paraId="4E5B98B3">
      <w:pPr>
        <w:adjustRightInd w:val="0"/>
        <w:snapToGrid w:val="0"/>
        <w:spacing w:line="360" w:lineRule="auto"/>
        <w:jc w:val="center"/>
        <w:rPr>
          <w:rFonts w:hint="eastAsia" w:ascii="宋体" w:hAnsi="宋体" w:eastAsia="宋体"/>
          <w:b/>
          <w:bCs/>
          <w:snapToGrid w:val="0"/>
          <w:color w:val="auto"/>
          <w:sz w:val="44"/>
          <w:szCs w:val="44"/>
          <w:highlight w:val="none"/>
          <w:lang w:eastAsia="zh-CN"/>
        </w:rPr>
      </w:pPr>
      <w:bookmarkStart w:id="0" w:name="_Toc115711396"/>
      <w:r>
        <w:rPr>
          <w:rFonts w:hint="eastAsia" w:ascii="宋体" w:hAnsi="宋体" w:eastAsia="宋体"/>
          <w:b/>
          <w:bCs/>
          <w:snapToGrid w:val="0"/>
          <w:color w:val="auto"/>
          <w:sz w:val="44"/>
          <w:szCs w:val="44"/>
          <w:highlight w:val="none"/>
          <w:lang w:eastAsia="zh-CN"/>
        </w:rPr>
        <w:t>目  录</w:t>
      </w:r>
    </w:p>
    <w:p w14:paraId="22677B64">
      <w:pPr>
        <w:adjustRightInd w:val="0"/>
        <w:snapToGrid w:val="0"/>
        <w:spacing w:line="360" w:lineRule="auto"/>
        <w:jc w:val="both"/>
        <w:rPr>
          <w:rFonts w:hint="eastAsia" w:ascii="宋体" w:hAnsi="宋体" w:eastAsia="宋体"/>
          <w:bCs/>
          <w:snapToGrid w:val="0"/>
          <w:color w:val="auto"/>
          <w:sz w:val="24"/>
          <w:szCs w:val="24"/>
          <w:highlight w:val="none"/>
          <w:lang w:eastAsia="zh-CN"/>
        </w:rPr>
      </w:pPr>
    </w:p>
    <w:p w14:paraId="30B549C3">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第一篇  合同协议书 ………………………………………………………………</w:t>
      </w:r>
    </w:p>
    <w:p w14:paraId="34F39AF8">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第二篇  合同条款 …………………………………………………………………</w:t>
      </w:r>
    </w:p>
    <w:p w14:paraId="37B64D43">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总则 ……………………………………………………………………………</w:t>
      </w:r>
    </w:p>
    <w:p w14:paraId="201B452E">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第一章  一般规定 ……………………………………………………………</w:t>
      </w:r>
    </w:p>
    <w:p w14:paraId="619A148B">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1、词语定义</w:t>
      </w:r>
    </w:p>
    <w:p w14:paraId="66797ABC">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2、语言文字和适用法律、标准及规范</w:t>
      </w:r>
    </w:p>
    <w:p w14:paraId="6D59F194">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3、本合同签订依据</w:t>
      </w:r>
    </w:p>
    <w:p w14:paraId="72AE8E5F">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第二章  勘察设计  …………………………………………………</w:t>
      </w:r>
    </w:p>
    <w:p w14:paraId="1C8D948C">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4、勘察设计管理</w:t>
      </w:r>
    </w:p>
    <w:p w14:paraId="0E64A5F5">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5、勘察、设计分包</w:t>
      </w:r>
    </w:p>
    <w:p w14:paraId="563EA7F2">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第三章  设计工作内容及要求………………………………………………</w:t>
      </w:r>
    </w:p>
    <w:p w14:paraId="4F849FE6">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6、设计工作内容及要求</w:t>
      </w:r>
    </w:p>
    <w:p w14:paraId="1972C7B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7、设计服务</w:t>
      </w:r>
    </w:p>
    <w:p w14:paraId="5A7048D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8、设计人员</w:t>
      </w:r>
    </w:p>
    <w:p w14:paraId="008EA90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9、设计成果文件的提交</w:t>
      </w:r>
    </w:p>
    <w:p w14:paraId="2233EFE0">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第四章  设计质量……………………………………………………………</w:t>
      </w:r>
    </w:p>
    <w:p w14:paraId="412A041B">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10、设计的质量要求</w:t>
      </w:r>
    </w:p>
    <w:p w14:paraId="7C6469F0">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第五章  设计事故……………………………………………………………</w:t>
      </w:r>
    </w:p>
    <w:p w14:paraId="5057EC6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11、设计事故</w:t>
      </w:r>
    </w:p>
    <w:p w14:paraId="10A4282B">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第六章  工程投资控制………………………………………………………</w:t>
      </w:r>
    </w:p>
    <w:p w14:paraId="78E2EA9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13、工程投资控制</w:t>
      </w:r>
    </w:p>
    <w:p w14:paraId="6147EA4A">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第七章  设计评审……………………………………………………………</w:t>
      </w:r>
    </w:p>
    <w:p w14:paraId="74D41166">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14、设计评审</w:t>
      </w:r>
    </w:p>
    <w:p w14:paraId="7AC7A976">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第八章  设计收费的计取及支付……………………………………………</w:t>
      </w:r>
    </w:p>
    <w:p w14:paraId="7F75D80B">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15、设计收费的计取</w:t>
      </w:r>
    </w:p>
    <w:p w14:paraId="4413802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16、设计收费的支付</w:t>
      </w:r>
    </w:p>
    <w:p w14:paraId="72D89FF3">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第九章  勘察   ……………………………………………………………</w:t>
      </w:r>
    </w:p>
    <w:p w14:paraId="1C50FD5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17、勘察范围</w:t>
      </w:r>
    </w:p>
    <w:p w14:paraId="40BE6AF5">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18、勘察服务</w:t>
      </w:r>
    </w:p>
    <w:p w14:paraId="727AB229">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19、勘察人员</w:t>
      </w:r>
    </w:p>
    <w:p w14:paraId="59C1D119">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20、勘察成果文件的提交</w:t>
      </w:r>
    </w:p>
    <w:p w14:paraId="1A1C7C26">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21、勘察的质量要求</w:t>
      </w:r>
    </w:p>
    <w:p w14:paraId="3511660F">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22、勘察费的计取及支付</w:t>
      </w:r>
    </w:p>
    <w:p w14:paraId="22B257A0">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第十章  综合考评  ………………………………………………………</w:t>
      </w:r>
    </w:p>
    <w:p w14:paraId="4820F7D9">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23、综合考评</w:t>
      </w:r>
    </w:p>
    <w:p w14:paraId="171ED43E">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第十一章  甲方驻场代表和设计咨询工程师………………………………</w:t>
      </w:r>
    </w:p>
    <w:p w14:paraId="418A4169">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24、甲方驻场代表和设计咨询工程师</w:t>
      </w:r>
    </w:p>
    <w:p w14:paraId="7FE9BD3C">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第十二章  甲乙双方的权利和义务  ………………………………………</w:t>
      </w:r>
    </w:p>
    <w:p w14:paraId="1A5DB16C">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25、甲方的权利和义务</w:t>
      </w:r>
    </w:p>
    <w:p w14:paraId="6A125DC4">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26、乙方的权利和义务</w:t>
      </w:r>
    </w:p>
    <w:p w14:paraId="028A9D0C">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 xml:space="preserve">第十三章  违约责任 </w:t>
      </w:r>
      <w:r>
        <w:rPr>
          <w:rFonts w:hint="eastAsia" w:ascii="宋体" w:hAnsi="宋体" w:eastAsia="宋体"/>
          <w:bCs/>
          <w:snapToGrid w:val="0"/>
          <w:color w:val="auto"/>
          <w:sz w:val="24"/>
          <w:szCs w:val="24"/>
          <w:highlight w:val="none"/>
          <w:lang w:eastAsia="zh-CN"/>
        </w:rPr>
        <w:t xml:space="preserve"> </w:t>
      </w:r>
      <w:r>
        <w:rPr>
          <w:rFonts w:hint="eastAsia" w:ascii="宋体" w:hAnsi="宋体" w:eastAsia="宋体"/>
          <w:b/>
          <w:bCs/>
          <w:snapToGrid w:val="0"/>
          <w:color w:val="auto"/>
          <w:sz w:val="24"/>
          <w:szCs w:val="24"/>
          <w:highlight w:val="none"/>
          <w:lang w:eastAsia="zh-CN"/>
        </w:rPr>
        <w:t>………………………………………………………</w:t>
      </w:r>
    </w:p>
    <w:p w14:paraId="1E3D75A7">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27、甲方的违约责任</w:t>
      </w:r>
    </w:p>
    <w:p w14:paraId="105FE4A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28、乙方的违约责任</w:t>
      </w:r>
    </w:p>
    <w:p w14:paraId="3CCB4E0E">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第十四章  索赔  ……………………………………………………………</w:t>
      </w:r>
    </w:p>
    <w:p w14:paraId="44B53D8C">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29、索赔</w:t>
      </w:r>
    </w:p>
    <w:p w14:paraId="646F6772">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第十五章  保险与担保………………………………………………………</w:t>
      </w:r>
    </w:p>
    <w:p w14:paraId="461B573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30、保险与担保</w:t>
      </w:r>
    </w:p>
    <w:p w14:paraId="49F0017A">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第十六章  税费  ……………………………………………………………</w:t>
      </w:r>
    </w:p>
    <w:p w14:paraId="63399CE0">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31、税费 </w:t>
      </w:r>
    </w:p>
    <w:p w14:paraId="17775473">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第十七章  法律适用及仲裁  ………………………………………………</w:t>
      </w:r>
    </w:p>
    <w:p w14:paraId="5BC29ED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32、法律适用及仲裁 </w:t>
      </w:r>
    </w:p>
    <w:p w14:paraId="2D06475B">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第十八章  保密、知识产权与专利技术……………………………………</w:t>
      </w:r>
    </w:p>
    <w:p w14:paraId="6E319A3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33、保密、知识产权与专利技术</w:t>
      </w:r>
    </w:p>
    <w:p w14:paraId="7FBDB2EF">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第十九章  不可抗力  ………………………………………………………</w:t>
      </w:r>
    </w:p>
    <w:p w14:paraId="36EE317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34、不可抗力</w:t>
      </w:r>
    </w:p>
    <w:p w14:paraId="7A90B9A2">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第二十章  合同生效、解除及其他  ……………………………………</w:t>
      </w:r>
    </w:p>
    <w:p w14:paraId="533F07FD">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35、合同生效、解除及其他</w:t>
      </w:r>
    </w:p>
    <w:p w14:paraId="3F3CF6E5">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第三篇  合同附件    ………………………………………………………</w:t>
      </w:r>
    </w:p>
    <w:p w14:paraId="40B286B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附件1：工程建设项目廉洁协议书</w:t>
      </w:r>
    </w:p>
    <w:p w14:paraId="7D4FC1DF">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附件2：乙方履约保函及承诺书（格式）</w:t>
      </w:r>
    </w:p>
    <w:p w14:paraId="4B9692BF">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附件3：勘察设计费计算依据</w:t>
      </w:r>
    </w:p>
    <w:p w14:paraId="2E56DC62">
      <w:pPr>
        <w:adjustRightInd w:val="0"/>
        <w:snapToGrid w:val="0"/>
        <w:spacing w:line="360" w:lineRule="auto"/>
        <w:ind w:firstLine="976" w:firstLineChars="407"/>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表一.勘察设计费投标报价汇总表</w:t>
      </w:r>
    </w:p>
    <w:p w14:paraId="51B685B0">
      <w:pPr>
        <w:adjustRightInd w:val="0"/>
        <w:snapToGrid w:val="0"/>
        <w:spacing w:line="360" w:lineRule="auto"/>
        <w:ind w:firstLine="976" w:firstLineChars="407"/>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表二.勘察设计招标控制价说明</w:t>
      </w:r>
    </w:p>
    <w:p w14:paraId="05A25CF7">
      <w:pPr>
        <w:adjustRightInd w:val="0"/>
        <w:snapToGrid w:val="0"/>
        <w:spacing w:line="360" w:lineRule="auto"/>
        <w:ind w:firstLine="976" w:firstLineChars="407"/>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表三.勘察费报价及计算依据表</w:t>
      </w:r>
    </w:p>
    <w:p w14:paraId="7E6D041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附件4：主要勘察设计人员</w:t>
      </w:r>
    </w:p>
    <w:p w14:paraId="20E3DC67">
      <w:pPr>
        <w:adjustRightInd w:val="0"/>
        <w:snapToGrid w:val="0"/>
        <w:spacing w:line="360" w:lineRule="auto"/>
        <w:ind w:left="1342" w:leftChars="228" w:hanging="840" w:hangingChars="3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附件5：</w:t>
      </w:r>
      <w:r>
        <w:rPr>
          <w:rFonts w:hint="eastAsia" w:ascii="宋体" w:hAnsi="宋体" w:eastAsia="宋体"/>
          <w:bCs/>
          <w:snapToGrid w:val="0"/>
          <w:color w:val="auto"/>
          <w:sz w:val="24"/>
          <w:szCs w:val="24"/>
          <w:highlight w:val="none"/>
          <w:u w:val="single"/>
          <w:lang w:eastAsia="zh-CN"/>
        </w:rPr>
        <w:t>基础资料和勘察和初步设计任务书（另册）</w:t>
      </w:r>
    </w:p>
    <w:p w14:paraId="42F46C56">
      <w:pPr>
        <w:adjustRightInd w:val="0"/>
        <w:snapToGrid w:val="0"/>
        <w:spacing w:line="360" w:lineRule="auto"/>
        <w:ind w:left="1342" w:leftChars="228" w:hanging="840" w:hangingChars="3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附件6：乙方法定代表人、项目负责人的姓名、身份证复印件、职务、职称、联系方式</w:t>
      </w:r>
    </w:p>
    <w:p w14:paraId="6EE239FA">
      <w:pPr>
        <w:adjustRightInd w:val="0"/>
        <w:snapToGrid w:val="0"/>
        <w:spacing w:line="360" w:lineRule="auto"/>
        <w:ind w:left="1342" w:leftChars="228" w:hanging="840" w:hangingChars="3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附件7：中标通知书（复印件）</w:t>
      </w:r>
    </w:p>
    <w:p w14:paraId="6B119430">
      <w:pPr>
        <w:adjustRightInd w:val="0"/>
        <w:snapToGrid w:val="0"/>
        <w:spacing w:line="360" w:lineRule="auto"/>
        <w:ind w:left="1342" w:leftChars="228" w:hanging="840" w:hangingChars="3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附件8：本项目招标澄清、答疑文件（复印件）</w:t>
      </w:r>
    </w:p>
    <w:p w14:paraId="4F2211E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附件9：勘察工作考核评价表</w:t>
      </w:r>
    </w:p>
    <w:p w14:paraId="65AEF376">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附件10：设计工作考核评价表</w:t>
      </w:r>
    </w:p>
    <w:p w14:paraId="1C82B6A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p>
    <w:p w14:paraId="2BE159A9">
      <w:pPr>
        <w:adjustRightInd w:val="0"/>
        <w:snapToGrid w:val="0"/>
        <w:spacing w:line="36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br w:type="page"/>
      </w:r>
    </w:p>
    <w:bookmarkEnd w:id="0"/>
    <w:p w14:paraId="22998521">
      <w:pPr>
        <w:adjustRightInd w:val="0"/>
        <w:snapToGrid w:val="0"/>
        <w:spacing w:line="360" w:lineRule="auto"/>
        <w:jc w:val="center"/>
        <w:rPr>
          <w:rFonts w:hint="eastAsia" w:ascii="宋体" w:hAnsi="宋体" w:eastAsia="宋体"/>
          <w:b/>
          <w:bCs/>
          <w:snapToGrid w:val="0"/>
          <w:color w:val="auto"/>
          <w:sz w:val="44"/>
          <w:szCs w:val="44"/>
          <w:highlight w:val="none"/>
          <w:lang w:eastAsia="zh-CN"/>
        </w:rPr>
      </w:pPr>
      <w:bookmarkStart w:id="1" w:name="_Toc114119681"/>
      <w:bookmarkStart w:id="2" w:name="_Toc82141020"/>
      <w:bookmarkStart w:id="3" w:name="_Toc115711029"/>
      <w:bookmarkStart w:id="4" w:name="_Toc122759214"/>
      <w:r>
        <w:rPr>
          <w:rFonts w:hint="eastAsia" w:ascii="宋体" w:hAnsi="宋体" w:eastAsia="宋体"/>
          <w:b/>
          <w:bCs/>
          <w:snapToGrid w:val="0"/>
          <w:color w:val="auto"/>
          <w:sz w:val="44"/>
          <w:szCs w:val="44"/>
          <w:highlight w:val="none"/>
          <w:lang w:eastAsia="zh-CN"/>
        </w:rPr>
        <w:t>第一篇  合同协议书</w:t>
      </w:r>
      <w:bookmarkEnd w:id="1"/>
      <w:bookmarkEnd w:id="2"/>
      <w:bookmarkEnd w:id="3"/>
      <w:bookmarkEnd w:id="4"/>
    </w:p>
    <w:p w14:paraId="5512A626">
      <w:pPr>
        <w:adjustRightInd w:val="0"/>
        <w:snapToGrid w:val="0"/>
        <w:spacing w:line="360" w:lineRule="auto"/>
        <w:ind w:right="11"/>
        <w:jc w:val="both"/>
        <w:rPr>
          <w:rFonts w:hint="eastAsia" w:ascii="宋体" w:hAnsi="宋体" w:eastAsia="宋体"/>
          <w:snapToGrid w:val="0"/>
          <w:color w:val="auto"/>
          <w:sz w:val="24"/>
          <w:szCs w:val="24"/>
          <w:highlight w:val="none"/>
          <w:lang w:eastAsia="zh-CN"/>
        </w:rPr>
      </w:pPr>
    </w:p>
    <w:p w14:paraId="4110EB5A">
      <w:pPr>
        <w:widowControl/>
        <w:adjustRightInd w:val="0"/>
        <w:snapToGrid w:val="0"/>
        <w:spacing w:before="284" w:line="360" w:lineRule="auto"/>
        <w:ind w:firstLine="482" w:firstLineChars="200"/>
        <w:outlineLvl w:val="9"/>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广州环五山创新策源区元岗城市更新有限公司</w:t>
      </w:r>
      <w:r>
        <w:rPr>
          <w:rFonts w:hint="eastAsia" w:ascii="宋体" w:hAnsi="宋体" w:eastAsia="宋体"/>
          <w:snapToGrid w:val="0"/>
          <w:color w:val="auto"/>
          <w:sz w:val="24"/>
          <w:szCs w:val="24"/>
          <w:highlight w:val="none"/>
          <w:lang w:eastAsia="zh-CN"/>
        </w:rPr>
        <w:t>（以下简称甲方）与</w:t>
      </w:r>
      <w:r>
        <w:rPr>
          <w:rFonts w:hint="eastAsia" w:ascii="宋体" w:hAnsi="宋体" w:eastAsia="宋体"/>
          <w:b/>
          <w:bCs/>
          <w:snapToGrid w:val="0"/>
          <w:color w:val="auto"/>
          <w:sz w:val="24"/>
          <w:szCs w:val="24"/>
          <w:highlight w:val="none"/>
          <w:u w:val="single"/>
          <w:lang w:eastAsia="zh-CN"/>
        </w:rPr>
        <w:t xml:space="preserve">                          </w:t>
      </w:r>
      <w:r>
        <w:rPr>
          <w:rFonts w:hint="eastAsia" w:ascii="宋体" w:hAnsi="宋体" w:eastAsia="宋体"/>
          <w:snapToGrid w:val="0"/>
          <w:color w:val="auto"/>
          <w:sz w:val="24"/>
          <w:szCs w:val="24"/>
          <w:highlight w:val="none"/>
          <w:lang w:eastAsia="zh-CN"/>
        </w:rPr>
        <w:t>（以下简称乙方）依照《中华人民共和国民法典》、《中华人民共和国建筑法》、《</w:t>
      </w:r>
      <w:r>
        <w:rPr>
          <w:rFonts w:hint="eastAsia" w:ascii="宋体" w:cs="宋体"/>
          <w:color w:val="auto"/>
          <w:sz w:val="24"/>
          <w:szCs w:val="24"/>
          <w:highlight w:val="none"/>
          <w:lang w:eastAsia="zh-CN"/>
        </w:rPr>
        <w:t>建设工程质量管理条例</w:t>
      </w:r>
      <w:r>
        <w:rPr>
          <w:rFonts w:hint="eastAsia" w:ascii="宋体" w:hAnsi="宋体" w:eastAsia="宋体"/>
          <w:snapToGrid w:val="0"/>
          <w:color w:val="auto"/>
          <w:sz w:val="24"/>
          <w:szCs w:val="24"/>
          <w:highlight w:val="none"/>
          <w:lang w:eastAsia="zh-CN"/>
        </w:rPr>
        <w:t>》及其他有关法律、行政法规、部门规章、地方性法规和规章，以及国家和广东省、广州市人民政府及有关主管部门关于</w:t>
      </w:r>
      <w:r>
        <w:rPr>
          <w:rFonts w:hint="eastAsia" w:hAnsi="宋体" w:eastAsia="宋体"/>
          <w:bCs/>
          <w:snapToGrid w:val="0"/>
          <w:color w:val="auto"/>
          <w:sz w:val="24"/>
          <w:szCs w:val="24"/>
          <w:highlight w:val="none"/>
          <w:u w:val="single"/>
          <w:lang w:eastAsia="zh-CN"/>
        </w:rPr>
        <w:t>天河区元岗村城中村改造项目</w:t>
      </w:r>
      <w:r>
        <w:rPr>
          <w:rFonts w:hint="eastAsia" w:ascii="宋体" w:hAnsi="宋体" w:eastAsia="宋体"/>
          <w:snapToGrid w:val="0"/>
          <w:color w:val="auto"/>
          <w:sz w:val="24"/>
          <w:szCs w:val="24"/>
          <w:highlight w:val="none"/>
          <w:lang w:eastAsia="zh-CN"/>
        </w:rPr>
        <w:t>的有关文件，遵循平等、自愿、公平和诚实信用的原则，双方就</w:t>
      </w:r>
      <w:r>
        <w:rPr>
          <w:rFonts w:hint="eastAsia" w:hAnsi="宋体" w:eastAsia="宋体"/>
          <w:bCs/>
          <w:snapToGrid w:val="0"/>
          <w:color w:val="auto"/>
          <w:sz w:val="24"/>
          <w:szCs w:val="24"/>
          <w:highlight w:val="none"/>
          <w:u w:val="single"/>
          <w:lang w:eastAsia="zh-CN"/>
        </w:rPr>
        <w:t>天河区元岗村城中村改造项目AT0206007地块（即YG8号地块）勘察和初步设计</w:t>
      </w:r>
      <w:r>
        <w:rPr>
          <w:rFonts w:hint="eastAsia" w:ascii="宋体" w:hAnsi="宋体" w:eastAsia="宋体"/>
          <w:snapToGrid w:val="0"/>
          <w:color w:val="auto"/>
          <w:sz w:val="24"/>
          <w:szCs w:val="24"/>
          <w:highlight w:val="none"/>
          <w:lang w:eastAsia="zh-CN"/>
        </w:rPr>
        <w:t>承包事宜协商一致，订立本合同。</w:t>
      </w:r>
    </w:p>
    <w:p w14:paraId="1C2A6779">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 xml:space="preserve">1、项目概况 </w:t>
      </w:r>
    </w:p>
    <w:p w14:paraId="5AF0220E">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1.1</w:t>
      </w:r>
      <w:r>
        <w:rPr>
          <w:rFonts w:hint="eastAsia" w:ascii="宋体" w:hAnsi="宋体" w:eastAsia="宋体"/>
          <w:bCs/>
          <w:snapToGrid w:val="0"/>
          <w:color w:val="auto"/>
          <w:sz w:val="24"/>
          <w:szCs w:val="24"/>
          <w:highlight w:val="none"/>
          <w:lang w:eastAsia="zh-CN"/>
        </w:rPr>
        <w:t>项目名称：天河区元岗村城中村改造项目AT0206007地块（即YG8号地块）勘察和初步设计</w:t>
      </w:r>
      <w:r>
        <w:rPr>
          <w:rFonts w:hint="eastAsia" w:ascii="宋体" w:hAnsi="宋体" w:eastAsia="宋体"/>
          <w:snapToGrid w:val="0"/>
          <w:color w:val="auto"/>
          <w:sz w:val="24"/>
          <w:szCs w:val="24"/>
          <w:highlight w:val="none"/>
          <w:lang w:eastAsia="zh-CN"/>
        </w:rPr>
        <w:t>。</w:t>
      </w:r>
    </w:p>
    <w:p w14:paraId="0DEFA9DA">
      <w:pPr>
        <w:spacing w:line="360" w:lineRule="auto"/>
        <w:ind w:firstLine="482" w:firstLineChars="200"/>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w:t>
      </w:r>
      <w:r>
        <w:rPr>
          <w:rFonts w:hint="eastAsia" w:ascii="宋体" w:hAnsi="宋体" w:eastAsia="宋体"/>
          <w:bCs/>
          <w:snapToGrid w:val="0"/>
          <w:color w:val="auto"/>
          <w:sz w:val="24"/>
          <w:szCs w:val="24"/>
          <w:highlight w:val="none"/>
          <w:lang w:eastAsia="zh-CN"/>
        </w:rPr>
        <w:t>项目地点：本项目位于广州市天河区元岗街道元岗村改造项目范围，靠近元岗北街。</w:t>
      </w:r>
    </w:p>
    <w:p w14:paraId="6CAE64A6">
      <w:pPr>
        <w:spacing w:line="360" w:lineRule="auto"/>
        <w:ind w:firstLine="482" w:firstLineChars="200"/>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w:t>
      </w:r>
      <w:r>
        <w:rPr>
          <w:rFonts w:hint="eastAsia" w:ascii="宋体" w:hAnsi="宋体" w:eastAsia="宋体"/>
          <w:bCs/>
          <w:snapToGrid w:val="0"/>
          <w:color w:val="auto"/>
          <w:sz w:val="24"/>
          <w:szCs w:val="24"/>
          <w:highlight w:val="none"/>
          <w:lang w:eastAsia="zh-CN"/>
        </w:rPr>
        <w:t>立项批准文号：广东省企业投资项目备案证（项目代码:</w:t>
      </w:r>
      <w:r>
        <w:rPr>
          <w:rFonts w:hint="eastAsia" w:ascii="宋体" w:hAnsi="宋体" w:eastAsia="宋体"/>
          <w:bCs/>
          <w:snapToGrid w:val="0"/>
          <w:color w:val="auto"/>
          <w:sz w:val="24"/>
          <w:szCs w:val="24"/>
          <w:highlight w:val="none"/>
          <w:lang w:val="en-US" w:eastAsia="zh-CN"/>
        </w:rPr>
        <w:t>2406-440106-04-01-875791</w:t>
      </w:r>
      <w:r>
        <w:rPr>
          <w:rFonts w:hint="eastAsia" w:ascii="宋体" w:hAnsi="宋体" w:eastAsia="宋体"/>
          <w:bCs/>
          <w:snapToGrid w:val="0"/>
          <w:color w:val="auto"/>
          <w:sz w:val="24"/>
          <w:szCs w:val="24"/>
          <w:highlight w:val="none"/>
          <w:lang w:eastAsia="zh-CN"/>
        </w:rPr>
        <w:t>）。</w:t>
      </w:r>
    </w:p>
    <w:p w14:paraId="279644BD">
      <w:pPr>
        <w:adjustRightInd w:val="0"/>
        <w:snapToGrid w:val="0"/>
        <w:spacing w:line="360" w:lineRule="auto"/>
        <w:ind w:right="11"/>
        <w:jc w:val="both"/>
        <w:rPr>
          <w:rFonts w:hint="eastAsia" w:ascii="宋体" w:hAnsi="宋体" w:eastAsia="宋体"/>
          <w:bCs/>
          <w:snapToGrid w:val="0"/>
          <w:color w:val="auto"/>
          <w:sz w:val="24"/>
          <w:szCs w:val="24"/>
          <w:highlight w:val="none"/>
          <w:lang w:val="en-US" w:eastAsia="zh-CN"/>
        </w:rPr>
      </w:pPr>
      <w:r>
        <w:rPr>
          <w:rFonts w:hint="eastAsia" w:ascii="宋体" w:hAnsi="宋体" w:eastAsia="宋体"/>
          <w:bCs/>
          <w:snapToGrid w:val="0"/>
          <w:color w:val="auto"/>
          <w:sz w:val="24"/>
          <w:szCs w:val="24"/>
          <w:highlight w:val="none"/>
          <w:lang w:eastAsia="zh-CN"/>
        </w:rPr>
        <w:t xml:space="preserve"> </w:t>
      </w:r>
      <w:r>
        <w:rPr>
          <w:rFonts w:hint="eastAsia" w:ascii="宋体" w:hAnsi="宋体" w:eastAsia="宋体"/>
          <w:b/>
          <w:bCs/>
          <w:snapToGrid w:val="0"/>
          <w:color w:val="auto"/>
          <w:sz w:val="24"/>
          <w:szCs w:val="24"/>
          <w:highlight w:val="none"/>
          <w:lang w:eastAsia="zh-CN"/>
        </w:rPr>
        <w:t xml:space="preserve">   1.4</w:t>
      </w:r>
      <w:r>
        <w:rPr>
          <w:rFonts w:hint="eastAsia" w:ascii="宋体" w:hAnsi="宋体" w:eastAsia="宋体"/>
          <w:bCs/>
          <w:snapToGrid w:val="0"/>
          <w:color w:val="auto"/>
          <w:sz w:val="24"/>
          <w:szCs w:val="24"/>
          <w:highlight w:val="none"/>
          <w:lang w:eastAsia="zh-CN"/>
        </w:rPr>
        <w:t>资金来源：</w:t>
      </w:r>
      <w:r>
        <w:rPr>
          <w:rFonts w:hint="eastAsia" w:ascii="宋体" w:hAnsi="宋体" w:eastAsia="宋体"/>
          <w:bCs/>
          <w:snapToGrid w:val="0"/>
          <w:color w:val="auto"/>
          <w:sz w:val="24"/>
          <w:szCs w:val="24"/>
          <w:highlight w:val="none"/>
          <w:lang w:val="en-US" w:eastAsia="zh-CN"/>
        </w:rPr>
        <w:t xml:space="preserve">             。</w:t>
      </w:r>
    </w:p>
    <w:p w14:paraId="5AA1F90B">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1.5</w:t>
      </w:r>
      <w:r>
        <w:rPr>
          <w:rFonts w:hint="eastAsia" w:ascii="宋体" w:hAnsi="宋体" w:eastAsia="宋体"/>
          <w:bCs/>
          <w:snapToGrid w:val="0"/>
          <w:color w:val="auto"/>
          <w:sz w:val="24"/>
          <w:szCs w:val="24"/>
          <w:highlight w:val="none"/>
          <w:lang w:eastAsia="zh-CN"/>
        </w:rPr>
        <w:t>设计合理使用年限：按相关规定执行。</w:t>
      </w:r>
    </w:p>
    <w:p w14:paraId="170B9724">
      <w:pPr>
        <w:pStyle w:val="27"/>
        <w:spacing w:after="0"/>
        <w:ind w:left="440" w:firstLine="0" w:firstLineChars="0"/>
        <w:rPr>
          <w:rFonts w:hint="eastAsia" w:ascii="宋体" w:hAnsi="宋体" w:eastAsia="宋体"/>
          <w:bCs/>
          <w:snapToGrid w:val="0"/>
          <w:color w:val="auto"/>
          <w:sz w:val="24"/>
          <w:highlight w:val="none"/>
          <w:lang w:eastAsia="zh-CN"/>
        </w:rPr>
      </w:pPr>
      <w:r>
        <w:rPr>
          <w:rFonts w:hint="eastAsia" w:ascii="宋体" w:hAnsi="宋体" w:eastAsia="宋体" w:cs="Times New Roman"/>
          <w:b/>
          <w:bCs/>
          <w:snapToGrid w:val="0"/>
          <w:color w:val="auto"/>
          <w:sz w:val="24"/>
          <w:szCs w:val="24"/>
          <w:highlight w:val="none"/>
          <w:lang w:val="en-US" w:eastAsia="zh-CN" w:bidi="ar-SA"/>
        </w:rPr>
        <w:t>1.6</w:t>
      </w:r>
      <w:r>
        <w:rPr>
          <w:rFonts w:hint="eastAsia" w:ascii="宋体" w:hAnsi="宋体" w:eastAsia="宋体"/>
          <w:bCs/>
          <w:snapToGrid w:val="0"/>
          <w:color w:val="auto"/>
          <w:sz w:val="24"/>
          <w:highlight w:val="none"/>
          <w:lang w:eastAsia="zh-CN"/>
        </w:rPr>
        <w:t>本项目按国家绿色建筑评价标准二星绿色建筑标准规划设计，实际以政府部门批准为准。</w:t>
      </w:r>
    </w:p>
    <w:p w14:paraId="1A9B2453">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2、勘察设计范围和乙方工作内容及承包方式</w:t>
      </w:r>
    </w:p>
    <w:p w14:paraId="64B7551B">
      <w:pPr>
        <w:adjustRightInd w:val="0"/>
        <w:snapToGrid w:val="0"/>
        <w:spacing w:line="360" w:lineRule="auto"/>
        <w:ind w:right="11" w:firstLine="482" w:firstLineChars="200"/>
        <w:jc w:val="both"/>
        <w:rPr>
          <w:color w:val="auto"/>
          <w:highlight w:val="none"/>
          <w:lang w:eastAsia="zh-CN"/>
        </w:rPr>
      </w:pPr>
      <w:r>
        <w:rPr>
          <w:rFonts w:hint="eastAsia" w:ascii="宋体" w:hAnsi="宋体" w:eastAsia="宋体"/>
          <w:b/>
          <w:bCs/>
          <w:snapToGrid w:val="0"/>
          <w:color w:val="auto"/>
          <w:sz w:val="24"/>
          <w:szCs w:val="24"/>
          <w:highlight w:val="none"/>
          <w:lang w:eastAsia="zh-CN"/>
        </w:rPr>
        <w:t>2.1勘察设计范围</w:t>
      </w:r>
    </w:p>
    <w:p w14:paraId="4A6DF95D">
      <w:pPr>
        <w:spacing w:line="360" w:lineRule="auto"/>
        <w:ind w:firstLine="480" w:firstLineChars="200"/>
        <w:rPr>
          <w:rFonts w:hint="eastAsia" w:ascii="宋体" w:hAnsi="宋体" w:eastAsia="宋体" w:cs="宋体"/>
          <w:color w:val="auto"/>
          <w:sz w:val="24"/>
          <w:szCs w:val="24"/>
          <w:highlight w:val="none"/>
          <w:lang w:eastAsia="zh-CN"/>
        </w:rPr>
      </w:pPr>
      <w:bookmarkStart w:id="5" w:name="_Hlk80780221"/>
      <w:r>
        <w:rPr>
          <w:rFonts w:hint="eastAsia" w:ascii="宋体" w:hAnsi="宋体" w:eastAsia="宋体" w:cs="宋体"/>
          <w:color w:val="auto"/>
          <w:sz w:val="24"/>
          <w:szCs w:val="24"/>
          <w:highlight w:val="none"/>
          <w:lang w:eastAsia="zh-CN"/>
        </w:rPr>
        <w:t>项目地块总用地面积</w:t>
      </w:r>
      <w:r>
        <w:rPr>
          <w:rFonts w:hint="eastAsia" w:ascii="宋体" w:hAnsi="宋体" w:eastAsia="宋体" w:cs="宋体"/>
          <w:color w:val="auto"/>
          <w:sz w:val="24"/>
          <w:szCs w:val="24"/>
          <w:highlight w:val="none"/>
          <w:lang w:val="en-US" w:eastAsia="zh-CN"/>
        </w:rPr>
        <w:t>54189.48</w:t>
      </w:r>
      <w:r>
        <w:rPr>
          <w:rFonts w:hint="eastAsia" w:ascii="宋体" w:hAnsi="宋体" w:eastAsia="宋体" w:cs="宋体"/>
          <w:color w:val="auto"/>
          <w:sz w:val="24"/>
          <w:szCs w:val="24"/>
          <w:highlight w:val="none"/>
          <w:lang w:eastAsia="zh-CN"/>
        </w:rPr>
        <w:t>㎡，其中可建设用地面积21734.09㎡。用地性质为其他商务用地(B29)，用地面积21734.09平方米，容积率≤3.5，计算容积率建筑面积≤76070方米，建筑密度≤40%，绿地率≥30%，建筑限高100米，建筑高度须满足岑村机场净空控制要求。</w:t>
      </w:r>
    </w:p>
    <w:p w14:paraId="687D4A4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配建公共服务设施:社会停车场1处、公交首末站1处（用地面积2000m²，规模200m³）。</w:t>
      </w:r>
    </w:p>
    <w:p w14:paraId="585E1A3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配建市政公用设施:雨水调蓄设施1处（用地面积1144m²）。</w:t>
      </w:r>
    </w:p>
    <w:p w14:paraId="0F3EA434">
      <w:pPr>
        <w:spacing w:line="360" w:lineRule="auto"/>
        <w:ind w:left="240" w:leftChars="109"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本项目道路面积为9604.14平方米，</w:t>
      </w:r>
      <w:r>
        <w:rPr>
          <w:rFonts w:hint="eastAsia" w:ascii="宋体" w:hAnsi="宋体" w:eastAsia="宋体" w:cs="宋体"/>
          <w:color w:val="auto"/>
          <w:sz w:val="24"/>
          <w:szCs w:val="24"/>
          <w:highlight w:val="none"/>
          <w:lang w:val="en-US" w:eastAsia="zh-CN"/>
        </w:rPr>
        <w:t>具体详见《关于提供环五山创新策源区元岗村首期项目AT0206007、AT0206017地块规划情况的函》及附件。</w:t>
      </w:r>
    </w:p>
    <w:p w14:paraId="2981808B">
      <w:pPr>
        <w:spacing w:line="360" w:lineRule="auto"/>
        <w:ind w:left="240" w:leftChars="109"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以上最终以规划条件及批复要求为准。</w:t>
      </w:r>
    </w:p>
    <w:p w14:paraId="0FE80A4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具体内容详见勘察设计任务书，最终以</w:t>
      </w:r>
      <w:bookmarkStart w:id="6" w:name="_Hlk188019537"/>
      <w:r>
        <w:rPr>
          <w:rFonts w:hint="eastAsia" w:ascii="宋体" w:hAnsi="宋体" w:eastAsia="宋体" w:cs="宋体"/>
          <w:color w:val="auto"/>
          <w:sz w:val="24"/>
          <w:szCs w:val="24"/>
          <w:highlight w:val="none"/>
          <w:lang w:eastAsia="zh-CN"/>
        </w:rPr>
        <w:t>正式</w:t>
      </w:r>
      <w:bookmarkEnd w:id="6"/>
      <w:r>
        <w:rPr>
          <w:rFonts w:hint="eastAsia" w:ascii="宋体" w:hAnsi="宋体" w:eastAsia="宋体" w:cs="宋体"/>
          <w:color w:val="auto"/>
          <w:sz w:val="24"/>
          <w:szCs w:val="24"/>
          <w:highlight w:val="none"/>
          <w:lang w:eastAsia="zh-CN"/>
        </w:rPr>
        <w:t>规划条件及批复要求为准。</w:t>
      </w:r>
    </w:p>
    <w:bookmarkEnd w:id="5"/>
    <w:p w14:paraId="1F7A34F3">
      <w:pPr>
        <w:pStyle w:val="14"/>
        <w:adjustRightInd w:val="0"/>
        <w:snapToGrid w:val="0"/>
        <w:spacing w:line="360" w:lineRule="auto"/>
        <w:ind w:firstLine="482" w:firstLineChars="200"/>
        <w:rPr>
          <w:rFonts w:hAnsi="宋体" w:eastAsia="宋体"/>
          <w:b/>
          <w:bCs/>
          <w:snapToGrid w:val="0"/>
          <w:color w:val="auto"/>
          <w:sz w:val="24"/>
          <w:szCs w:val="24"/>
          <w:highlight w:val="none"/>
          <w:lang w:eastAsia="zh-CN"/>
        </w:rPr>
      </w:pPr>
      <w:r>
        <w:rPr>
          <w:rFonts w:hint="eastAsia" w:hAnsi="宋体" w:eastAsia="宋体"/>
          <w:b/>
          <w:bCs/>
          <w:snapToGrid w:val="0"/>
          <w:color w:val="auto"/>
          <w:sz w:val="24"/>
          <w:szCs w:val="24"/>
          <w:highlight w:val="none"/>
          <w:lang w:eastAsia="zh-CN"/>
        </w:rPr>
        <w:t>2.2乙方工作内容</w:t>
      </w:r>
    </w:p>
    <w:p w14:paraId="2B78840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房建部分：</w:t>
      </w:r>
      <w:r>
        <w:rPr>
          <w:rFonts w:hint="eastAsia" w:ascii="宋体" w:hAnsi="宋体" w:eastAsia="宋体" w:cs="宋体"/>
          <w:color w:val="auto"/>
          <w:sz w:val="24"/>
          <w:szCs w:val="24"/>
          <w:highlight w:val="none"/>
          <w:lang w:eastAsia="zh-CN"/>
        </w:rPr>
        <w:t>用地内的工程勘察（包括初勘、详勘阶段及超前钻（中标后具体以招标人根据项目实际情况确认是否需要进行超前钻））、方案设计和初步设计阶段设计、BIM正向设计，设计深度需满足政府主管部门初步设计报批深度的要求，包括场地的岩土工程、地质勘查、物探、基坑支护设计、地基及软基处理设计、修建性详细规划设计、建筑方案设计、初步设计、概算编制（含方案设计估算、初步设计概算）、BIM设计、因政策变化或相应外部条件改变带来的相应设计工作、与本项目勘察、方案设计和初步设计阶段相关的设计等工作。</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val="en-US" w:eastAsia="zh-CN"/>
        </w:rPr>
        <w:t xml:space="preserve">    市政部分：</w:t>
      </w:r>
      <w:r>
        <w:rPr>
          <w:rFonts w:hint="eastAsia" w:ascii="宋体" w:hAnsi="宋体" w:eastAsia="宋体" w:cs="宋体"/>
          <w:color w:val="auto"/>
          <w:sz w:val="24"/>
          <w:szCs w:val="24"/>
          <w:highlight w:val="none"/>
          <w:lang w:eastAsia="zh-CN"/>
        </w:rPr>
        <w:t>用地内的工程勘察（包括初勘、详勘阶段及超前钻）、道路工程、给排水工程、电力工程、通信工程、交通工程、照明工程、景观绿化工程、海绵城市等。</w:t>
      </w:r>
    </w:p>
    <w:p w14:paraId="2F757C0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（注：上述招标内容具体详见勘察设计任务书）</w:t>
      </w:r>
    </w:p>
    <w:p w14:paraId="149DD459">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2.3承包方式</w:t>
      </w:r>
    </w:p>
    <w:p w14:paraId="3093FEA2">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由乙方按照约定的范围和内容对</w:t>
      </w:r>
      <w:r>
        <w:rPr>
          <w:rFonts w:hint="eastAsia" w:ascii="宋体" w:hAnsi="宋体" w:eastAsia="宋体"/>
          <w:snapToGrid w:val="0"/>
          <w:color w:val="auto"/>
          <w:sz w:val="24"/>
          <w:szCs w:val="24"/>
          <w:highlight w:val="none"/>
          <w:lang w:eastAsia="zh-CN"/>
        </w:rPr>
        <w:t>勘察设计的进度、质量、</w:t>
      </w:r>
      <w:r>
        <w:rPr>
          <w:rFonts w:hint="eastAsia" w:ascii="宋体" w:hAnsi="宋体" w:eastAsia="宋体"/>
          <w:bCs/>
          <w:snapToGrid w:val="0"/>
          <w:color w:val="auto"/>
          <w:sz w:val="24"/>
          <w:szCs w:val="24"/>
          <w:highlight w:val="none"/>
          <w:lang w:eastAsia="zh-CN"/>
        </w:rPr>
        <w:t>安全、</w:t>
      </w:r>
      <w:r>
        <w:rPr>
          <w:rFonts w:hint="eastAsia" w:ascii="宋体" w:hAnsi="宋体" w:eastAsia="宋体"/>
          <w:snapToGrid w:val="0"/>
          <w:color w:val="auto"/>
          <w:sz w:val="24"/>
          <w:szCs w:val="24"/>
          <w:highlight w:val="none"/>
          <w:lang w:eastAsia="zh-CN"/>
        </w:rPr>
        <w:t>工程投资控制</w:t>
      </w:r>
      <w:r>
        <w:rPr>
          <w:rFonts w:hint="eastAsia" w:ascii="宋体" w:hAnsi="宋体" w:eastAsia="宋体"/>
          <w:bCs/>
          <w:snapToGrid w:val="0"/>
          <w:color w:val="auto"/>
          <w:sz w:val="24"/>
          <w:szCs w:val="24"/>
          <w:highlight w:val="none"/>
          <w:lang w:eastAsia="zh-CN"/>
        </w:rPr>
        <w:t>及设计协调服务全面负责。合同价款计取及支付按合同条款第15条和第20条的相关约定执行。</w:t>
      </w:r>
    </w:p>
    <w:p w14:paraId="09034CFD">
      <w:pPr>
        <w:adjustRightInd w:val="0"/>
        <w:snapToGrid w:val="0"/>
        <w:spacing w:line="360" w:lineRule="auto"/>
        <w:ind w:right="11" w:firstLine="482" w:firstLineChars="200"/>
        <w:jc w:val="both"/>
        <w:rPr>
          <w:rFonts w:hint="eastAsia" w:ascii="宋体" w:hAnsi="宋体" w:eastAsia="宋体"/>
          <w:bCs/>
          <w:strike/>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2.4</w:t>
      </w:r>
      <w:r>
        <w:rPr>
          <w:rFonts w:hint="eastAsia" w:ascii="宋体" w:hAnsi="宋体" w:eastAsia="宋体"/>
          <w:bCs/>
          <w:snapToGrid w:val="0"/>
          <w:color w:val="auto"/>
          <w:sz w:val="24"/>
          <w:szCs w:val="24"/>
          <w:highlight w:val="none"/>
          <w:lang w:eastAsia="zh-CN"/>
        </w:rPr>
        <w:t>甲方根据工程实施情况，有权对乙方的承包范围及内容、方式进行适当调整，经甲方以书面形式提前通知乙方后，乙方必须无条件服从。</w:t>
      </w:r>
    </w:p>
    <w:p w14:paraId="56083CAE">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2.5双方特别约定</w:t>
      </w:r>
    </w:p>
    <w:p w14:paraId="25163500">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乙方须根据甲方及主管政府部门的相关规定和要求进行初步设计概算的编制；如果乙方的初步设计概算编制质量不能满足甲方要求，甲方有权要求乙方将初步设计概算编制工作委托给具有相应造价咨询资质的单位完成，且乙方所委托的初步设计概算编制单位须经甲方审核确认，相关费用已包含在本合同价款中，甲方不另行支付。</w:t>
      </w:r>
    </w:p>
    <w:p w14:paraId="61B7542E">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2）考虑到电力进线与给水与燃气等专业设计的特殊性，若乙方的专业能力不满足要求或不能得到相关专业主管部门的认可，则乙方需经甲方批准后委托专业单位设计，设计费含在本合同价款中，甲方不再另行支付。</w:t>
      </w:r>
    </w:p>
    <w:p w14:paraId="2D6ECB02">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（3）为了保证设计工期及质量，若乙方出现服务不到位、不及时，或设计质量低下，或出现本合同约定的其他严重违约行为，甲方有权在</w:t>
      </w:r>
      <w:r>
        <w:rPr>
          <w:rFonts w:hint="eastAsia" w:ascii="宋体" w:hAnsi="宋体" w:eastAsia="宋体"/>
          <w:snapToGrid w:val="0"/>
          <w:color w:val="auto"/>
          <w:sz w:val="24"/>
          <w:szCs w:val="24"/>
          <w:highlight w:val="none"/>
          <w:u w:val="single"/>
          <w:lang w:eastAsia="zh-CN"/>
        </w:rPr>
        <w:t>天河区元岗村城中村改造项目AT0206007地块（即YG8号地块）勘察和初步设计</w:t>
      </w:r>
      <w:r>
        <w:rPr>
          <w:rFonts w:hint="eastAsia" w:ascii="宋体" w:hAnsi="宋体" w:eastAsia="宋体"/>
          <w:bCs/>
          <w:snapToGrid w:val="0"/>
          <w:color w:val="auto"/>
          <w:sz w:val="24"/>
          <w:szCs w:val="24"/>
          <w:highlight w:val="none"/>
          <w:u w:val="single"/>
          <w:lang w:eastAsia="zh-CN"/>
        </w:rPr>
        <w:t>的中标候选单位中，择优选取服务优、能力强的单位与乙方合作设计，合作设计所需相关费用由乙方按合作设计比例在本合同设计费总额中予以支付，甲方无需为此另行支付任何费用。</w:t>
      </w:r>
    </w:p>
    <w:p w14:paraId="08C74367">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3、工期</w:t>
      </w:r>
    </w:p>
    <w:p w14:paraId="3002655C">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
          <w:bCs/>
          <w:snapToGrid w:val="0"/>
          <w:color w:val="auto"/>
          <w:sz w:val="24"/>
          <w:szCs w:val="24"/>
          <w:highlight w:val="none"/>
          <w:u w:val="single"/>
          <w:lang w:eastAsia="zh-CN"/>
        </w:rPr>
        <w:t>3.1</w:t>
      </w:r>
      <w:r>
        <w:rPr>
          <w:rFonts w:hint="eastAsia" w:ascii="宋体" w:hAnsi="宋体" w:eastAsia="宋体"/>
          <w:bCs/>
          <w:snapToGrid w:val="0"/>
          <w:color w:val="auto"/>
          <w:sz w:val="24"/>
          <w:szCs w:val="24"/>
          <w:highlight w:val="none"/>
          <w:u w:val="single"/>
          <w:lang w:eastAsia="zh-CN"/>
        </w:rPr>
        <w:t>设计工期：暂定从发出中标通知书之日起，至2026年1月31日完成最终设计成果文件，具体工期以甲方要求为准,本项目所有采购服务内容成果必须满足政府相关主管部门审查要求。</w:t>
      </w:r>
    </w:p>
    <w:p w14:paraId="4F6B89DF">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
          <w:bCs/>
          <w:snapToGrid w:val="0"/>
          <w:color w:val="auto"/>
          <w:sz w:val="24"/>
          <w:szCs w:val="24"/>
          <w:highlight w:val="none"/>
          <w:u w:val="single"/>
          <w:lang w:eastAsia="zh-CN"/>
        </w:rPr>
        <w:t>3.2</w:t>
      </w:r>
      <w:r>
        <w:rPr>
          <w:rFonts w:hint="eastAsia" w:ascii="宋体" w:hAnsi="宋体" w:eastAsia="宋体"/>
          <w:bCs/>
          <w:snapToGrid w:val="0"/>
          <w:color w:val="auto"/>
          <w:sz w:val="24"/>
          <w:szCs w:val="24"/>
          <w:highlight w:val="none"/>
          <w:u w:val="single"/>
          <w:lang w:eastAsia="zh-CN"/>
        </w:rPr>
        <w:t>勘察工期：暂定从2026年1月1日开始，至2026年1月25日完成本项目全部勘察工作，具体工期以甲方要求为准，本项目所有采购服务内容成果必须满足政府相关主管部门审查要求。</w:t>
      </w:r>
      <w:bookmarkStart w:id="15" w:name="_GoBack"/>
      <w:bookmarkEnd w:id="15"/>
    </w:p>
    <w:p w14:paraId="3E4EE4DC">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3.3</w:t>
      </w:r>
      <w:r>
        <w:rPr>
          <w:rFonts w:hint="eastAsia" w:ascii="宋体" w:hAnsi="宋体" w:eastAsia="宋体"/>
          <w:bCs/>
          <w:snapToGrid w:val="0"/>
          <w:color w:val="auto"/>
          <w:sz w:val="24"/>
          <w:szCs w:val="24"/>
          <w:highlight w:val="none"/>
          <w:u w:val="single"/>
          <w:lang w:eastAsia="zh-CN"/>
        </w:rPr>
        <w:t>修建性详细规划编制工期：按《勘察和初步设计任务书》要求。</w:t>
      </w:r>
    </w:p>
    <w:p w14:paraId="26E26170">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4、合同价款</w:t>
      </w:r>
    </w:p>
    <w:p w14:paraId="49D900D4">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4.1</w:t>
      </w:r>
      <w:r>
        <w:rPr>
          <w:rFonts w:hint="eastAsia" w:ascii="宋体" w:hAnsi="宋体" w:eastAsia="宋体"/>
          <w:bCs/>
          <w:snapToGrid w:val="0"/>
          <w:color w:val="auto"/>
          <w:sz w:val="24"/>
          <w:szCs w:val="24"/>
          <w:highlight w:val="none"/>
          <w:lang w:eastAsia="zh-CN"/>
        </w:rPr>
        <w:t>本合同以人民币为计价和结算货币，除非甲乙双方另有约定。</w:t>
      </w:r>
    </w:p>
    <w:p w14:paraId="34C22C61">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bookmarkStart w:id="7" w:name="_Hlk64645304"/>
      <w:r>
        <w:rPr>
          <w:rFonts w:hint="eastAsia" w:ascii="宋体" w:hAnsi="宋体" w:eastAsia="宋体"/>
          <w:b/>
          <w:bCs/>
          <w:snapToGrid w:val="0"/>
          <w:color w:val="auto"/>
          <w:sz w:val="24"/>
          <w:szCs w:val="24"/>
          <w:highlight w:val="none"/>
          <w:lang w:eastAsia="zh-CN"/>
        </w:rPr>
        <w:t>4.2</w:t>
      </w:r>
      <w:r>
        <w:rPr>
          <w:rFonts w:hint="eastAsia" w:ascii="宋体" w:hAnsi="宋体" w:eastAsia="宋体"/>
          <w:bCs/>
          <w:snapToGrid w:val="0"/>
          <w:color w:val="auto"/>
          <w:sz w:val="24"/>
          <w:szCs w:val="24"/>
          <w:highlight w:val="none"/>
          <w:lang w:eastAsia="zh-CN"/>
        </w:rPr>
        <w:t>根据招标文件</w:t>
      </w:r>
      <w:bookmarkEnd w:id="7"/>
      <w:r>
        <w:rPr>
          <w:rFonts w:hint="eastAsia" w:ascii="宋体" w:hAnsi="宋体" w:eastAsia="宋体"/>
          <w:bCs/>
          <w:snapToGrid w:val="0"/>
          <w:color w:val="auto"/>
          <w:sz w:val="24"/>
          <w:szCs w:val="24"/>
          <w:highlight w:val="none"/>
          <w:lang w:eastAsia="zh-CN"/>
        </w:rPr>
        <w:t>（含合同条款）和乙方的投标报价，本次签约合同价（含税）为：暂定为人民币大写：【】（￥【】元），其中：不含税合同价暂定为人民币大写：【】（￥【】元），增值税率为【】%（本合同约定不含税价格不因国家税率变化而变化，若在合同履行期间，国家的税率调整，则不含税价不变，价税合计（总价）相应调整，以开具发票的时间为准），其中：</w:t>
      </w:r>
    </w:p>
    <w:p w14:paraId="60049E05">
      <w:pPr>
        <w:snapToGrid w:val="0"/>
        <w:spacing w:line="324"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4.2.1设计费（含建筑信息模型（BIM）技术应用费）</w:t>
      </w:r>
    </w:p>
    <w:p w14:paraId="2D393030">
      <w:pPr>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（1）工程设计费</w:t>
      </w:r>
      <w:r>
        <w:rPr>
          <w:rFonts w:hint="eastAsia" w:ascii="宋体" w:hAnsi="宋体" w:eastAsia="宋体"/>
          <w:color w:val="auto"/>
          <w:kern w:val="2"/>
          <w:sz w:val="24"/>
          <w:szCs w:val="24"/>
          <w:highlight w:val="none"/>
          <w:lang w:eastAsia="zh-CN"/>
        </w:rPr>
        <w:t>签约合同价（含税）为：</w:t>
      </w:r>
      <w:r>
        <w:rPr>
          <w:rFonts w:hint="eastAsia" w:ascii="宋体" w:hAnsi="宋体"/>
          <w:color w:val="auto"/>
          <w:sz w:val="24"/>
          <w:highlight w:val="none"/>
          <w:u w:val="single"/>
          <w:lang w:eastAsia="zh-CN"/>
        </w:rPr>
        <w:t>暂定为</w:t>
      </w:r>
      <w:r>
        <w:rPr>
          <w:rFonts w:hint="eastAsia" w:ascii="宋体" w:hAnsi="宋体" w:cs="宋体"/>
          <w:color w:val="auto"/>
          <w:sz w:val="24"/>
          <w:highlight w:val="none"/>
          <w:u w:val="single"/>
          <w:lang w:eastAsia="zh-CN"/>
        </w:rPr>
        <w:t>人民币大写：【】（￥【】元）</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eastAsia="zh-CN"/>
        </w:rPr>
        <w:t>其中：不含税合同价暂定为人民币大写：【】（￥【】元），增值税率为【】%（本合同约定不含税价格不因国家税率变化而变化，若在合同履行期间，国家的税率调整，则不含税价不变，价税合计（总价）相应调整，以开具发票的时间为准）。合同约定下浮率为</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lang w:eastAsia="zh-CN"/>
        </w:rPr>
        <w:t>%，中标下浮率为【】%</w:t>
      </w:r>
      <w:r>
        <w:rPr>
          <w:rFonts w:hint="eastAsia" w:ascii="宋体" w:hAnsi="宋体" w:eastAsia="宋体"/>
          <w:bCs/>
          <w:snapToGrid w:val="0"/>
          <w:color w:val="auto"/>
          <w:sz w:val="24"/>
          <w:szCs w:val="24"/>
          <w:highlight w:val="none"/>
          <w:lang w:eastAsia="zh-CN"/>
        </w:rPr>
        <w:t>。</w:t>
      </w:r>
    </w:p>
    <w:p w14:paraId="1F9802A1">
      <w:pPr>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设计采用费率包干形式，合同价格</w:t>
      </w:r>
      <w:r>
        <w:rPr>
          <w:rFonts w:hint="eastAsia" w:ascii="宋体" w:hAnsi="宋体" w:eastAsia="宋体"/>
          <w:bCs/>
          <w:snapToGrid w:val="0"/>
          <w:color w:val="auto"/>
          <w:sz w:val="24"/>
          <w:szCs w:val="24"/>
          <w:highlight w:val="none"/>
          <w:lang w:val="en-US" w:eastAsia="zh-CN"/>
        </w:rPr>
        <w:t>包括但不限于</w:t>
      </w:r>
      <w:r>
        <w:rPr>
          <w:rFonts w:hint="eastAsia" w:ascii="宋体" w:hAnsi="宋体" w:eastAsia="宋体"/>
          <w:bCs/>
          <w:snapToGrid w:val="0"/>
          <w:color w:val="auto"/>
          <w:sz w:val="24"/>
          <w:szCs w:val="24"/>
          <w:highlight w:val="none"/>
          <w:lang w:eastAsia="zh-CN"/>
        </w:rPr>
        <w:t>已完成该设计项目设计范围内所有工作的成本、利润、税金、赶工费、图纸资料文印费、技术措施费、</w:t>
      </w:r>
      <w:r>
        <w:rPr>
          <w:rFonts w:hint="eastAsia" w:ascii="宋体" w:hAnsi="宋体" w:eastAsia="宋体"/>
          <w:bCs/>
          <w:snapToGrid w:val="0"/>
          <w:color w:val="auto"/>
          <w:sz w:val="24"/>
          <w:szCs w:val="24"/>
          <w:highlight w:val="none"/>
          <w:lang w:val="en-US" w:eastAsia="zh-CN"/>
        </w:rPr>
        <w:t>专家评审费、</w:t>
      </w:r>
      <w:r>
        <w:rPr>
          <w:rFonts w:hint="eastAsia" w:ascii="宋体" w:hAnsi="宋体" w:eastAsia="宋体"/>
          <w:bCs/>
          <w:snapToGrid w:val="0"/>
          <w:color w:val="auto"/>
          <w:sz w:val="24"/>
          <w:szCs w:val="24"/>
          <w:highlight w:val="none"/>
          <w:lang w:eastAsia="zh-CN"/>
        </w:rPr>
        <w:t>技术考察调研费、交通费、宣传、汇报（含影像、动画、效果图等资料）等一切费用、各类报建费用（政策性文件规定须由发包人承担的费用除外）、风险费、保险、政策性文件规定费用等所有费用，发包人不再另行结算支付。</w:t>
      </w:r>
    </w:p>
    <w:p w14:paraId="6C21325C">
      <w:pPr>
        <w:pStyle w:val="27"/>
        <w:spacing w:after="0" w:line="360" w:lineRule="auto"/>
        <w:ind w:left="0" w:leftChars="0" w:firstLine="480"/>
        <w:rPr>
          <w:rFonts w:hint="eastAsia" w:ascii="宋体" w:hAnsi="宋体" w:eastAsia="宋体" w:cs="宋体"/>
          <w:color w:val="auto"/>
          <w:sz w:val="24"/>
          <w:highlight w:val="none"/>
          <w:lang w:eastAsia="zh-CN"/>
        </w:rPr>
      </w:pPr>
      <w:r>
        <w:rPr>
          <w:rFonts w:hint="eastAsia" w:ascii="宋体" w:hAnsi="宋体" w:eastAsia="宋体"/>
          <w:bCs/>
          <w:snapToGrid w:val="0"/>
          <w:color w:val="auto"/>
          <w:sz w:val="24"/>
          <w:highlight w:val="none"/>
          <w:lang w:eastAsia="zh-CN"/>
        </w:rPr>
        <w:t>（2）建筑信息模型（BIM）技术应用费</w:t>
      </w:r>
      <w:r>
        <w:rPr>
          <w:rFonts w:hint="eastAsia" w:ascii="宋体" w:hAnsi="宋体" w:cs="宋体"/>
          <w:color w:val="auto"/>
          <w:sz w:val="24"/>
          <w:highlight w:val="none"/>
          <w:lang w:eastAsia="zh-CN"/>
        </w:rPr>
        <w:t>采用综合单价包干方式计取</w:t>
      </w:r>
      <w:r>
        <w:rPr>
          <w:rFonts w:hint="eastAsia" w:ascii="宋体" w:hAnsi="宋体" w:eastAsia="宋体"/>
          <w:bCs/>
          <w:snapToGrid w:val="0"/>
          <w:color w:val="auto"/>
          <w:sz w:val="24"/>
          <w:highlight w:val="none"/>
          <w:lang w:eastAsia="zh-CN"/>
        </w:rPr>
        <w:t>，总额暂定为</w:t>
      </w:r>
      <w:r>
        <w:rPr>
          <w:rFonts w:hint="eastAsia" w:ascii="宋体" w:hAnsi="宋体" w:eastAsia="宋体"/>
          <w:bCs/>
          <w:snapToGrid w:val="0"/>
          <w:color w:val="auto"/>
          <w:sz w:val="24"/>
          <w:highlight w:val="none"/>
          <w:u w:val="single"/>
          <w:lang w:eastAsia="zh-CN"/>
        </w:rPr>
        <w:t xml:space="preserve">    </w:t>
      </w:r>
      <w:r>
        <w:rPr>
          <w:rFonts w:hint="eastAsia" w:ascii="宋体" w:hAnsi="宋体" w:eastAsia="宋体"/>
          <w:bCs/>
          <w:snapToGrid w:val="0"/>
          <w:color w:val="auto"/>
          <w:sz w:val="24"/>
          <w:highlight w:val="none"/>
          <w:lang w:eastAsia="zh-CN"/>
        </w:rPr>
        <w:t>元（</w:t>
      </w:r>
      <w:r>
        <w:rPr>
          <w:rFonts w:hint="eastAsia" w:ascii="宋体" w:hAnsi="宋体" w:eastAsia="宋体" w:cs="宋体"/>
          <w:color w:val="auto"/>
          <w:kern w:val="2"/>
          <w:sz w:val="24"/>
          <w:highlight w:val="none"/>
          <w:lang w:eastAsia="zh-CN"/>
        </w:rPr>
        <w:t>综合单价为</w:t>
      </w:r>
      <w:r>
        <w:rPr>
          <w:rFonts w:hint="eastAsia" w:ascii="宋体" w:hAnsi="宋体" w:eastAsia="宋体" w:cs="宋体"/>
          <w:color w:val="auto"/>
          <w:kern w:val="2"/>
          <w:sz w:val="24"/>
          <w:highlight w:val="none"/>
          <w:u w:val="single"/>
          <w:lang w:eastAsia="zh-CN"/>
        </w:rPr>
        <w:t xml:space="preserve">    </w:t>
      </w:r>
      <w:r>
        <w:rPr>
          <w:rFonts w:hint="eastAsia" w:ascii="宋体" w:hAnsi="宋体" w:eastAsia="宋体" w:cs="宋体"/>
          <w:color w:val="auto"/>
          <w:kern w:val="2"/>
          <w:sz w:val="24"/>
          <w:highlight w:val="none"/>
          <w:lang w:eastAsia="zh-CN"/>
        </w:rPr>
        <w:t>元/</w:t>
      </w:r>
      <w:r>
        <w:rPr>
          <w:rFonts w:hint="eastAsia" w:ascii="宋体" w:hAnsi="宋体" w:eastAsia="宋体" w:cs="宋体"/>
          <w:color w:val="auto"/>
          <w:highlight w:val="none"/>
          <w:lang w:eastAsia="zh-CN"/>
        </w:rPr>
        <w:t>m²</w:t>
      </w:r>
      <w:r>
        <w:rPr>
          <w:rFonts w:hint="eastAsia" w:ascii="宋体" w:hAnsi="宋体" w:eastAsia="宋体" w:cs="宋体"/>
          <w:color w:val="auto"/>
          <w:sz w:val="24"/>
          <w:highlight w:val="none"/>
          <w:lang w:eastAsia="zh-CN"/>
        </w:rPr>
        <w:t>并按批复的建筑面积核算最终合同价）。</w:t>
      </w:r>
    </w:p>
    <w:p w14:paraId="2326BF46">
      <w:pPr>
        <w:snapToGrid w:val="0"/>
        <w:spacing w:line="360" w:lineRule="auto"/>
        <w:ind w:firstLine="480" w:firstLineChars="200"/>
        <w:jc w:val="both"/>
        <w:rPr>
          <w:rFonts w:hint="eastAsia" w:ascii="宋体" w:hAnsi="宋体" w:eastAsia="宋体"/>
          <w:color w:val="auto"/>
          <w:kern w:val="2"/>
          <w:sz w:val="24"/>
          <w:szCs w:val="24"/>
          <w:highlight w:val="none"/>
          <w:u w:val="single"/>
          <w:lang w:eastAsia="zh-CN"/>
        </w:rPr>
      </w:pPr>
      <w:r>
        <w:rPr>
          <w:rFonts w:hint="eastAsia" w:ascii="宋体" w:hAnsi="宋体" w:eastAsia="宋体"/>
          <w:bCs/>
          <w:snapToGrid w:val="0"/>
          <w:color w:val="auto"/>
          <w:sz w:val="24"/>
          <w:szCs w:val="24"/>
          <w:highlight w:val="none"/>
          <w:lang w:eastAsia="zh-CN"/>
        </w:rPr>
        <w:t>（3）</w:t>
      </w:r>
      <w:r>
        <w:rPr>
          <w:rFonts w:hint="eastAsia" w:ascii="宋体" w:hAnsi="宋体" w:eastAsia="宋体"/>
          <w:color w:val="auto"/>
          <w:kern w:val="2"/>
          <w:sz w:val="24"/>
          <w:szCs w:val="24"/>
          <w:highlight w:val="none"/>
          <w:lang w:eastAsia="zh-CN"/>
        </w:rPr>
        <w:t>上述费用为暂定合同价，概算编制时参照《工程勘察设计收费标准》（2002年修订本）编制设计费概算，</w:t>
      </w:r>
      <w:r>
        <w:rPr>
          <w:rFonts w:hint="eastAsia" w:ascii="宋体" w:hAnsi="宋体"/>
          <w:color w:val="auto"/>
          <w:sz w:val="24"/>
          <w:highlight w:val="none"/>
          <w:lang w:eastAsia="zh-CN"/>
        </w:rPr>
        <w:t>并按批复的概算中相应设计费核算最终合同价</w:t>
      </w:r>
      <w:r>
        <w:rPr>
          <w:rFonts w:hint="eastAsia" w:ascii="宋体" w:hAnsi="宋体" w:eastAsia="宋体"/>
          <w:color w:val="auto"/>
          <w:kern w:val="2"/>
          <w:sz w:val="24"/>
          <w:szCs w:val="24"/>
          <w:highlight w:val="none"/>
          <w:lang w:eastAsia="zh-CN"/>
        </w:rPr>
        <w:t>，</w:t>
      </w:r>
      <w:r>
        <w:rPr>
          <w:rFonts w:hint="eastAsia" w:ascii="宋体" w:hAnsi="宋体" w:eastAsia="宋体"/>
          <w:bCs/>
          <w:snapToGrid w:val="0"/>
          <w:color w:val="auto"/>
          <w:sz w:val="24"/>
          <w:szCs w:val="24"/>
          <w:highlight w:val="none"/>
          <w:u w:val="single"/>
          <w:lang w:eastAsia="zh-CN"/>
        </w:rPr>
        <w:t>工程设计费</w:t>
      </w:r>
      <w:r>
        <w:rPr>
          <w:rFonts w:hint="eastAsia" w:ascii="宋体" w:hAnsi="宋体" w:eastAsia="宋体"/>
          <w:color w:val="auto"/>
          <w:kern w:val="2"/>
          <w:sz w:val="24"/>
          <w:szCs w:val="24"/>
          <w:highlight w:val="none"/>
          <w:u w:val="single"/>
          <w:lang w:eastAsia="zh-CN"/>
        </w:rPr>
        <w:t>最终合同价=[批复概算中相应的设计费]×[1-2</w:t>
      </w:r>
      <w:r>
        <w:rPr>
          <w:rFonts w:hint="eastAsia" w:ascii="宋体" w:hAnsi="宋体" w:eastAsia="宋体"/>
          <w:color w:val="auto"/>
          <w:kern w:val="2"/>
          <w:sz w:val="24"/>
          <w:szCs w:val="24"/>
          <w:highlight w:val="none"/>
          <w:u w:val="single"/>
          <w:lang w:val="en-US" w:eastAsia="zh-CN"/>
        </w:rPr>
        <w:t>5</w:t>
      </w:r>
      <w:r>
        <w:rPr>
          <w:rFonts w:hint="eastAsia" w:ascii="宋体" w:hAnsi="宋体" w:eastAsia="宋体"/>
          <w:color w:val="auto"/>
          <w:kern w:val="2"/>
          <w:sz w:val="24"/>
          <w:szCs w:val="24"/>
          <w:highlight w:val="none"/>
          <w:u w:val="single"/>
          <w:lang w:eastAsia="zh-CN"/>
        </w:rPr>
        <w:t>%（合同约定下浮率）] ×[1-  %（设计费投标下浮率）]。[注：设计费投标下浮率=（设计费最高投标限价-设计费中标价）/设计费最高投标限价×100%]</w:t>
      </w:r>
    </w:p>
    <w:p w14:paraId="2794E4F7">
      <w:pPr>
        <w:snapToGrid w:val="0"/>
        <w:spacing w:line="324" w:lineRule="auto"/>
        <w:ind w:firstLine="480" w:firstLineChars="200"/>
        <w:jc w:val="both"/>
        <w:rPr>
          <w:rFonts w:hint="eastAsia"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lang w:eastAsia="zh-CN"/>
        </w:rPr>
        <w:t>（4）如项目概算调整，则设计费也应按上述原则做相应调整，双方签订补充合同确定设计费。</w:t>
      </w:r>
      <w:r>
        <w:rPr>
          <w:rFonts w:hint="eastAsia" w:ascii="宋体" w:hAnsi="宋体" w:eastAsia="宋体"/>
          <w:color w:val="auto"/>
          <w:kern w:val="2"/>
          <w:sz w:val="24"/>
          <w:szCs w:val="24"/>
          <w:highlight w:val="none"/>
          <w:lang w:val="en-US" w:eastAsia="zh-CN"/>
        </w:rPr>
        <w:t>如设计有较大修改，双方协商确定设计修改费</w:t>
      </w:r>
      <w:r>
        <w:rPr>
          <w:rFonts w:hint="eastAsia" w:ascii="宋体" w:hAnsi="宋体" w:eastAsia="宋体"/>
          <w:color w:val="auto"/>
          <w:kern w:val="2"/>
          <w:sz w:val="24"/>
          <w:szCs w:val="24"/>
          <w:highlight w:val="none"/>
          <w:lang w:eastAsia="zh-CN"/>
        </w:rPr>
        <w:t>。最终结算价以结算终审单位审核后的终审价为准。</w:t>
      </w:r>
    </w:p>
    <w:p w14:paraId="0596CB6C">
      <w:pPr>
        <w:snapToGrid w:val="0"/>
        <w:spacing w:line="324" w:lineRule="auto"/>
        <w:ind w:firstLine="480" w:firstLineChars="200"/>
        <w:jc w:val="both"/>
        <w:rPr>
          <w:rFonts w:hint="eastAsia" w:eastAsia="等线"/>
          <w:color w:val="auto"/>
          <w:highlight w:val="none"/>
          <w:lang w:eastAsia="zh-CN"/>
        </w:rPr>
      </w:pPr>
      <w:r>
        <w:rPr>
          <w:rFonts w:hint="eastAsia" w:ascii="宋体" w:hAnsi="宋体" w:eastAsia="宋体"/>
          <w:color w:val="auto"/>
          <w:kern w:val="2"/>
          <w:sz w:val="24"/>
          <w:szCs w:val="24"/>
          <w:highlight w:val="none"/>
          <w:lang w:eastAsia="zh-CN"/>
        </w:rPr>
        <w:t>4.2.2</w:t>
      </w:r>
      <w:r>
        <w:rPr>
          <w:rFonts w:hint="eastAsia" w:ascii="宋体" w:hAnsi="宋体" w:eastAsia="宋体"/>
          <w:bCs/>
          <w:snapToGrid w:val="0"/>
          <w:color w:val="auto"/>
          <w:sz w:val="24"/>
          <w:szCs w:val="24"/>
          <w:highlight w:val="none"/>
          <w:lang w:eastAsia="zh-CN"/>
        </w:rPr>
        <w:t>勘察费</w:t>
      </w:r>
    </w:p>
    <w:p w14:paraId="3FB6FD70">
      <w:pPr>
        <w:pStyle w:val="27"/>
        <w:spacing w:after="0" w:line="360" w:lineRule="auto"/>
        <w:ind w:left="0" w:leftChars="0" w:firstLine="480"/>
        <w:rPr>
          <w:rFonts w:hint="eastAsia" w:ascii="宋体" w:hAnsi="宋体" w:cs="宋体"/>
          <w:color w:val="auto"/>
          <w:sz w:val="24"/>
          <w:highlight w:val="none"/>
          <w:u w:val="single"/>
          <w:lang w:eastAsia="zh-CN"/>
        </w:rPr>
      </w:pPr>
      <w:r>
        <w:rPr>
          <w:rFonts w:hint="eastAsia" w:ascii="宋体" w:hAnsi="宋体" w:eastAsia="宋体"/>
          <w:bCs/>
          <w:snapToGrid w:val="0"/>
          <w:color w:val="auto"/>
          <w:sz w:val="24"/>
          <w:highlight w:val="none"/>
          <w:lang w:eastAsia="zh-CN"/>
        </w:rPr>
        <w:t>（1）</w:t>
      </w:r>
      <w:r>
        <w:rPr>
          <w:rFonts w:hint="eastAsia" w:ascii="宋体" w:hAnsi="宋体" w:eastAsia="宋体" w:cs="宋体"/>
          <w:color w:val="auto"/>
          <w:sz w:val="24"/>
          <w:highlight w:val="none"/>
          <w:lang w:eastAsia="zh-CN"/>
        </w:rPr>
        <w:t>勘察费总额</w:t>
      </w:r>
      <w:r>
        <w:rPr>
          <w:rFonts w:hint="eastAsia" w:ascii="宋体" w:hAnsi="宋体" w:eastAsia="宋体"/>
          <w:bCs/>
          <w:snapToGrid w:val="0"/>
          <w:color w:val="auto"/>
          <w:sz w:val="24"/>
          <w:highlight w:val="none"/>
          <w:lang w:eastAsia="zh-CN"/>
        </w:rPr>
        <w:t>暂定为</w:t>
      </w:r>
      <w:r>
        <w:rPr>
          <w:rFonts w:hint="eastAsia" w:ascii="宋体" w:hAnsi="宋体" w:eastAsia="宋体"/>
          <w:bCs/>
          <w:snapToGrid w:val="0"/>
          <w:color w:val="auto"/>
          <w:sz w:val="24"/>
          <w:highlight w:val="none"/>
          <w:u w:val="single"/>
          <w:lang w:eastAsia="zh-CN"/>
        </w:rPr>
        <w:t xml:space="preserve">    </w:t>
      </w:r>
      <w:r>
        <w:rPr>
          <w:rFonts w:hint="eastAsia" w:ascii="宋体" w:hAnsi="宋体" w:eastAsia="宋体"/>
          <w:bCs/>
          <w:snapToGrid w:val="0"/>
          <w:color w:val="auto"/>
          <w:sz w:val="24"/>
          <w:highlight w:val="none"/>
          <w:lang w:eastAsia="zh-CN"/>
        </w:rPr>
        <w:t>元，</w:t>
      </w:r>
      <w:r>
        <w:rPr>
          <w:rFonts w:hint="eastAsia" w:ascii="宋体" w:hAnsi="宋体" w:cs="宋体"/>
          <w:color w:val="auto"/>
          <w:sz w:val="24"/>
          <w:highlight w:val="none"/>
          <w:u w:val="single"/>
          <w:lang w:eastAsia="zh-CN"/>
        </w:rPr>
        <w:t>其中：不含税合同价暂定为人民币大写：【】（￥【】元），增值税率为【】%（本合同约定不含税价格不因国家税率变化而变化，若在合同履行期间，国家的税率调整，则不含税价不变，价税合计（总价）相应调整，以开具发票的时间为准）。</w:t>
      </w:r>
    </w:p>
    <w:p w14:paraId="544E9A18">
      <w:pPr>
        <w:pStyle w:val="27"/>
        <w:spacing w:after="0" w:line="360" w:lineRule="auto"/>
        <w:ind w:left="0" w:leftChars="0" w:firstLine="480"/>
        <w:rPr>
          <w:rFonts w:hint="eastAsia" w:ascii="宋体" w:hAnsi="宋体" w:eastAsia="宋体" w:cs="宋体"/>
          <w:color w:val="auto"/>
          <w:kern w:val="2"/>
          <w:sz w:val="24"/>
          <w:highlight w:val="none"/>
          <w:lang w:eastAsia="zh-CN"/>
        </w:rPr>
      </w:pPr>
      <w:r>
        <w:rPr>
          <w:rFonts w:hint="eastAsia" w:ascii="宋体" w:hAnsi="宋体" w:cs="宋体"/>
          <w:color w:val="auto"/>
          <w:sz w:val="24"/>
          <w:highlight w:val="none"/>
          <w:u w:val="single"/>
          <w:lang w:eastAsia="zh-CN"/>
        </w:rPr>
        <w:t>（2）合同价款形式：本合同采用综合单价包干方式计取勘察费用，</w:t>
      </w:r>
      <w:r>
        <w:rPr>
          <w:rFonts w:hint="eastAsia" w:cs="宋体"/>
          <w:color w:val="auto"/>
          <w:sz w:val="24"/>
          <w:szCs w:val="21"/>
          <w:highlight w:val="none"/>
          <w:lang w:val="zh-CN" w:eastAsia="zh-CN"/>
        </w:rPr>
        <w:t>工程勘察（不含超前钻）综合包干单价</w:t>
      </w:r>
      <w:r>
        <w:rPr>
          <w:rFonts w:hint="eastAsia" w:cs="宋体"/>
          <w:color w:val="auto"/>
          <w:sz w:val="24"/>
          <w:szCs w:val="21"/>
          <w:highlight w:val="none"/>
          <w:lang w:eastAsia="zh-CN"/>
        </w:rPr>
        <w:t>为</w:t>
      </w:r>
      <w:r>
        <w:rPr>
          <w:rFonts w:hint="eastAsia" w:cs="宋体"/>
          <w:color w:val="auto"/>
          <w:sz w:val="24"/>
          <w:szCs w:val="21"/>
          <w:highlight w:val="none"/>
          <w:u w:val="single"/>
          <w:lang w:eastAsia="zh-CN"/>
        </w:rPr>
        <w:t xml:space="preserve">   </w:t>
      </w:r>
      <w:r>
        <w:rPr>
          <w:rFonts w:hint="eastAsia" w:cs="宋体"/>
          <w:color w:val="auto"/>
          <w:sz w:val="24"/>
          <w:szCs w:val="21"/>
          <w:highlight w:val="none"/>
          <w:lang w:eastAsia="zh-CN"/>
        </w:rPr>
        <w:t>元/米</w:t>
      </w:r>
      <w:r>
        <w:rPr>
          <w:rFonts w:hint="eastAsia" w:ascii="宋体" w:hAnsi="宋体" w:eastAsia="宋体" w:cs="宋体"/>
          <w:color w:val="auto"/>
          <w:sz w:val="24"/>
          <w:szCs w:val="21"/>
          <w:highlight w:val="none"/>
          <w:lang w:eastAsia="zh-CN"/>
        </w:rPr>
        <w:t>（暂估工程量</w:t>
      </w:r>
      <w:r>
        <w:rPr>
          <w:rFonts w:hint="eastAsia" w:cs="宋体"/>
          <w:color w:val="auto"/>
          <w:sz w:val="24"/>
          <w:szCs w:val="21"/>
          <w:highlight w:val="none"/>
          <w:u w:val="single"/>
          <w:lang w:eastAsia="zh-CN"/>
        </w:rPr>
        <w:t xml:space="preserve">   </w:t>
      </w:r>
      <w:r>
        <w:rPr>
          <w:rFonts w:hint="eastAsia" w:ascii="宋体" w:hAnsi="宋体" w:eastAsia="宋体" w:cs="宋体"/>
          <w:color w:val="auto"/>
          <w:sz w:val="24"/>
          <w:szCs w:val="21"/>
          <w:highlight w:val="none"/>
          <w:lang w:eastAsia="zh-CN"/>
        </w:rPr>
        <w:t>米）</w:t>
      </w:r>
      <w:r>
        <w:rPr>
          <w:rFonts w:hint="eastAsia" w:cs="宋体"/>
          <w:color w:val="auto"/>
          <w:sz w:val="24"/>
          <w:szCs w:val="21"/>
          <w:highlight w:val="none"/>
          <w:lang w:eastAsia="zh-CN"/>
        </w:rPr>
        <w:t>，</w:t>
      </w:r>
      <w:r>
        <w:rPr>
          <w:rFonts w:hint="eastAsia" w:cs="宋体"/>
          <w:color w:val="auto"/>
          <w:sz w:val="24"/>
          <w:szCs w:val="21"/>
          <w:highlight w:val="none"/>
          <w:lang w:val="zh-CN" w:eastAsia="zh-CN"/>
        </w:rPr>
        <w:t>超前钻综合包干单价</w:t>
      </w:r>
      <w:r>
        <w:rPr>
          <w:rFonts w:hint="eastAsia" w:cs="宋体"/>
          <w:color w:val="auto"/>
          <w:sz w:val="24"/>
          <w:szCs w:val="21"/>
          <w:highlight w:val="none"/>
          <w:lang w:eastAsia="zh-CN"/>
        </w:rPr>
        <w:t>为</w:t>
      </w:r>
      <w:r>
        <w:rPr>
          <w:rFonts w:hint="eastAsia" w:cs="宋体"/>
          <w:color w:val="auto"/>
          <w:sz w:val="24"/>
          <w:szCs w:val="21"/>
          <w:highlight w:val="none"/>
          <w:u w:val="single"/>
          <w:lang w:eastAsia="zh-CN"/>
        </w:rPr>
        <w:t xml:space="preserve">  </w:t>
      </w:r>
      <w:r>
        <w:rPr>
          <w:rFonts w:hint="eastAsia" w:cs="宋体"/>
          <w:color w:val="auto"/>
          <w:sz w:val="24"/>
          <w:szCs w:val="21"/>
          <w:highlight w:val="none"/>
          <w:lang w:eastAsia="zh-CN"/>
        </w:rPr>
        <w:t>元/米</w:t>
      </w:r>
      <w:r>
        <w:rPr>
          <w:rFonts w:hint="eastAsia" w:ascii="宋体" w:hAnsi="宋体" w:eastAsia="宋体" w:cs="宋体"/>
          <w:color w:val="auto"/>
          <w:sz w:val="24"/>
          <w:szCs w:val="21"/>
          <w:highlight w:val="none"/>
          <w:lang w:eastAsia="zh-CN"/>
        </w:rPr>
        <w:t>（暂估工程量</w:t>
      </w:r>
      <w:r>
        <w:rPr>
          <w:rFonts w:hint="eastAsia" w:cs="宋体"/>
          <w:color w:val="auto"/>
          <w:sz w:val="24"/>
          <w:szCs w:val="21"/>
          <w:highlight w:val="none"/>
          <w:u w:val="single"/>
          <w:lang w:eastAsia="zh-CN"/>
        </w:rPr>
        <w:t xml:space="preserve">   </w:t>
      </w:r>
      <w:r>
        <w:rPr>
          <w:rFonts w:hint="eastAsia" w:ascii="宋体" w:hAnsi="宋体" w:eastAsia="宋体" w:cs="宋体"/>
          <w:color w:val="auto"/>
          <w:sz w:val="24"/>
          <w:szCs w:val="21"/>
          <w:highlight w:val="none"/>
          <w:lang w:eastAsia="zh-CN"/>
        </w:rPr>
        <w:t>米）</w:t>
      </w:r>
      <w:r>
        <w:rPr>
          <w:rFonts w:hint="eastAsia" w:ascii="宋体" w:hAnsi="宋体" w:eastAsia="宋体" w:cs="宋体"/>
          <w:color w:val="auto"/>
          <w:kern w:val="2"/>
          <w:sz w:val="24"/>
          <w:highlight w:val="none"/>
          <w:lang w:eastAsia="zh-CN"/>
        </w:rPr>
        <w:t>。</w:t>
      </w:r>
    </w:p>
    <w:p w14:paraId="1AC4F61D">
      <w:pPr>
        <w:pStyle w:val="27"/>
        <w:spacing w:after="0" w:line="360" w:lineRule="auto"/>
        <w:ind w:left="0" w:leftChars="0" w:firstLine="480"/>
        <w:rPr>
          <w:rFonts w:hint="eastAsia" w:ascii="宋体" w:hAnsi="宋体" w:cs="宋体"/>
          <w:bCs/>
          <w:color w:val="auto"/>
          <w:sz w:val="24"/>
          <w:highlight w:val="none"/>
          <w:u w:val="single"/>
          <w:lang w:eastAsia="zh-CN"/>
        </w:rPr>
      </w:pPr>
      <w:r>
        <w:rPr>
          <w:rFonts w:hint="eastAsia" w:ascii="宋体" w:hAnsi="宋体" w:eastAsia="宋体"/>
          <w:bCs/>
          <w:snapToGrid w:val="0"/>
          <w:color w:val="auto"/>
          <w:sz w:val="24"/>
          <w:highlight w:val="none"/>
          <w:lang w:eastAsia="zh-CN"/>
        </w:rPr>
        <w:t>（3）</w:t>
      </w:r>
      <w:r>
        <w:rPr>
          <w:rFonts w:hint="eastAsia" w:ascii="宋体" w:hAnsi="宋体" w:cs="宋体"/>
          <w:bCs/>
          <w:color w:val="auto"/>
          <w:sz w:val="24"/>
          <w:highlight w:val="none"/>
          <w:u w:val="single"/>
          <w:lang w:eastAsia="zh-CN"/>
        </w:rPr>
        <w:t>勘察费用包含了为实施和完成本项目全部服务工作所需的人工费、材料费、机械设备费、监测试验费、测点埋设和损坏修复费、各项措施费（包括但不限于安全文明施工、临水临电安装、临时道路铺设、机械设备进出场、工作面清理及整理、监测点布控、现场监测协调、疏干排水、工作搭架、工作棚等相关费用）、报告编写费、配合协调费、工程保险费、风险费、管理费、规费、利润、税金等所有的一切相关费用。</w:t>
      </w:r>
    </w:p>
    <w:p w14:paraId="0D50B19F">
      <w:pPr>
        <w:pStyle w:val="27"/>
        <w:spacing w:after="0" w:line="360" w:lineRule="auto"/>
        <w:ind w:left="0" w:leftChars="0"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（4）在合同实施期间岩土工程勘察、工程测量、工程物探按实际完成工作量计取，但综合单价不作调整。</w:t>
      </w:r>
    </w:p>
    <w:p w14:paraId="6438F2FE">
      <w:pPr>
        <w:pStyle w:val="27"/>
        <w:spacing w:after="0" w:line="360" w:lineRule="auto"/>
        <w:ind w:left="0" w:leftChars="0"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w:t>
      </w:r>
      <w:r>
        <w:rPr>
          <w:rFonts w:hint="eastAsia" w:ascii="宋体" w:hAnsi="宋体" w:cs="宋体"/>
          <w:color w:val="auto"/>
          <w:sz w:val="24"/>
          <w:highlight w:val="none"/>
          <w:u w:val="single"/>
          <w:lang w:eastAsia="zh-CN"/>
        </w:rPr>
        <w:t>合同价款调整：若合同价款涉及调整的，应按相关规定办理审批。</w:t>
      </w:r>
    </w:p>
    <w:p w14:paraId="3431601D">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5、组成合同的文件</w:t>
      </w:r>
    </w:p>
    <w:p w14:paraId="69588A99">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5.1</w:t>
      </w:r>
      <w:r>
        <w:rPr>
          <w:rFonts w:hint="eastAsia" w:ascii="宋体" w:hAnsi="宋体" w:eastAsia="宋体"/>
          <w:bCs/>
          <w:snapToGrid w:val="0"/>
          <w:color w:val="auto"/>
          <w:sz w:val="24"/>
          <w:szCs w:val="24"/>
          <w:highlight w:val="none"/>
          <w:lang w:eastAsia="zh-CN"/>
        </w:rPr>
        <w:t>下列文件应被认为是组成本合同的一部分，并互为补充和解释，如各文件存在冲突之处，以如下排列次序在前者优先适用：</w:t>
      </w:r>
    </w:p>
    <w:p w14:paraId="5B436B54">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（1）国家和广东省、广州市人民政府及有关主管部门关于“天河区元岗村城中村改造项目AT0206007地块（即YG8号地块）勘察和初步设计”的有关文件；</w:t>
      </w:r>
    </w:p>
    <w:p w14:paraId="1F522C02">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（2）本合同履行期间甲乙双方签订的补充合同（协议）或修正文件；</w:t>
      </w:r>
    </w:p>
    <w:p w14:paraId="6703D079">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（3）合同协议书；</w:t>
      </w:r>
    </w:p>
    <w:p w14:paraId="173525F1">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（4）中标通知书； </w:t>
      </w:r>
    </w:p>
    <w:p w14:paraId="42D7B132">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（5）合同条款；</w:t>
      </w:r>
    </w:p>
    <w:p w14:paraId="7D3433DB">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（6）甲方针对</w:t>
      </w:r>
      <w:r>
        <w:rPr>
          <w:rFonts w:hint="eastAsia" w:ascii="宋体" w:hAnsi="宋体" w:eastAsia="宋体"/>
          <w:bCs/>
          <w:snapToGrid w:val="0"/>
          <w:color w:val="auto"/>
          <w:sz w:val="24"/>
          <w:szCs w:val="24"/>
          <w:highlight w:val="none"/>
          <w:u w:val="single"/>
          <w:lang w:eastAsia="zh-CN"/>
        </w:rPr>
        <w:t>天河区元岗村城中村改造项目AT0206007地块（即YG8号地块）勘察和初步设计</w:t>
      </w:r>
      <w:r>
        <w:rPr>
          <w:rFonts w:hint="eastAsia" w:ascii="宋体" w:hAnsi="宋体" w:eastAsia="宋体"/>
          <w:bCs/>
          <w:snapToGrid w:val="0"/>
          <w:color w:val="auto"/>
          <w:sz w:val="24"/>
          <w:szCs w:val="24"/>
          <w:highlight w:val="none"/>
          <w:lang w:eastAsia="zh-CN"/>
        </w:rPr>
        <w:t>管理的各项制度、规定；</w:t>
      </w:r>
    </w:p>
    <w:p w14:paraId="4BA0207C">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（7）合同附件[属本条第（1）项和第（6）项内容的除外]；</w:t>
      </w:r>
    </w:p>
    <w:p w14:paraId="3734536B">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（8）招标文件[含招标文件补充文件、招标澄清文件、答疑文件等，属本条第（7）项内容的除外]；</w:t>
      </w:r>
    </w:p>
    <w:p w14:paraId="2134317B">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（9）乙方投标文件及其附件[含投标文件澄清等，属本条第（7）项内容的除外]；</w:t>
      </w:r>
    </w:p>
    <w:p w14:paraId="03CB1D1D">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（10）国家及广东省、广州市的标准、规范及有关技术文件；</w:t>
      </w:r>
    </w:p>
    <w:p w14:paraId="54E6C4E9">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（11）组成本合同的其他文件。</w:t>
      </w:r>
    </w:p>
    <w:p w14:paraId="764ED02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通过上述顺序解释仍无法明确的事项，由</w:t>
      </w:r>
      <w:r>
        <w:rPr>
          <w:rFonts w:hint="eastAsia" w:ascii="宋体" w:hAnsi="宋体" w:eastAsia="宋体"/>
          <w:bCs/>
          <w:snapToGrid w:val="0"/>
          <w:color w:val="auto"/>
          <w:sz w:val="24"/>
          <w:szCs w:val="24"/>
          <w:highlight w:val="none"/>
          <w:lang w:eastAsia="zh-CN"/>
        </w:rPr>
        <w:t>甲方与乙方</w:t>
      </w:r>
      <w:r>
        <w:rPr>
          <w:rFonts w:hint="eastAsia" w:ascii="宋体" w:hAnsi="宋体" w:eastAsia="宋体"/>
          <w:snapToGrid w:val="0"/>
          <w:color w:val="auto"/>
          <w:sz w:val="24"/>
          <w:szCs w:val="24"/>
          <w:highlight w:val="none"/>
          <w:lang w:eastAsia="zh-CN"/>
        </w:rPr>
        <w:t>协商解决；如协商不成，由</w:t>
      </w:r>
      <w:r>
        <w:rPr>
          <w:rFonts w:hint="eastAsia" w:ascii="宋体" w:hAnsi="宋体" w:eastAsia="宋体"/>
          <w:bCs/>
          <w:snapToGrid w:val="0"/>
          <w:color w:val="auto"/>
          <w:sz w:val="24"/>
          <w:szCs w:val="24"/>
          <w:highlight w:val="none"/>
          <w:lang w:eastAsia="zh-CN"/>
        </w:rPr>
        <w:t>甲方</w:t>
      </w:r>
      <w:r>
        <w:rPr>
          <w:rFonts w:hint="eastAsia" w:ascii="宋体" w:hAnsi="宋体" w:eastAsia="宋体"/>
          <w:snapToGrid w:val="0"/>
          <w:color w:val="auto"/>
          <w:sz w:val="24"/>
          <w:szCs w:val="24"/>
          <w:highlight w:val="none"/>
          <w:lang w:eastAsia="zh-CN"/>
        </w:rPr>
        <w:t>按照公平合理和有利于本工程建设的原则作出决定。如</w:t>
      </w:r>
      <w:r>
        <w:rPr>
          <w:rFonts w:hint="eastAsia" w:ascii="宋体" w:hAnsi="宋体" w:eastAsia="宋体"/>
          <w:bCs/>
          <w:snapToGrid w:val="0"/>
          <w:color w:val="auto"/>
          <w:sz w:val="24"/>
          <w:szCs w:val="24"/>
          <w:highlight w:val="none"/>
          <w:lang w:eastAsia="zh-CN"/>
        </w:rPr>
        <w:t>乙方</w:t>
      </w:r>
      <w:r>
        <w:rPr>
          <w:rFonts w:hint="eastAsia" w:ascii="宋体" w:hAnsi="宋体" w:eastAsia="宋体"/>
          <w:snapToGrid w:val="0"/>
          <w:color w:val="auto"/>
          <w:sz w:val="24"/>
          <w:szCs w:val="24"/>
          <w:highlight w:val="none"/>
          <w:lang w:eastAsia="zh-CN"/>
        </w:rPr>
        <w:t>对此决定不服的，应在接到</w:t>
      </w:r>
      <w:r>
        <w:rPr>
          <w:rFonts w:hint="eastAsia" w:ascii="宋体" w:hAnsi="宋体" w:eastAsia="宋体"/>
          <w:bCs/>
          <w:snapToGrid w:val="0"/>
          <w:color w:val="auto"/>
          <w:sz w:val="24"/>
          <w:szCs w:val="24"/>
          <w:highlight w:val="none"/>
          <w:lang w:eastAsia="zh-CN"/>
        </w:rPr>
        <w:t>甲方</w:t>
      </w:r>
      <w:r>
        <w:rPr>
          <w:rFonts w:hint="eastAsia" w:ascii="宋体" w:hAnsi="宋体" w:eastAsia="宋体"/>
          <w:snapToGrid w:val="0"/>
          <w:color w:val="auto"/>
          <w:sz w:val="24"/>
          <w:szCs w:val="24"/>
          <w:highlight w:val="none"/>
          <w:lang w:eastAsia="zh-CN"/>
        </w:rPr>
        <w:t>决定之日起三日内提出书面异议；如期满不提出书面异议的，视为同意</w:t>
      </w:r>
      <w:r>
        <w:rPr>
          <w:rFonts w:hint="eastAsia" w:ascii="宋体" w:hAnsi="宋体" w:eastAsia="宋体"/>
          <w:bCs/>
          <w:snapToGrid w:val="0"/>
          <w:color w:val="auto"/>
          <w:sz w:val="24"/>
          <w:szCs w:val="24"/>
          <w:highlight w:val="none"/>
          <w:lang w:eastAsia="zh-CN"/>
        </w:rPr>
        <w:t>甲方</w:t>
      </w:r>
      <w:r>
        <w:rPr>
          <w:rFonts w:hint="eastAsia" w:ascii="宋体" w:hAnsi="宋体" w:eastAsia="宋体"/>
          <w:snapToGrid w:val="0"/>
          <w:color w:val="auto"/>
          <w:sz w:val="24"/>
          <w:szCs w:val="24"/>
          <w:highlight w:val="none"/>
          <w:lang w:eastAsia="zh-CN"/>
        </w:rPr>
        <w:t>的决定。</w:t>
      </w:r>
      <w:r>
        <w:rPr>
          <w:rFonts w:hint="eastAsia" w:ascii="宋体" w:hAnsi="宋体" w:eastAsia="宋体"/>
          <w:bCs/>
          <w:snapToGrid w:val="0"/>
          <w:color w:val="auto"/>
          <w:sz w:val="24"/>
          <w:szCs w:val="24"/>
          <w:highlight w:val="none"/>
          <w:lang w:eastAsia="zh-CN"/>
        </w:rPr>
        <w:t>甲方</w:t>
      </w:r>
      <w:r>
        <w:rPr>
          <w:rFonts w:hint="eastAsia" w:ascii="宋体" w:hAnsi="宋体" w:eastAsia="宋体"/>
          <w:snapToGrid w:val="0"/>
          <w:color w:val="auto"/>
          <w:sz w:val="24"/>
          <w:szCs w:val="24"/>
          <w:highlight w:val="none"/>
          <w:lang w:eastAsia="zh-CN"/>
        </w:rPr>
        <w:t>收到</w:t>
      </w:r>
      <w:r>
        <w:rPr>
          <w:rFonts w:hint="eastAsia" w:ascii="宋体" w:hAnsi="宋体" w:eastAsia="宋体"/>
          <w:bCs/>
          <w:snapToGrid w:val="0"/>
          <w:color w:val="auto"/>
          <w:sz w:val="24"/>
          <w:szCs w:val="24"/>
          <w:highlight w:val="none"/>
          <w:lang w:eastAsia="zh-CN"/>
        </w:rPr>
        <w:t>乙方</w:t>
      </w:r>
      <w:r>
        <w:rPr>
          <w:rFonts w:hint="eastAsia" w:ascii="宋体" w:hAnsi="宋体" w:eastAsia="宋体"/>
          <w:snapToGrid w:val="0"/>
          <w:color w:val="auto"/>
          <w:sz w:val="24"/>
          <w:szCs w:val="24"/>
          <w:highlight w:val="none"/>
          <w:lang w:eastAsia="zh-CN"/>
        </w:rPr>
        <w:t>的书面异议后应作出进一步的决定，如</w:t>
      </w:r>
      <w:r>
        <w:rPr>
          <w:rFonts w:hint="eastAsia" w:ascii="宋体" w:hAnsi="宋体" w:eastAsia="宋体"/>
          <w:bCs/>
          <w:snapToGrid w:val="0"/>
          <w:color w:val="auto"/>
          <w:sz w:val="24"/>
          <w:szCs w:val="24"/>
          <w:highlight w:val="none"/>
          <w:lang w:eastAsia="zh-CN"/>
        </w:rPr>
        <w:t>乙方</w:t>
      </w:r>
      <w:r>
        <w:rPr>
          <w:rFonts w:hint="eastAsia" w:ascii="宋体" w:hAnsi="宋体" w:eastAsia="宋体"/>
          <w:snapToGrid w:val="0"/>
          <w:color w:val="auto"/>
          <w:sz w:val="24"/>
          <w:szCs w:val="24"/>
          <w:highlight w:val="none"/>
          <w:lang w:eastAsia="zh-CN"/>
        </w:rPr>
        <w:t>仍有异议的，可按合同</w:t>
      </w:r>
      <w:r>
        <w:rPr>
          <w:rFonts w:hint="eastAsia" w:ascii="宋体" w:hAnsi="宋体" w:eastAsia="宋体"/>
          <w:bCs/>
          <w:snapToGrid w:val="0"/>
          <w:color w:val="auto"/>
          <w:sz w:val="24"/>
          <w:szCs w:val="24"/>
          <w:highlight w:val="none"/>
          <w:lang w:eastAsia="zh-CN"/>
        </w:rPr>
        <w:t>条款第32条的约定处理，但在有关部门没有作出最终裁决之前，乙方必须无条件先执行甲方的决定。</w:t>
      </w:r>
    </w:p>
    <w:p w14:paraId="4195D9FA">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5.2</w:t>
      </w:r>
      <w:r>
        <w:rPr>
          <w:rFonts w:hint="eastAsia" w:ascii="宋体" w:hAnsi="宋体" w:eastAsia="宋体"/>
          <w:bCs/>
          <w:snapToGrid w:val="0"/>
          <w:color w:val="auto"/>
          <w:sz w:val="24"/>
          <w:szCs w:val="24"/>
          <w:highlight w:val="none"/>
          <w:lang w:eastAsia="zh-CN"/>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526EB02F">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6</w:t>
      </w:r>
      <w:r>
        <w:rPr>
          <w:rFonts w:hint="eastAsia" w:ascii="宋体" w:hAnsi="宋体" w:eastAsia="宋体"/>
          <w:bCs/>
          <w:snapToGrid w:val="0"/>
          <w:color w:val="auto"/>
          <w:sz w:val="24"/>
          <w:szCs w:val="24"/>
          <w:highlight w:val="none"/>
          <w:lang w:eastAsia="zh-CN"/>
        </w:rPr>
        <w:t>、乙方应在收到中标通知书之日起5日内以书面形式向甲方提交其法定代表人、项目负责人的姓名、身份证复印件、职务、职称、联系方式（包括办公电话、手机、传真号码、邮箱）、通信地址等信息作为合同附件。</w:t>
      </w:r>
    </w:p>
    <w:p w14:paraId="17F9D0C8">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7</w:t>
      </w:r>
      <w:r>
        <w:rPr>
          <w:rFonts w:hint="eastAsia" w:ascii="宋体" w:hAnsi="宋体" w:eastAsia="宋体"/>
          <w:bCs/>
          <w:snapToGrid w:val="0"/>
          <w:color w:val="auto"/>
          <w:sz w:val="24"/>
          <w:szCs w:val="24"/>
          <w:highlight w:val="none"/>
          <w:lang w:eastAsia="zh-CN"/>
        </w:rPr>
        <w:t>、在本合同有效期内，乙方的单位名称变更的，应及时以书面形式通知甲方并附上变更登记资料；乙方法定代表人变更的，应在变更之日起15日内向甲方提交新法定代表人的姓名、身份证复印件、职务、职称、联系方式、通信地址等信息。</w:t>
      </w:r>
    </w:p>
    <w:p w14:paraId="4AA67588">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8</w:t>
      </w:r>
      <w:r>
        <w:rPr>
          <w:rFonts w:hint="eastAsia" w:ascii="宋体" w:hAnsi="宋体" w:eastAsia="宋体"/>
          <w:bCs/>
          <w:snapToGrid w:val="0"/>
          <w:color w:val="auto"/>
          <w:sz w:val="24"/>
          <w:szCs w:val="24"/>
          <w:highlight w:val="none"/>
          <w:lang w:eastAsia="zh-CN"/>
        </w:rPr>
        <w:t>、在本合同有效期内，乙方更换项目负责人的，除按合同条款的有关约定承担违约责任外，还应在更换之日起7日内将新项目负责人的姓名、职务、职称、联系方式、通信地址等信息提交给甲方。</w:t>
      </w:r>
    </w:p>
    <w:p w14:paraId="75D306E6">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9、</w:t>
      </w:r>
      <w:r>
        <w:rPr>
          <w:rFonts w:hint="eastAsia" w:ascii="宋体" w:hAnsi="宋体" w:eastAsia="宋体"/>
          <w:bCs/>
          <w:snapToGrid w:val="0"/>
          <w:color w:val="auto"/>
          <w:sz w:val="24"/>
          <w:szCs w:val="24"/>
          <w:highlight w:val="none"/>
          <w:lang w:eastAsia="zh-CN"/>
        </w:rPr>
        <w:t>合同协议书中有关词语定义与合同条款中分别赋予它们的定义相同。</w:t>
      </w:r>
    </w:p>
    <w:p w14:paraId="0049D26F">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10、</w:t>
      </w:r>
      <w:r>
        <w:rPr>
          <w:rFonts w:hint="eastAsia" w:ascii="宋体" w:hAnsi="宋体" w:eastAsia="宋体"/>
          <w:bCs/>
          <w:snapToGrid w:val="0"/>
          <w:color w:val="auto"/>
          <w:sz w:val="24"/>
          <w:szCs w:val="24"/>
          <w:highlight w:val="none"/>
          <w:lang w:eastAsia="zh-CN"/>
        </w:rPr>
        <w:t>乙方向甲方承诺按照本合同约定履行义务。</w:t>
      </w:r>
    </w:p>
    <w:p w14:paraId="6744E5DB">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11、</w:t>
      </w:r>
      <w:r>
        <w:rPr>
          <w:rFonts w:hint="eastAsia" w:ascii="宋体" w:hAnsi="宋体" w:eastAsia="宋体"/>
          <w:bCs/>
          <w:snapToGrid w:val="0"/>
          <w:color w:val="auto"/>
          <w:sz w:val="24"/>
          <w:szCs w:val="24"/>
          <w:highlight w:val="none"/>
          <w:lang w:eastAsia="zh-CN"/>
        </w:rPr>
        <w:t>甲方向乙方承诺按照本合同约定履行义务。</w:t>
      </w:r>
    </w:p>
    <w:p w14:paraId="469DB560">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w:t>
      </w:r>
      <w:r>
        <w:rPr>
          <w:rFonts w:hint="eastAsia" w:ascii="宋体" w:hAnsi="宋体" w:eastAsia="宋体"/>
          <w:bCs/>
          <w:snapToGrid w:val="0"/>
          <w:color w:val="auto"/>
          <w:sz w:val="24"/>
          <w:szCs w:val="24"/>
          <w:highlight w:val="none"/>
          <w:lang w:eastAsia="zh-CN"/>
        </w:rPr>
        <w:t>本合同自甲乙双方</w:t>
      </w:r>
      <w:r>
        <w:rPr>
          <w:rFonts w:hint="eastAsia" w:ascii="宋体" w:hAnsi="宋体" w:eastAsia="宋体"/>
          <w:snapToGrid w:val="0"/>
          <w:color w:val="auto"/>
          <w:sz w:val="24"/>
          <w:szCs w:val="24"/>
          <w:highlight w:val="none"/>
          <w:lang w:eastAsia="zh-CN"/>
        </w:rPr>
        <w:t>签字且加盖公章</w:t>
      </w:r>
      <w:r>
        <w:rPr>
          <w:rFonts w:hint="eastAsia" w:ascii="宋体" w:hAnsi="宋体" w:eastAsia="宋体"/>
          <w:bCs/>
          <w:snapToGrid w:val="0"/>
          <w:color w:val="auto"/>
          <w:sz w:val="24"/>
          <w:szCs w:val="24"/>
          <w:highlight w:val="none"/>
          <w:lang w:eastAsia="zh-CN"/>
        </w:rPr>
        <w:t>之日起生效。双方履行完合同约定义务及责任后，本合同自行终止。</w:t>
      </w:r>
      <w:r>
        <w:rPr>
          <w:rFonts w:hint="eastAsia" w:ascii="宋体" w:hAnsi="宋体" w:eastAsia="宋体" w:cs="微软雅黑"/>
          <w:color w:val="auto"/>
          <w:sz w:val="24"/>
          <w:szCs w:val="24"/>
          <w:highlight w:val="none"/>
          <w:lang w:eastAsia="zh-CN"/>
        </w:rPr>
        <w:t>本合同终止后，不影响本合同中保密条款、争议解决条款和其他适用条款的效力。</w:t>
      </w:r>
    </w:p>
    <w:p w14:paraId="03E6B276">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w:t>
      </w:r>
      <w:r>
        <w:rPr>
          <w:rFonts w:hint="eastAsia" w:ascii="宋体" w:hAnsi="宋体" w:eastAsia="宋体"/>
          <w:bCs/>
          <w:snapToGrid w:val="0"/>
          <w:color w:val="auto"/>
          <w:sz w:val="24"/>
          <w:szCs w:val="24"/>
          <w:highlight w:val="none"/>
          <w:lang w:eastAsia="zh-CN"/>
        </w:rPr>
        <w:t>本合同正本一式两份，甲方、乙方各执一份；副本十份，甲方乙方各执五份。</w:t>
      </w:r>
      <w:r>
        <w:rPr>
          <w:rFonts w:hint="eastAsia" w:ascii="宋体" w:hAnsi="宋体" w:eastAsia="宋体"/>
          <w:snapToGrid w:val="0"/>
          <w:color w:val="auto"/>
          <w:sz w:val="24"/>
          <w:szCs w:val="24"/>
          <w:highlight w:val="none"/>
          <w:lang w:eastAsia="zh-CN"/>
        </w:rPr>
        <w:t>合同正、副本具有同等效力，但当合同正本与副本的表述不一致时，以合同正本为准。</w:t>
      </w:r>
    </w:p>
    <w:p w14:paraId="757F055C">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 </w:t>
      </w:r>
    </w:p>
    <w:p w14:paraId="60F35F1C">
      <w:pPr>
        <w:pStyle w:val="27"/>
        <w:spacing w:after="0"/>
        <w:ind w:left="440" w:firstLine="400"/>
        <w:rPr>
          <w:rFonts w:hint="eastAsia" w:eastAsia="宋体"/>
          <w:color w:val="auto"/>
          <w:highlight w:val="none"/>
          <w:lang w:eastAsia="zh-CN"/>
        </w:rPr>
      </w:pPr>
    </w:p>
    <w:p w14:paraId="1AC0B8B7">
      <w:pPr>
        <w:tabs>
          <w:tab w:val="left" w:pos="1620"/>
          <w:tab w:val="left" w:pos="4860"/>
          <w:tab w:val="left" w:pos="4920"/>
        </w:tabs>
        <w:adjustRightInd w:val="0"/>
        <w:snapToGrid w:val="0"/>
        <w:spacing w:line="360" w:lineRule="auto"/>
        <w:ind w:left="4600" w:hanging="4600" w:hangingChars="2300"/>
        <w:jc w:val="both"/>
        <w:rPr>
          <w:rFonts w:hint="eastAsia" w:ascii="宋体" w:hAnsi="宋体" w:eastAsia="宋体"/>
          <w:snapToGrid w:val="0"/>
          <w:color w:val="auto"/>
          <w:spacing w:val="-20"/>
          <w:sz w:val="24"/>
          <w:szCs w:val="24"/>
          <w:highlight w:val="none"/>
          <w:lang w:eastAsia="zh-CN"/>
        </w:rPr>
      </w:pPr>
      <w:r>
        <w:rPr>
          <w:rFonts w:hint="eastAsia" w:ascii="宋体" w:hAnsi="宋体" w:eastAsia="宋体"/>
          <w:snapToGrid w:val="0"/>
          <w:color w:val="auto"/>
          <w:spacing w:val="-20"/>
          <w:sz w:val="24"/>
          <w:szCs w:val="24"/>
          <w:highlight w:val="none"/>
          <w:lang w:eastAsia="zh-CN"/>
        </w:rPr>
        <w:t>甲方：                                                 乙方（主）：</w:t>
      </w:r>
    </w:p>
    <w:p w14:paraId="2718A0DE">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广州环五山创新策源区元岗城市更新有限公司                             </w:t>
      </w:r>
    </w:p>
    <w:p w14:paraId="11C70D9C">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p>
    <w:p w14:paraId="6F41B7EA">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p>
    <w:p w14:paraId="45E3B7D2">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法定代表人或委托代理人：              法定代表人或委托代理人： </w:t>
      </w:r>
    </w:p>
    <w:p w14:paraId="28137360">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p>
    <w:p w14:paraId="48BC2702">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p>
    <w:p w14:paraId="18407552">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地址：                                地址：</w:t>
      </w:r>
    </w:p>
    <w:p w14:paraId="3A436C7A">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邮政编码：                            邮政编码：</w:t>
      </w:r>
    </w:p>
    <w:p w14:paraId="5D01B7A9">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电话：                                电话：  </w:t>
      </w:r>
    </w:p>
    <w:p w14:paraId="50121A43">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传真：                                传真： </w:t>
      </w:r>
    </w:p>
    <w:p w14:paraId="61B226CB">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snapToGrid w:val="0"/>
          <w:color w:val="auto"/>
          <w:sz w:val="24"/>
          <w:szCs w:val="24"/>
          <w:highlight w:val="none"/>
          <w:lang w:eastAsia="zh-CN"/>
        </w:rPr>
      </w:pPr>
    </w:p>
    <w:p w14:paraId="2F99EFB3">
      <w:pPr>
        <w:adjustRightInd w:val="0"/>
        <w:snapToGrid w:val="0"/>
        <w:spacing w:line="360" w:lineRule="auto"/>
        <w:jc w:val="center"/>
        <w:rPr>
          <w:rFonts w:hint="eastAsia" w:ascii="宋体" w:hAnsi="宋体" w:eastAsia="宋体"/>
          <w:b/>
          <w:bCs/>
          <w:snapToGrid w:val="0"/>
          <w:color w:val="auto"/>
          <w:sz w:val="44"/>
          <w:szCs w:val="44"/>
          <w:highlight w:val="none"/>
          <w:lang w:eastAsia="zh-CN"/>
        </w:rPr>
      </w:pPr>
      <w:r>
        <w:rPr>
          <w:rFonts w:hint="eastAsia" w:ascii="宋体" w:hAnsi="宋体" w:eastAsia="宋体"/>
          <w:snapToGrid w:val="0"/>
          <w:color w:val="auto"/>
          <w:sz w:val="24"/>
          <w:szCs w:val="24"/>
          <w:highlight w:val="none"/>
          <w:lang w:eastAsia="zh-CN"/>
        </w:rPr>
        <w:t>本合同于2025年   月   日签订于广东省广州市。</w:t>
      </w:r>
      <w:r>
        <w:rPr>
          <w:rFonts w:hint="eastAsia" w:ascii="宋体" w:hAnsi="宋体" w:eastAsia="宋体"/>
          <w:b/>
          <w:bCs/>
          <w:snapToGrid w:val="0"/>
          <w:color w:val="auto"/>
          <w:sz w:val="44"/>
          <w:szCs w:val="44"/>
          <w:highlight w:val="none"/>
          <w:lang w:eastAsia="zh-CN"/>
        </w:rPr>
        <w:br w:type="page"/>
      </w:r>
      <w:r>
        <w:rPr>
          <w:rFonts w:hint="eastAsia" w:ascii="宋体" w:hAnsi="宋体" w:eastAsia="宋体"/>
          <w:b/>
          <w:bCs/>
          <w:snapToGrid w:val="0"/>
          <w:color w:val="auto"/>
          <w:sz w:val="44"/>
          <w:szCs w:val="44"/>
          <w:highlight w:val="none"/>
          <w:lang w:eastAsia="zh-CN"/>
        </w:rPr>
        <w:t>第二篇  合同条款</w:t>
      </w:r>
    </w:p>
    <w:p w14:paraId="78FF2856">
      <w:pPr>
        <w:adjustRightInd w:val="0"/>
        <w:snapToGrid w:val="0"/>
        <w:spacing w:line="360" w:lineRule="auto"/>
        <w:ind w:right="11"/>
        <w:jc w:val="both"/>
        <w:rPr>
          <w:rFonts w:hint="eastAsia" w:ascii="宋体" w:hAnsi="宋体" w:eastAsia="宋体"/>
          <w:snapToGrid w:val="0"/>
          <w:color w:val="auto"/>
          <w:sz w:val="24"/>
          <w:szCs w:val="24"/>
          <w:highlight w:val="none"/>
          <w:lang w:eastAsia="zh-CN"/>
        </w:rPr>
      </w:pPr>
    </w:p>
    <w:p w14:paraId="6F391CBF">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总  则</w:t>
      </w:r>
    </w:p>
    <w:p w14:paraId="1042A18E">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一、</w:t>
      </w:r>
      <w:r>
        <w:rPr>
          <w:rFonts w:hint="eastAsia" w:ascii="宋体" w:hAnsi="宋体" w:eastAsia="宋体"/>
          <w:snapToGrid w:val="0"/>
          <w:color w:val="auto"/>
          <w:sz w:val="24"/>
          <w:szCs w:val="24"/>
          <w:highlight w:val="none"/>
          <w:lang w:eastAsia="zh-CN"/>
        </w:rPr>
        <w:t>根据勘察、设计管理相关规定和本工程管理实际，本工程将实行社会化、专业化的管理模式。甲方将委托具有相应资质等级的单位，负责本工程的勘察设计咨询工作。</w:t>
      </w:r>
    </w:p>
    <w:p w14:paraId="28FEE4C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二、</w:t>
      </w:r>
      <w:r>
        <w:rPr>
          <w:rFonts w:hint="eastAsia" w:ascii="宋体" w:hAnsi="宋体" w:eastAsia="宋体"/>
          <w:snapToGrid w:val="0"/>
          <w:color w:val="auto"/>
          <w:sz w:val="24"/>
          <w:szCs w:val="24"/>
          <w:highlight w:val="none"/>
          <w:lang w:eastAsia="zh-CN"/>
        </w:rPr>
        <w:t>乙方承诺遵守甲方所制订的针对本工程管理的各项制度、规定，这些管理制度、规定必须符合下列原则：</w:t>
      </w:r>
    </w:p>
    <w:p w14:paraId="05491EB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（1）符合国家、广东省、广州市的有关法律法规、规范和标准；</w:t>
      </w:r>
    </w:p>
    <w:p w14:paraId="0BD2927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（2）符合对本工程进行有效管理的基本精神和要求；</w:t>
      </w:r>
    </w:p>
    <w:p w14:paraId="10D1C8C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（3）为确保勘察、设计质量、进度、效果所需；</w:t>
      </w:r>
    </w:p>
    <w:p w14:paraId="06E87A7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（4）不是针对某一特定的承包人。</w:t>
      </w:r>
    </w:p>
    <w:p w14:paraId="175AF23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p>
    <w:p w14:paraId="13620346">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第一章  一般规定</w:t>
      </w:r>
    </w:p>
    <w:p w14:paraId="1F7590C3">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1、词语定义</w:t>
      </w:r>
    </w:p>
    <w:p w14:paraId="6F3D115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w:t>
      </w:r>
      <w:r>
        <w:rPr>
          <w:rFonts w:hint="eastAsia" w:ascii="宋体" w:hAnsi="宋体" w:eastAsia="宋体"/>
          <w:snapToGrid w:val="0"/>
          <w:color w:val="auto"/>
          <w:sz w:val="24"/>
          <w:szCs w:val="24"/>
          <w:highlight w:val="none"/>
          <w:lang w:eastAsia="zh-CN"/>
        </w:rPr>
        <w:t>本工程：天河区元岗村城中村改造项目AT0206007地块（即YG8号地块）勘察和初步设计。</w:t>
      </w:r>
    </w:p>
    <w:p w14:paraId="3012669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w:t>
      </w:r>
      <w:r>
        <w:rPr>
          <w:rFonts w:hint="eastAsia" w:ascii="宋体" w:hAnsi="宋体" w:eastAsia="宋体"/>
          <w:snapToGrid w:val="0"/>
          <w:color w:val="auto"/>
          <w:sz w:val="24"/>
          <w:szCs w:val="24"/>
          <w:highlight w:val="none"/>
          <w:lang w:eastAsia="zh-CN"/>
        </w:rPr>
        <w:t>甲方：指具有本工程勘察设计发包主体资格和支付本工程勘察设计合同价款能力的当事人，在本合同中特指广州环五山创新策源区元岗城市更新有限公司及其合法继承人。</w:t>
      </w:r>
    </w:p>
    <w:p w14:paraId="008E07E6">
      <w:pPr>
        <w:adjustRightInd w:val="0"/>
        <w:snapToGrid w:val="0"/>
        <w:spacing w:line="360" w:lineRule="auto"/>
        <w:ind w:left="125" w:leftChars="57" w:firstLine="361"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1.3</w:t>
      </w:r>
      <w:r>
        <w:rPr>
          <w:rFonts w:hint="eastAsia" w:ascii="宋体" w:hAnsi="宋体" w:eastAsia="宋体"/>
          <w:snapToGrid w:val="0"/>
          <w:color w:val="auto"/>
          <w:sz w:val="24"/>
          <w:szCs w:val="24"/>
          <w:highlight w:val="none"/>
          <w:lang w:eastAsia="zh-CN"/>
        </w:rPr>
        <w:t>乙方：指在本合同中约定，被甲方接受的具有工程勘察设计主体资格的当事人以及取得该当事人资格的合法继承人。</w:t>
      </w:r>
    </w:p>
    <w:p w14:paraId="6CF7F2B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1.4</w:t>
      </w:r>
      <w:r>
        <w:rPr>
          <w:rFonts w:hint="eastAsia" w:ascii="宋体" w:hAnsi="宋体" w:eastAsia="宋体"/>
          <w:snapToGrid w:val="0"/>
          <w:color w:val="auto"/>
          <w:sz w:val="24"/>
          <w:szCs w:val="24"/>
          <w:highlight w:val="none"/>
          <w:lang w:eastAsia="zh-CN"/>
        </w:rPr>
        <w:t>专业勘察、设计单位：指与甲方直接签订勘察、设计合同且具有专项工程勘察、设计承包主体资格的当事人以及取得该当事人资格的合法继承人，即甲方另行发包单位；或者按照本合同约定与乙方签订勘察、设计分包合同且具有专项工程勘察、设计承包主体资格的当事人以及取得该当事人资格的合法继承人，即乙方分包单位。</w:t>
      </w:r>
    </w:p>
    <w:p w14:paraId="770277C7">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w:t>
      </w:r>
      <w:r>
        <w:rPr>
          <w:rFonts w:hint="eastAsia" w:ascii="宋体" w:hAnsi="宋体" w:eastAsia="宋体"/>
          <w:snapToGrid w:val="0"/>
          <w:color w:val="auto"/>
          <w:sz w:val="24"/>
          <w:szCs w:val="24"/>
          <w:highlight w:val="none"/>
          <w:lang w:eastAsia="zh-CN"/>
        </w:rPr>
        <w:t>工程负责人：指乙方委派的负责本工程勘察设计管理和履行合同的代表。</w:t>
      </w:r>
    </w:p>
    <w:p w14:paraId="33FBF2E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1.6</w:t>
      </w:r>
      <w:r>
        <w:rPr>
          <w:rFonts w:hint="eastAsia" w:ascii="宋体" w:hAnsi="宋体" w:eastAsia="宋体"/>
          <w:snapToGrid w:val="0"/>
          <w:color w:val="auto"/>
          <w:sz w:val="24"/>
          <w:szCs w:val="24"/>
          <w:highlight w:val="none"/>
          <w:lang w:eastAsia="zh-CN"/>
        </w:rPr>
        <w:t xml:space="preserve">设计咨询单位： </w:t>
      </w:r>
    </w:p>
    <w:p w14:paraId="48343C6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本工程的设计咨询单位由甲方另行通知（如有）。</w:t>
      </w:r>
    </w:p>
    <w:p w14:paraId="4D28274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w:t>
      </w:r>
      <w:r>
        <w:rPr>
          <w:rFonts w:hint="eastAsia" w:ascii="宋体" w:hAnsi="宋体" w:eastAsia="宋体"/>
          <w:snapToGrid w:val="0"/>
          <w:color w:val="auto"/>
          <w:sz w:val="24"/>
          <w:szCs w:val="24"/>
          <w:highlight w:val="none"/>
          <w:lang w:eastAsia="zh-CN"/>
        </w:rPr>
        <w:t>甲方驻场代表：指甲方委派的履行本合同的驻场代表。</w:t>
      </w:r>
    </w:p>
    <w:p w14:paraId="6E183DD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w:t>
      </w:r>
      <w:r>
        <w:rPr>
          <w:rFonts w:hint="eastAsia" w:ascii="宋体" w:hAnsi="宋体" w:eastAsia="宋体"/>
          <w:snapToGrid w:val="0"/>
          <w:color w:val="auto"/>
          <w:sz w:val="24"/>
          <w:szCs w:val="24"/>
          <w:highlight w:val="none"/>
          <w:lang w:eastAsia="zh-CN"/>
        </w:rPr>
        <w:t>勘察、设计管理部门：指国务院有关部门、县级以上人民政府建设行政主管部门或机构。</w:t>
      </w:r>
    </w:p>
    <w:p w14:paraId="54BEDC0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w:t>
      </w:r>
      <w:r>
        <w:rPr>
          <w:rFonts w:hint="eastAsia" w:ascii="宋体" w:hAnsi="宋体" w:eastAsia="宋体"/>
          <w:snapToGrid w:val="0"/>
          <w:color w:val="auto"/>
          <w:sz w:val="24"/>
          <w:szCs w:val="24"/>
          <w:highlight w:val="none"/>
          <w:lang w:eastAsia="zh-CN"/>
        </w:rPr>
        <w:t>勘察、设计：指乙方在本合同中约定的承包范围内的工程勘察、设计运作和勘察、设计服务。</w:t>
      </w:r>
    </w:p>
    <w:p w14:paraId="53DCBEB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1.10</w:t>
      </w:r>
      <w:r>
        <w:rPr>
          <w:rFonts w:hint="eastAsia" w:ascii="宋体" w:hAnsi="宋体" w:eastAsia="宋体"/>
          <w:snapToGrid w:val="0"/>
          <w:color w:val="auto"/>
          <w:sz w:val="24"/>
          <w:szCs w:val="24"/>
          <w:highlight w:val="none"/>
          <w:lang w:eastAsia="zh-CN"/>
        </w:rPr>
        <w:t>勘察、设计成果文件：指由乙方及专业勘察、设计单位提交并通过审核，且经甲方及政府相关部门批准后，能满足投资与质量控制要求和作为下阶段勘察、设计依据或能指导后续实施的各阶段勘察、设计图纸、文件、计算书及说明书、效果图、政府报批所需的模型及存有AutoCAD生成的电子格式文件的光盘、工程估算、概算、配合甲方招标工作而提供的技术规格书等技术资料。</w:t>
      </w:r>
    </w:p>
    <w:p w14:paraId="060F594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1.11</w:t>
      </w:r>
      <w:r>
        <w:rPr>
          <w:rFonts w:hint="eastAsia" w:ascii="宋体" w:hAnsi="宋体" w:eastAsia="宋体"/>
          <w:snapToGrid w:val="0"/>
          <w:color w:val="auto"/>
          <w:sz w:val="24"/>
          <w:szCs w:val="24"/>
          <w:highlight w:val="none"/>
          <w:lang w:eastAsia="zh-CN"/>
        </w:rPr>
        <w:t>工程投资估算：指以方案设计为基础编制而成，且编制深度达到国家有关的编制规定，并经甲方委托的第三方或按政府规定的评审通过的工程造价文件。</w:t>
      </w:r>
    </w:p>
    <w:p w14:paraId="441EDDE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1.12</w:t>
      </w:r>
      <w:r>
        <w:rPr>
          <w:rFonts w:hint="eastAsia" w:ascii="宋体" w:hAnsi="宋体" w:eastAsia="宋体"/>
          <w:snapToGrid w:val="0"/>
          <w:color w:val="auto"/>
          <w:sz w:val="24"/>
          <w:szCs w:val="24"/>
          <w:highlight w:val="none"/>
          <w:lang w:eastAsia="zh-CN"/>
        </w:rPr>
        <w:t>工程设计概算：指以初步设计为基础根据甲方的相关要求编制而成，且编制深度达到国家及政府主管部门有关的编制规定，并经甲方委托的单位审核及有权审核部门批准的工程造价文件。</w:t>
      </w:r>
    </w:p>
    <w:p w14:paraId="57B5ADF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1.13</w:t>
      </w:r>
      <w:r>
        <w:rPr>
          <w:rFonts w:hint="eastAsia" w:ascii="宋体" w:hAnsi="宋体" w:eastAsia="宋体"/>
          <w:snapToGrid w:val="0"/>
          <w:color w:val="auto"/>
          <w:sz w:val="24"/>
          <w:szCs w:val="24"/>
          <w:highlight w:val="none"/>
          <w:lang w:eastAsia="zh-CN"/>
        </w:rPr>
        <w:t>合同价款：指甲乙双方在本合同中约定，由甲方用以支付乙方按照合同约定完成勘察、设计范围内工程勘察、设计、管理及服务的款项。</w:t>
      </w:r>
    </w:p>
    <w:p w14:paraId="1C667B84">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1.14</w:t>
      </w:r>
      <w:r>
        <w:rPr>
          <w:rFonts w:hint="eastAsia" w:ascii="宋体" w:hAnsi="宋体" w:eastAsia="宋体"/>
          <w:snapToGrid w:val="0"/>
          <w:color w:val="auto"/>
          <w:sz w:val="24"/>
          <w:szCs w:val="24"/>
          <w:highlight w:val="none"/>
          <w:lang w:eastAsia="zh-CN"/>
        </w:rPr>
        <w:t>追加合同价款：指在合同履行中发生需要增加合同价款的情况，经甲方根据合同约定书面确认增加的合同价款。</w:t>
      </w:r>
    </w:p>
    <w:p w14:paraId="1CF1852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1.15</w:t>
      </w:r>
      <w:r>
        <w:rPr>
          <w:rFonts w:hint="eastAsia" w:ascii="宋体" w:hAnsi="宋体" w:eastAsia="宋体"/>
          <w:snapToGrid w:val="0"/>
          <w:color w:val="auto"/>
          <w:sz w:val="24"/>
          <w:szCs w:val="24"/>
          <w:highlight w:val="none"/>
          <w:lang w:eastAsia="zh-CN"/>
        </w:rPr>
        <w:t>勘察、设计周期：指甲乙双方在本合同中约定，按总日历天数（包括法定节假日）计算的提交勘察、设计成果文件的天数。</w:t>
      </w:r>
    </w:p>
    <w:p w14:paraId="15D7986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1.16</w:t>
      </w:r>
      <w:r>
        <w:rPr>
          <w:rFonts w:hint="eastAsia" w:ascii="宋体" w:hAnsi="宋体" w:eastAsia="宋体"/>
          <w:snapToGrid w:val="0"/>
          <w:color w:val="auto"/>
          <w:sz w:val="24"/>
          <w:szCs w:val="24"/>
          <w:highlight w:val="none"/>
          <w:lang w:eastAsia="zh-CN"/>
        </w:rPr>
        <w:t>勘察、设计服务：指乙方在实施本工程方案设计、初步设计、</w:t>
      </w:r>
      <w:r>
        <w:rPr>
          <w:rFonts w:hint="eastAsia" w:ascii="宋体" w:hAnsi="宋体"/>
          <w:color w:val="auto"/>
          <w:sz w:val="24"/>
          <w:highlight w:val="none"/>
          <w:lang w:eastAsia="zh-CN"/>
        </w:rPr>
        <w:t>装配式专项</w:t>
      </w:r>
      <w:r>
        <w:rPr>
          <w:rFonts w:hint="eastAsia" w:ascii="宋体" w:hAnsi="宋体" w:eastAsia="宋体" w:cs="宋体"/>
          <w:color w:val="auto"/>
          <w:sz w:val="24"/>
          <w:highlight w:val="none"/>
          <w:lang w:eastAsia="zh-CN"/>
        </w:rPr>
        <w:t>初步</w:t>
      </w:r>
      <w:r>
        <w:rPr>
          <w:rFonts w:hint="eastAsia" w:ascii="宋体" w:hAnsi="宋体"/>
          <w:color w:val="auto"/>
          <w:sz w:val="24"/>
          <w:highlight w:val="none"/>
          <w:lang w:eastAsia="zh-CN"/>
        </w:rPr>
        <w:t>设计</w:t>
      </w:r>
      <w:r>
        <w:rPr>
          <w:rFonts w:hint="eastAsia" w:ascii="宋体" w:hAnsi="宋体" w:eastAsia="宋体"/>
          <w:snapToGrid w:val="0"/>
          <w:color w:val="auto"/>
          <w:sz w:val="24"/>
          <w:szCs w:val="24"/>
          <w:highlight w:val="none"/>
          <w:lang w:eastAsia="zh-CN"/>
        </w:rPr>
        <w:t>、勘察设计指导服务等各阶段工作的同时向甲方提供的技术咨询与管理咨询服务以及配合解决施工过程中有关工程勘察、设计问题，协助甲方实施工程、设备与材料的采购招标工作、设备与材料的看样定板等活动。</w:t>
      </w:r>
    </w:p>
    <w:p w14:paraId="09D3395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1.17</w:t>
      </w:r>
      <w:r>
        <w:rPr>
          <w:rFonts w:hint="eastAsia" w:ascii="宋体" w:hAnsi="宋体" w:eastAsia="宋体"/>
          <w:snapToGrid w:val="0"/>
          <w:color w:val="auto"/>
          <w:sz w:val="24"/>
          <w:szCs w:val="24"/>
          <w:highlight w:val="none"/>
          <w:lang w:eastAsia="zh-CN"/>
        </w:rPr>
        <w:t>完整性：指乙方每批次交付的文件是合同及附件中约定的全部文件，并保证与提交人自己保留的该部分文件完全一致。</w:t>
      </w:r>
    </w:p>
    <w:p w14:paraId="48388F3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1.18</w:t>
      </w:r>
      <w:r>
        <w:rPr>
          <w:rFonts w:hint="eastAsia" w:ascii="宋体" w:hAnsi="宋体" w:eastAsia="宋体"/>
          <w:snapToGrid w:val="0"/>
          <w:color w:val="auto"/>
          <w:sz w:val="24"/>
          <w:szCs w:val="24"/>
          <w:highlight w:val="none"/>
          <w:lang w:eastAsia="zh-CN"/>
        </w:rPr>
        <w:t>有效性：指乙方每批次交付的文件均符合合同约定并符合现行相关规范和标准规定的要求。</w:t>
      </w:r>
    </w:p>
    <w:p w14:paraId="061F3FF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1.19</w:t>
      </w:r>
      <w:r>
        <w:rPr>
          <w:rFonts w:hint="eastAsia" w:ascii="宋体" w:hAnsi="宋体" w:eastAsia="宋体"/>
          <w:snapToGrid w:val="0"/>
          <w:color w:val="auto"/>
          <w:sz w:val="24"/>
          <w:szCs w:val="24"/>
          <w:highlight w:val="none"/>
          <w:lang w:eastAsia="zh-CN"/>
        </w:rPr>
        <w:t>正确性：指乙方每批次交付的勘察、设计成果文件均符本合同的有关约定，同时保证勘察、设计输入的基础资料完整、正确，勘察、设计方法、计算方法与结果、技术参数的选用正确、合理，构造合理，图面表达清楚、文字叙述准确，各专业勘察、设计协调统一。</w:t>
      </w:r>
    </w:p>
    <w:p w14:paraId="0CB4281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1.20</w:t>
      </w:r>
      <w:r>
        <w:rPr>
          <w:rFonts w:hint="eastAsia" w:ascii="宋体" w:hAnsi="宋体" w:eastAsia="宋体"/>
          <w:snapToGrid w:val="0"/>
          <w:color w:val="auto"/>
          <w:sz w:val="24"/>
          <w:szCs w:val="24"/>
          <w:highlight w:val="none"/>
          <w:lang w:eastAsia="zh-CN"/>
        </w:rPr>
        <w:t>经济合理性：指乙方提交的设计成果文件是在符合有效性要求的基础上，采用方案经济比选、价值工程等评价手段，经过甲方组织的评审产生确定的。</w:t>
      </w:r>
    </w:p>
    <w:p w14:paraId="6715367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1.21</w:t>
      </w:r>
      <w:r>
        <w:rPr>
          <w:rFonts w:hint="eastAsia" w:ascii="宋体" w:hAnsi="宋体" w:eastAsia="宋体"/>
          <w:snapToGrid w:val="0"/>
          <w:color w:val="auto"/>
          <w:sz w:val="24"/>
          <w:szCs w:val="24"/>
          <w:highlight w:val="none"/>
          <w:lang w:eastAsia="zh-CN"/>
        </w:rPr>
        <w:t>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w:t>
      </w:r>
    </w:p>
    <w:p w14:paraId="64C4C69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1.22</w:t>
      </w:r>
      <w:r>
        <w:rPr>
          <w:rFonts w:hint="eastAsia" w:ascii="宋体" w:hAnsi="宋体" w:eastAsia="宋体"/>
          <w:snapToGrid w:val="0"/>
          <w:color w:val="auto"/>
          <w:sz w:val="24"/>
          <w:szCs w:val="24"/>
          <w:highlight w:val="none"/>
          <w:lang w:eastAsia="zh-CN"/>
        </w:rPr>
        <w:t>先进性：指乙方的设计成果文件</w:t>
      </w:r>
      <w:r>
        <w:rPr>
          <w:rFonts w:ascii="ˎ̥" w:hAnsi="ˎ̥" w:eastAsia="宋体"/>
          <w:snapToGrid w:val="0"/>
          <w:color w:val="auto"/>
          <w:sz w:val="24"/>
          <w:szCs w:val="24"/>
          <w:highlight w:val="none"/>
          <w:lang w:eastAsia="zh-CN"/>
        </w:rPr>
        <w:t>采用</w:t>
      </w:r>
      <w:r>
        <w:rPr>
          <w:rFonts w:hint="eastAsia" w:ascii="ˎ̥" w:hAnsi="ˎ̥" w:eastAsia="宋体"/>
          <w:snapToGrid w:val="0"/>
          <w:color w:val="auto"/>
          <w:sz w:val="24"/>
          <w:szCs w:val="24"/>
          <w:highlight w:val="none"/>
          <w:lang w:eastAsia="zh-CN"/>
        </w:rPr>
        <w:t>国际上先进和适用的施工</w:t>
      </w:r>
      <w:r>
        <w:rPr>
          <w:rFonts w:hint="eastAsia" w:ascii="宋体" w:hAnsi="宋体" w:eastAsia="宋体"/>
          <w:snapToGrid w:val="0"/>
          <w:color w:val="auto"/>
          <w:sz w:val="24"/>
          <w:szCs w:val="24"/>
          <w:highlight w:val="none"/>
          <w:lang w:eastAsia="zh-CN"/>
        </w:rPr>
        <w:t>方案、技术、工艺、工法、设备</w:t>
      </w:r>
      <w:r>
        <w:rPr>
          <w:rFonts w:ascii="ˎ̥" w:hAnsi="ˎ̥" w:eastAsia="宋体"/>
          <w:snapToGrid w:val="0"/>
          <w:color w:val="auto"/>
          <w:sz w:val="24"/>
          <w:szCs w:val="24"/>
          <w:highlight w:val="none"/>
          <w:lang w:eastAsia="zh-CN"/>
        </w:rPr>
        <w:t>，或</w:t>
      </w:r>
      <w:r>
        <w:rPr>
          <w:rFonts w:hint="eastAsia" w:ascii="ˎ̥" w:hAnsi="ˎ̥" w:eastAsia="宋体"/>
          <w:snapToGrid w:val="0"/>
          <w:color w:val="auto"/>
          <w:sz w:val="24"/>
          <w:szCs w:val="24"/>
          <w:highlight w:val="none"/>
          <w:lang w:eastAsia="zh-CN"/>
        </w:rPr>
        <w:t>所采用的施工</w:t>
      </w:r>
      <w:r>
        <w:rPr>
          <w:rFonts w:hint="eastAsia" w:ascii="宋体" w:hAnsi="宋体" w:eastAsia="宋体"/>
          <w:snapToGrid w:val="0"/>
          <w:color w:val="auto"/>
          <w:sz w:val="24"/>
          <w:szCs w:val="24"/>
          <w:highlight w:val="none"/>
          <w:lang w:eastAsia="zh-CN"/>
        </w:rPr>
        <w:t>方案、技术、工艺、工法、设备为国内最优（国内同行业中技术排名前五名以内）。</w:t>
      </w:r>
    </w:p>
    <w:p w14:paraId="6A12B9D3">
      <w:pPr>
        <w:adjustRightInd w:val="0"/>
        <w:snapToGrid w:val="0"/>
        <w:spacing w:line="360" w:lineRule="auto"/>
        <w:ind w:firstLine="482" w:firstLineChars="200"/>
        <w:jc w:val="both"/>
        <w:rPr>
          <w:rFonts w:ascii="Arial" w:hAnsi="Arial" w:eastAsia="宋体" w:cs="Arial"/>
          <w:b/>
          <w:bCs/>
          <w:snapToGrid w:val="0"/>
          <w:color w:val="auto"/>
          <w:sz w:val="20"/>
          <w:szCs w:val="20"/>
          <w:highlight w:val="none"/>
          <w:lang w:eastAsia="zh-CN"/>
        </w:rPr>
      </w:pPr>
      <w:r>
        <w:rPr>
          <w:rFonts w:hint="eastAsia" w:ascii="宋体" w:hAnsi="宋体" w:eastAsia="宋体"/>
          <w:b/>
          <w:snapToGrid w:val="0"/>
          <w:color w:val="auto"/>
          <w:sz w:val="24"/>
          <w:szCs w:val="24"/>
          <w:highlight w:val="none"/>
          <w:lang w:eastAsia="zh-CN"/>
        </w:rPr>
        <w:t>1.23</w:t>
      </w:r>
      <w:r>
        <w:rPr>
          <w:rFonts w:hint="eastAsia" w:ascii="宋体" w:hAnsi="宋体" w:eastAsia="宋体"/>
          <w:snapToGrid w:val="0"/>
          <w:color w:val="auto"/>
          <w:sz w:val="24"/>
          <w:szCs w:val="24"/>
          <w:highlight w:val="none"/>
          <w:lang w:eastAsia="zh-CN"/>
        </w:rPr>
        <w:t>清晰：指乙方每次交付的勘察、设计成果文件中的图样、线条、术语、符号、尺寸标准、文字说明等清楚准确。</w:t>
      </w:r>
    </w:p>
    <w:p w14:paraId="722850D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1.24</w:t>
      </w:r>
      <w:r>
        <w:rPr>
          <w:rFonts w:hint="eastAsia" w:ascii="宋体" w:hAnsi="宋体" w:eastAsia="宋体"/>
          <w:snapToGrid w:val="0"/>
          <w:color w:val="auto"/>
          <w:sz w:val="24"/>
          <w:szCs w:val="24"/>
          <w:highlight w:val="none"/>
          <w:lang w:eastAsia="zh-CN"/>
        </w:rPr>
        <w:t>违约责任：指合同任何一方不履行或不完全履行合同约定的义务或者履行义务不符合合同约定所应承担的责任。</w:t>
      </w:r>
    </w:p>
    <w:p w14:paraId="07D6289A">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（1）一般违约责任：指虽然违反本合同的约定，但其违约行为不对本合同的履行造成严重影响而应承担的责任。</w:t>
      </w:r>
    </w:p>
    <w:p w14:paraId="73634F6E">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（2）严重违约责任。指违反本合同的约定且其违约行为足以对本合同的履行造成严重或实质性的影响而应承担的责任。</w:t>
      </w:r>
    </w:p>
    <w:p w14:paraId="5B310300">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1.25</w:t>
      </w:r>
      <w:r>
        <w:rPr>
          <w:rFonts w:hint="eastAsia" w:ascii="宋体" w:hAnsi="宋体" w:eastAsia="宋体"/>
          <w:snapToGrid w:val="0"/>
          <w:color w:val="auto"/>
          <w:sz w:val="24"/>
          <w:szCs w:val="24"/>
          <w:highlight w:val="none"/>
          <w:lang w:eastAsia="zh-CN"/>
        </w:rPr>
        <w:t>设计事故：指因乙方不履行或不完全履行合同约定的义务或履行的义务不符合合同约定，对本合同项目造成极其严重恶劣影响的行为。</w:t>
      </w:r>
    </w:p>
    <w:p w14:paraId="2D53531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1.26</w:t>
      </w:r>
      <w:r>
        <w:rPr>
          <w:rFonts w:hint="eastAsia" w:ascii="宋体" w:hAnsi="宋体" w:eastAsia="宋体"/>
          <w:snapToGrid w:val="0"/>
          <w:color w:val="auto"/>
          <w:sz w:val="24"/>
          <w:szCs w:val="24"/>
          <w:highlight w:val="none"/>
          <w:lang w:eastAsia="zh-CN"/>
        </w:rPr>
        <w:t>索赔：指在合同履行过程中，对于并非自己的过错，而由对方造成的实际损失，根据合同的约定，向对方提出经济补偿或其他形式的补偿要求。</w:t>
      </w:r>
    </w:p>
    <w:p w14:paraId="4D18331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1.27</w:t>
      </w:r>
      <w:r>
        <w:rPr>
          <w:rFonts w:hint="eastAsia" w:ascii="宋体" w:hAnsi="宋体" w:eastAsia="宋体"/>
          <w:snapToGrid w:val="0"/>
          <w:color w:val="auto"/>
          <w:sz w:val="24"/>
          <w:szCs w:val="24"/>
          <w:highlight w:val="none"/>
          <w:lang w:eastAsia="zh-CN"/>
        </w:rPr>
        <w:t>通知、同意、指令、证明和决定：指经甲方认可或按公开、规范的程序授权的驻场代表、勘察、设计负责人分别签字或盖章的书面通知、同意、指令、证明和决定。</w:t>
      </w:r>
    </w:p>
    <w:p w14:paraId="7FCF3874">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1.28</w:t>
      </w:r>
      <w:r>
        <w:rPr>
          <w:rFonts w:hint="eastAsia" w:ascii="宋体" w:hAnsi="宋体" w:eastAsia="宋体"/>
          <w:snapToGrid w:val="0"/>
          <w:color w:val="auto"/>
          <w:sz w:val="24"/>
          <w:szCs w:val="24"/>
          <w:highlight w:val="none"/>
          <w:lang w:eastAsia="zh-CN"/>
        </w:rPr>
        <w:t>书面材料：指合同书、信件和数据电文（电报、电传、传真、电子数据交换、电子邮件）等可以有形地表现所载内容的文件。</w:t>
      </w:r>
    </w:p>
    <w:p w14:paraId="072ACBA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1.29</w:t>
      </w:r>
      <w:r>
        <w:rPr>
          <w:rFonts w:hint="eastAsia" w:ascii="宋体" w:hAnsi="宋体" w:eastAsia="宋体"/>
          <w:snapToGrid w:val="0"/>
          <w:color w:val="auto"/>
          <w:sz w:val="24"/>
          <w:szCs w:val="24"/>
          <w:highlight w:val="none"/>
          <w:lang w:eastAsia="zh-CN"/>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14:paraId="549294A7">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1.30</w:t>
      </w:r>
      <w:r>
        <w:rPr>
          <w:rFonts w:hint="eastAsia" w:ascii="宋体" w:hAnsi="宋体" w:eastAsia="宋体"/>
          <w:snapToGrid w:val="0"/>
          <w:color w:val="auto"/>
          <w:sz w:val="24"/>
          <w:szCs w:val="24"/>
          <w:highlight w:val="none"/>
          <w:lang w:eastAsia="zh-CN"/>
        </w:rPr>
        <w:t>中国或国家：指中华人民共和国。</w:t>
      </w:r>
    </w:p>
    <w:p w14:paraId="284C8A5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1.31</w:t>
      </w:r>
      <w:r>
        <w:rPr>
          <w:rFonts w:hint="eastAsia" w:ascii="宋体" w:hAnsi="宋体" w:eastAsia="宋体"/>
          <w:snapToGrid w:val="0"/>
          <w:color w:val="auto"/>
          <w:sz w:val="24"/>
          <w:szCs w:val="24"/>
          <w:highlight w:val="none"/>
          <w:lang w:eastAsia="zh-CN"/>
        </w:rPr>
        <w:t>国内：指中华人民共和国大陆境内。</w:t>
      </w:r>
    </w:p>
    <w:p w14:paraId="6E96A822">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1.32</w:t>
      </w:r>
      <w:r>
        <w:rPr>
          <w:rFonts w:hint="eastAsia" w:ascii="宋体" w:hAnsi="宋体" w:eastAsia="宋体"/>
          <w:bCs/>
          <w:snapToGrid w:val="0"/>
          <w:color w:val="auto"/>
          <w:sz w:val="24"/>
          <w:szCs w:val="24"/>
          <w:highlight w:val="none"/>
          <w:lang w:eastAsia="zh-CN"/>
        </w:rPr>
        <w:t>元：指人民币元。</w:t>
      </w:r>
    </w:p>
    <w:p w14:paraId="3C8CCBAB">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2、语言文字和适用法律、标准及规范</w:t>
      </w:r>
    </w:p>
    <w:p w14:paraId="2DEBE0AC">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2.1</w:t>
      </w:r>
      <w:r>
        <w:rPr>
          <w:rFonts w:hint="eastAsia" w:ascii="宋体" w:hAnsi="宋体" w:eastAsia="宋体"/>
          <w:snapToGrid w:val="0"/>
          <w:color w:val="auto"/>
          <w:sz w:val="24"/>
          <w:szCs w:val="24"/>
          <w:highlight w:val="none"/>
          <w:lang w:eastAsia="zh-CN"/>
        </w:rPr>
        <w:t>语言文字：本合同及其补充协议、甲乙双方来往文件、本工程的所有勘察、设计文件和资料等均使用中国汉语言文字书写、解释和说明。使用其他文字书写的对双方均不具有法律约束力，但如翻译成中国汉语言文字并经双方签字（盖章）确认的，则对双方均具有法律约束力。</w:t>
      </w:r>
    </w:p>
    <w:p w14:paraId="12E35B8E">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2.2</w:t>
      </w:r>
      <w:r>
        <w:rPr>
          <w:rFonts w:hint="eastAsia" w:ascii="宋体" w:hAnsi="宋体" w:eastAsia="宋体"/>
          <w:snapToGrid w:val="0"/>
          <w:color w:val="auto"/>
          <w:sz w:val="24"/>
          <w:szCs w:val="24"/>
          <w:highlight w:val="none"/>
          <w:lang w:eastAsia="zh-CN"/>
        </w:rPr>
        <w:t>适用法律、标准及规范。乙方交付的勘察、设计成果文件应符合中国的有关法律、法规、规章的规定和相关的工程勘察、设计技术规范、规定及标准的要求。勘察、设计中如遇国家和地方无相应规范、规定、标准、依据的，由乙方提出建议，由甲方报送有关主管部门审查确认或解释所采用的规范、标准、规定、依据。</w:t>
      </w:r>
    </w:p>
    <w:p w14:paraId="5CCB090F">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3、本合同签订依据</w:t>
      </w:r>
    </w:p>
    <w:p w14:paraId="28B701BF">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（1）中华人民共和国民法典；</w:t>
      </w:r>
    </w:p>
    <w:p w14:paraId="1A3DAF15">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（2）中华人民共和国建筑法；</w:t>
      </w:r>
    </w:p>
    <w:p w14:paraId="633B0B83">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（3）中华人民共和国城乡规划法；</w:t>
      </w:r>
    </w:p>
    <w:p w14:paraId="2503AF34">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（4）中华人民共和国招标投标法；</w:t>
      </w:r>
    </w:p>
    <w:p w14:paraId="0E233CB9">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（5）建设工程勘察设计管理条例；</w:t>
      </w:r>
    </w:p>
    <w:p w14:paraId="12051895">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（6）建设工程质量管理条例；</w:t>
      </w:r>
    </w:p>
    <w:p w14:paraId="5D50587D">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（7）《建筑工程设计文件编制深度规定》（最新版）；</w:t>
      </w:r>
    </w:p>
    <w:p w14:paraId="5326A5B8">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（8）《市政公用工程设计文件编制深度规定》（最新版）；</w:t>
      </w:r>
    </w:p>
    <w:p w14:paraId="6CEF9431">
      <w:pPr>
        <w:adjustRightInd w:val="0"/>
        <w:snapToGrid w:val="0"/>
        <w:spacing w:line="360" w:lineRule="auto"/>
        <w:ind w:right="11" w:firstLine="600" w:firstLineChars="250"/>
        <w:jc w:val="both"/>
        <w:rPr>
          <w:rFonts w:hint="eastAsia" w:ascii="宋体" w:hAnsi="宋体" w:eastAsia="宋体"/>
          <w:bCs/>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（9）合同协议书第</w:t>
      </w:r>
      <w:r>
        <w:rPr>
          <w:rFonts w:hint="eastAsia" w:ascii="宋体" w:hAnsi="宋体" w:eastAsia="宋体"/>
          <w:bCs/>
          <w:snapToGrid w:val="0"/>
          <w:color w:val="auto"/>
          <w:sz w:val="24"/>
          <w:szCs w:val="24"/>
          <w:highlight w:val="none"/>
          <w:lang w:eastAsia="zh-CN"/>
        </w:rPr>
        <w:t>5.1款第（1）项、第（4）项、第（6）项、第（7）项、第（8）项、第（9）项、第（10）项所约定的有关文件；</w:t>
      </w:r>
    </w:p>
    <w:p w14:paraId="2B6DEE8C">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（10）建设项目批准文件（包括但不限于立项批复文件、规划部门认可的用地红线和地形图、规划建设主管部门对本合同约定项目的规划设计要点）；</w:t>
      </w:r>
    </w:p>
    <w:p w14:paraId="761DA190">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（11）勘察和初步设计任务书；</w:t>
      </w:r>
    </w:p>
    <w:p w14:paraId="4041078C">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（12）本合同约定的项目基础资料，包括用地红线坐标（表）等；</w:t>
      </w:r>
    </w:p>
    <w:p w14:paraId="4D837AD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（13）设计和建设过程中的政府审批意见，政府或甲方委托或组织的评审机构（会议）提出的或甲方发出的阶段性书面意见，双方来往的与双方权利义务有关的各类书面文件、会议纪要等；</w:t>
      </w:r>
    </w:p>
    <w:p w14:paraId="7B60570F">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（14）乙方参加投标的方案、评标委员会的意见、甲方提出的修改意见，和版权属于甲方的其他投标方案。</w:t>
      </w:r>
    </w:p>
    <w:p w14:paraId="08ECBE9F">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上述法律法规、规定及有关文件应是现行有效的，如国家或有关部门对上述法律法规及有关文件进行修改或补充并提出新的要求，双方均应按新的要求执行，必要时另行签订补充合同。</w:t>
      </w:r>
    </w:p>
    <w:p w14:paraId="55542D9D">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第二章  勘察设计</w:t>
      </w:r>
    </w:p>
    <w:p w14:paraId="4CB4EE44">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4、勘察设计管理</w:t>
      </w:r>
    </w:p>
    <w:p w14:paraId="5BA2E381">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4.1</w:t>
      </w:r>
      <w:r>
        <w:rPr>
          <w:rFonts w:hint="eastAsia" w:ascii="宋体" w:hAnsi="宋体" w:eastAsia="宋体"/>
          <w:snapToGrid w:val="0"/>
          <w:color w:val="auto"/>
          <w:sz w:val="24"/>
          <w:szCs w:val="24"/>
          <w:highlight w:val="none"/>
          <w:lang w:eastAsia="zh-CN"/>
        </w:rPr>
        <w:t>如乙方为联合体（由设计单位与勘察单位联合组成），则设计单位为联合体主办人，联合体主办人代表乙方承担责任和接受甲方指令、指示和通知，并根据合同条款的约定进行勘察设计及配合协调服务工作。</w:t>
      </w:r>
    </w:p>
    <w:p w14:paraId="3A5AE54C">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4.2</w:t>
      </w:r>
      <w:r>
        <w:rPr>
          <w:rFonts w:hint="eastAsia" w:ascii="宋体" w:hAnsi="宋体" w:eastAsia="宋体"/>
          <w:snapToGrid w:val="0"/>
          <w:color w:val="auto"/>
          <w:sz w:val="24"/>
          <w:szCs w:val="24"/>
          <w:highlight w:val="none"/>
          <w:lang w:eastAsia="zh-CN"/>
        </w:rPr>
        <w:t>乙方应按合同约定及项目建设管理需要做好下列勘察设计管理及配合协调服务工作（包括但不限于）：</w:t>
      </w:r>
    </w:p>
    <w:p w14:paraId="1E50CBF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（1）对其范围内的专业勘察、设计单位在勘察、设计的进度、质量、</w:t>
      </w:r>
      <w:r>
        <w:rPr>
          <w:rFonts w:hint="eastAsia" w:ascii="宋体" w:hAnsi="宋体" w:eastAsia="宋体"/>
          <w:bCs/>
          <w:snapToGrid w:val="0"/>
          <w:color w:val="auto"/>
          <w:sz w:val="24"/>
          <w:szCs w:val="24"/>
          <w:highlight w:val="none"/>
          <w:lang w:eastAsia="zh-CN"/>
        </w:rPr>
        <w:t>安全、</w:t>
      </w:r>
      <w:r>
        <w:rPr>
          <w:rFonts w:hint="eastAsia" w:ascii="宋体" w:hAnsi="宋体" w:eastAsia="宋体"/>
          <w:snapToGrid w:val="0"/>
          <w:color w:val="auto"/>
          <w:sz w:val="24"/>
          <w:szCs w:val="24"/>
          <w:highlight w:val="none"/>
          <w:lang w:eastAsia="zh-CN"/>
        </w:rPr>
        <w:t>工程投资控制</w:t>
      </w:r>
      <w:r>
        <w:rPr>
          <w:rFonts w:hint="eastAsia" w:ascii="宋体" w:hAnsi="宋体" w:eastAsia="宋体"/>
          <w:bCs/>
          <w:snapToGrid w:val="0"/>
          <w:color w:val="auto"/>
          <w:sz w:val="24"/>
          <w:szCs w:val="24"/>
          <w:highlight w:val="none"/>
          <w:lang w:eastAsia="zh-CN"/>
        </w:rPr>
        <w:t>和勘察、设计配合协调、接口衔接等方面进行管理</w:t>
      </w:r>
      <w:r>
        <w:rPr>
          <w:rFonts w:hint="eastAsia" w:ascii="宋体" w:hAnsi="宋体" w:eastAsia="宋体"/>
          <w:snapToGrid w:val="0"/>
          <w:color w:val="auto"/>
          <w:sz w:val="24"/>
          <w:szCs w:val="24"/>
          <w:highlight w:val="none"/>
          <w:lang w:eastAsia="zh-CN"/>
        </w:rPr>
        <w:t>，确保各勘察、设计单位之间的勘察、设计界面和工作内容清晰，不出现勘察、设计重复或交叉的现象，并保证本工程各专业接口及与周边工程接口（包括与市政工程接口）的良好衔接。</w:t>
      </w:r>
    </w:p>
    <w:p w14:paraId="6E75D86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（2）乙方应在实施本工程方案优化设计、初步设计、BIM正向设计、</w:t>
      </w:r>
      <w:r>
        <w:rPr>
          <w:rFonts w:hint="eastAsia" w:ascii="宋体" w:hAnsi="宋体" w:eastAsia="宋体" w:cs="宋体"/>
          <w:color w:val="auto"/>
          <w:sz w:val="24"/>
          <w:highlight w:val="none"/>
          <w:lang w:eastAsia="zh-CN"/>
        </w:rPr>
        <w:t>装配式专项初步设计</w:t>
      </w:r>
      <w:r>
        <w:rPr>
          <w:rFonts w:hint="eastAsia" w:ascii="宋体" w:hAnsi="宋体" w:eastAsia="宋体"/>
          <w:snapToGrid w:val="0"/>
          <w:color w:val="auto"/>
          <w:sz w:val="24"/>
          <w:szCs w:val="24"/>
          <w:highlight w:val="none"/>
          <w:lang w:eastAsia="zh-CN"/>
        </w:rPr>
        <w:t>、勘察设计指导服务等各阶段向甲方提供技术咨询与管理咨询，配合解决施工过程中有关工程勘察、设计问题</w:t>
      </w:r>
      <w:r>
        <w:rPr>
          <w:rFonts w:hint="eastAsia" w:ascii="宋体" w:hAnsi="宋体" w:eastAsia="宋体"/>
          <w:strike/>
          <w:snapToGrid w:val="0"/>
          <w:color w:val="auto"/>
          <w:sz w:val="24"/>
          <w:szCs w:val="24"/>
          <w:highlight w:val="none"/>
          <w:lang w:eastAsia="zh-CN"/>
        </w:rPr>
        <w:t>，</w:t>
      </w:r>
      <w:r>
        <w:rPr>
          <w:rFonts w:hint="eastAsia" w:ascii="宋体" w:hAnsi="宋体" w:eastAsia="宋体"/>
          <w:snapToGrid w:val="0"/>
          <w:color w:val="auto"/>
          <w:sz w:val="24"/>
          <w:szCs w:val="24"/>
          <w:highlight w:val="none"/>
          <w:lang w:eastAsia="zh-CN"/>
        </w:rPr>
        <w:t>并协助甲方的工程实施、设备与材料的采购招标工作、设备与材料的看样定板。</w:t>
      </w:r>
    </w:p>
    <w:p w14:paraId="503B8FF6">
      <w:pPr>
        <w:adjustRightInd w:val="0"/>
        <w:snapToGrid w:val="0"/>
        <w:spacing w:line="360" w:lineRule="auto"/>
        <w:ind w:firstLine="240" w:firstLineChars="1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  （3）对于在乙方提交的勘察、设计成果文件的基础上由甲方另行发包的设计单位进行的初步设计等工作，乙方除须对该设计单位提交给甲方的勘察、设计成果文件的完整性、有效性进行预审把关外，还须积极配合相关的设计工作，提供相关的勘察、设计成果文件（包括但不限于报告、数据、图表、设计图纸、设计说明、相关的计算原理和方法等），不得以著作权、专利权等知识产权为借口拒绝配合。</w:t>
      </w:r>
    </w:p>
    <w:p w14:paraId="3CBE922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积极主动进行与项目有关的内、外协调工作，积极配合与规划、市政、交通、水利、电力、环保、消防、卫生、煤气、人防等部门和单位的协调，并负责向有关部门办理勘察、设计文件报建和审批工作，保证勘察、设计文件通过主管部门的审查。</w:t>
      </w:r>
    </w:p>
    <w:p w14:paraId="5C0D1E6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（5）乙方应编制勘察设计总进度计划，年度（季度）计划，并负责审核专业勘察、设计单位的实施性计划、月度（旬度）计划，定期对专业勘察、设计单位进行月度（旬度）计划检查。</w:t>
      </w:r>
    </w:p>
    <w:p w14:paraId="79CED980">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5、勘察、设计分包</w:t>
      </w:r>
    </w:p>
    <w:p w14:paraId="55E3630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5.1</w:t>
      </w:r>
      <w:r>
        <w:rPr>
          <w:rFonts w:hint="eastAsia" w:ascii="宋体" w:hAnsi="宋体" w:eastAsia="宋体"/>
          <w:snapToGrid w:val="0"/>
          <w:color w:val="auto"/>
          <w:sz w:val="24"/>
          <w:szCs w:val="24"/>
          <w:highlight w:val="none"/>
          <w:lang w:eastAsia="zh-CN"/>
        </w:rPr>
        <w:t>本工程的主体及关键性工作必须由乙方自行完成，不得分包。非主体、非关键性工作的分包，经过甲方书面认可后，应在招投标文件规定或甲方限定的时间内与分包单位签订分包合同，并在分包合同签订之日起7个工作日内将分包合同报送甲方和工程所在地县级以上地方人民政府建设行政主管部门备案。</w:t>
      </w:r>
    </w:p>
    <w:p w14:paraId="47280784">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5.2</w:t>
      </w:r>
      <w:r>
        <w:rPr>
          <w:rFonts w:hint="eastAsia" w:ascii="宋体" w:hAnsi="宋体" w:eastAsia="宋体"/>
          <w:snapToGrid w:val="0"/>
          <w:color w:val="auto"/>
          <w:sz w:val="24"/>
          <w:szCs w:val="24"/>
          <w:highlight w:val="none"/>
          <w:lang w:eastAsia="zh-CN"/>
        </w:rPr>
        <w:t>乙方所承接的专项设计内容，由于乙方自身的资质及所属设计人员的限制，或者乙方指定的专项设计分包单位不能满足甲方的要求，乙方可进行分包或由甲方将该项专业设计内容另行发包给专业设计单位；乙方因自行分包进行勘察、设计的，须事先征得甲方书面同意，并在分包合同签订之日起7个工作日内报送甲方和工程所在地县级以上地方人民政府建设行政主管部门</w:t>
      </w:r>
      <w:r>
        <w:rPr>
          <w:rFonts w:hint="eastAsia" w:eastAsia="宋体"/>
          <w:snapToGrid w:val="0"/>
          <w:color w:val="auto"/>
          <w:sz w:val="24"/>
          <w:szCs w:val="24"/>
          <w:highlight w:val="none"/>
          <w:lang w:eastAsia="zh-CN"/>
        </w:rPr>
        <w:t>备案</w:t>
      </w:r>
      <w:r>
        <w:rPr>
          <w:rFonts w:hint="eastAsia" w:ascii="宋体" w:hAnsi="宋体" w:eastAsia="宋体"/>
          <w:snapToGrid w:val="0"/>
          <w:color w:val="auto"/>
          <w:sz w:val="24"/>
          <w:szCs w:val="24"/>
          <w:highlight w:val="none"/>
          <w:lang w:eastAsia="zh-CN"/>
        </w:rPr>
        <w:t>。</w:t>
      </w:r>
    </w:p>
    <w:p w14:paraId="06D34E5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w:t>
      </w:r>
      <w:r>
        <w:rPr>
          <w:rFonts w:hint="eastAsia" w:ascii="宋体" w:hAnsi="宋体" w:eastAsia="宋体"/>
          <w:snapToGrid w:val="0"/>
          <w:color w:val="auto"/>
          <w:sz w:val="24"/>
          <w:szCs w:val="24"/>
          <w:highlight w:val="none"/>
          <w:lang w:eastAsia="zh-CN"/>
        </w:rPr>
        <w:t>乙方应严格按照合同约定及项目建设管理需要做好分包管理工作，禁止转包或违法分包，禁止转让、出借企业资质证书或者以其他方式允许他人以本企业名义承揽勘察、设计业务。</w:t>
      </w:r>
    </w:p>
    <w:p w14:paraId="26F8F967">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5.3.1</w:t>
      </w:r>
      <w:r>
        <w:rPr>
          <w:rFonts w:hint="eastAsia" w:ascii="宋体" w:hAnsi="宋体" w:eastAsia="宋体"/>
          <w:snapToGrid w:val="0"/>
          <w:color w:val="auto"/>
          <w:sz w:val="24"/>
          <w:szCs w:val="24"/>
          <w:highlight w:val="none"/>
          <w:lang w:eastAsia="zh-CN"/>
        </w:rPr>
        <w:t>乙方不得将其承包的全部勘察、设计项目转包给他人，或者将其承包的全部勘察、设计项目肢解后以分包的名义分别转包给他人；将勘察、设计项目分包后，未在勘察、设计现场设立项目管理机构和派驻相应人员，且未对该勘察、设计活动进行组织管理的，视同转包行为。</w:t>
      </w:r>
    </w:p>
    <w:p w14:paraId="5DDAD6DA">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5.3.2</w:t>
      </w:r>
      <w:r>
        <w:rPr>
          <w:rFonts w:hint="eastAsia" w:ascii="宋体" w:hAnsi="宋体" w:eastAsia="宋体"/>
          <w:snapToGrid w:val="0"/>
          <w:color w:val="auto"/>
          <w:sz w:val="24"/>
          <w:szCs w:val="24"/>
          <w:highlight w:val="none"/>
          <w:lang w:eastAsia="zh-CN"/>
        </w:rPr>
        <w:t>下列行为，属于违法分包：</w:t>
      </w:r>
    </w:p>
    <w:p w14:paraId="439C918B">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（1）乙方将勘察、设计项目分包给不具备相应资质条件的分包人的；</w:t>
      </w:r>
    </w:p>
    <w:p w14:paraId="28F82F95">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（2）本合同中未有约定，又未经甲方认可，乙方将承包的部分勘察、设计项目分包给他人的。</w:t>
      </w:r>
    </w:p>
    <w:p w14:paraId="2D85AD41">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5.3.3</w:t>
      </w:r>
      <w:r>
        <w:rPr>
          <w:rFonts w:hint="eastAsia" w:ascii="宋体" w:hAnsi="宋体" w:eastAsia="宋体"/>
          <w:snapToGrid w:val="0"/>
          <w:color w:val="auto"/>
          <w:sz w:val="24"/>
          <w:szCs w:val="24"/>
          <w:highlight w:val="none"/>
          <w:lang w:eastAsia="zh-CN"/>
        </w:rPr>
        <w:t>乙方虽然没有将其承包的勘察、设计项目进行分包，但在勘察、设计现场所设项目管理机构的勘察、设计总负责人、勘察、设计管理负责人、各专业勘察、设计负责人、不是乙方本单位人员的，视同允许他人以本企业名义承揽勘察、设计业务。</w:t>
      </w:r>
    </w:p>
    <w:p w14:paraId="3CE4505F">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5.3.4</w:t>
      </w:r>
      <w:r>
        <w:rPr>
          <w:rFonts w:hint="eastAsia" w:ascii="宋体" w:hAnsi="宋体" w:eastAsia="宋体"/>
          <w:snapToGrid w:val="0"/>
          <w:color w:val="auto"/>
          <w:sz w:val="24"/>
          <w:szCs w:val="24"/>
          <w:highlight w:val="none"/>
          <w:lang w:eastAsia="zh-CN"/>
        </w:rPr>
        <w:t>分包单位必须自行完成所承包的勘察、设计，严禁再分包，并承担下列责任（包括但不限于）：</w:t>
      </w:r>
    </w:p>
    <w:p w14:paraId="596CCC71">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（1）接受甲方及勘察设计单位的管理，无条件执行甲方及勘察设计单位的指令。当甲方的指令与勘察设计单位的指令相冲突时，以甲方的指令为准；其他指令之间发生冲突时，应立即提请甲方协调处理。</w:t>
      </w:r>
    </w:p>
    <w:p w14:paraId="7558A97A">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（2）按本合同及分包合同的约定按时、按质、按量完成分包的勘察、设计任务并提交勘察、设计成果文件，对分包勘察、设计的进度、质量、</w:t>
      </w:r>
      <w:r>
        <w:rPr>
          <w:rFonts w:hint="eastAsia" w:ascii="宋体" w:hAnsi="宋体" w:eastAsia="宋体"/>
          <w:bCs/>
          <w:snapToGrid w:val="0"/>
          <w:color w:val="auto"/>
          <w:sz w:val="24"/>
          <w:szCs w:val="24"/>
          <w:highlight w:val="none"/>
          <w:lang w:eastAsia="zh-CN"/>
        </w:rPr>
        <w:t>安全、</w:t>
      </w:r>
      <w:r>
        <w:rPr>
          <w:rFonts w:hint="eastAsia" w:ascii="宋体" w:hAnsi="宋体" w:eastAsia="宋体"/>
          <w:snapToGrid w:val="0"/>
          <w:color w:val="auto"/>
          <w:sz w:val="24"/>
          <w:szCs w:val="24"/>
          <w:highlight w:val="none"/>
          <w:lang w:eastAsia="zh-CN"/>
        </w:rPr>
        <w:t>工程投资控制</w:t>
      </w:r>
      <w:r>
        <w:rPr>
          <w:rFonts w:hint="eastAsia" w:ascii="宋体" w:hAnsi="宋体" w:eastAsia="宋体"/>
          <w:bCs/>
          <w:snapToGrid w:val="0"/>
          <w:color w:val="auto"/>
          <w:sz w:val="24"/>
          <w:szCs w:val="24"/>
          <w:highlight w:val="none"/>
          <w:lang w:eastAsia="zh-CN"/>
        </w:rPr>
        <w:t>等负责。</w:t>
      </w:r>
    </w:p>
    <w:p w14:paraId="1DD8AD21">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Cs/>
          <w:iCs/>
          <w:snapToGrid w:val="0"/>
          <w:color w:val="auto"/>
          <w:sz w:val="24"/>
          <w:szCs w:val="24"/>
          <w:highlight w:val="none"/>
          <w:lang w:eastAsia="zh-CN"/>
        </w:rPr>
        <w:t>（3）</w:t>
      </w:r>
      <w:r>
        <w:rPr>
          <w:rFonts w:hint="eastAsia" w:ascii="宋体" w:hAnsi="宋体" w:eastAsia="宋体"/>
          <w:snapToGrid w:val="0"/>
          <w:color w:val="auto"/>
          <w:sz w:val="24"/>
          <w:szCs w:val="24"/>
          <w:highlight w:val="none"/>
          <w:lang w:eastAsia="zh-CN"/>
        </w:rPr>
        <w:t>本合同及分包合同中与分包勘察、设计项目有关的其他工作内容。</w:t>
      </w:r>
    </w:p>
    <w:p w14:paraId="50F5E832">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5.4</w:t>
      </w:r>
      <w:r>
        <w:rPr>
          <w:rFonts w:hint="eastAsia" w:ascii="宋体" w:hAnsi="宋体" w:eastAsia="宋体"/>
          <w:snapToGrid w:val="0"/>
          <w:color w:val="auto"/>
          <w:sz w:val="24"/>
          <w:szCs w:val="24"/>
          <w:highlight w:val="none"/>
          <w:lang w:eastAsia="zh-CN"/>
        </w:rPr>
        <w:t>乙方的勘察设计管理部是乙方的分包项目管理机构，应当具有与所承包勘察、设计的规模、技术复杂程度相适应的技术、经济管理人员；其中，勘察、设计总负责人、勘察、设计专业负责人必须是乙方本单位的人员。</w:t>
      </w:r>
    </w:p>
    <w:p w14:paraId="5DD3D934">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乙方应按照合同条款第8.1款的有关约定，在甲方批准分包之日起5天内将分包单位勘察、设计技术管理人员名单及设备仪器投入计划报送甲方且负责落实到位，并接受设计咨询单位和甲方代表的查验。</w:t>
      </w:r>
    </w:p>
    <w:p w14:paraId="77570AC0">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乙方应严格按照本合同约定及甲方的要求加强对分包单位履行义务的管理，保证分包单位全面正确履行合同。分包单位的任何违约行为或疏忽导致工程损害或给甲方造成其他损失，由乙方承担连带责任。</w:t>
      </w:r>
    </w:p>
    <w:p w14:paraId="2E6EDB91">
      <w:pPr>
        <w:adjustRightInd w:val="0"/>
        <w:snapToGrid w:val="0"/>
        <w:spacing w:line="360" w:lineRule="auto"/>
        <w:ind w:firstLine="48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5.5专业勘察、设计分包单位的管理</w:t>
      </w:r>
    </w:p>
    <w:p w14:paraId="37F5C633">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在乙方分包的专项设计阶段，实行乙方分包的专项设计分包方自身管理、乙方总协调管理、设计咨询单位管理、甲方管理的分级管理模式。在此管理阶段，乙方分包的专项分包方为主设计方，承担主要的设计责任；乙方为协作设计方，承担次要的连带责任；乙方就该部分对总体方案设计思想及技术路线贯彻与总体设计的协调负责出具设计审核意见，并送设计咨询单位审核通过后报甲方备案，承担相应责任。</w:t>
      </w:r>
    </w:p>
    <w:p w14:paraId="48FF6B07">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在甲方另行发包的专项设计阶段，实行甲方另行发包的专项设计单位自身管理、乙方总协调管理、设计咨询单位管理、甲方管理的分级管理模式。在此管理阶段，甲方另行发包的专项设计单位为主设计方，承担主要的设计责任；乙方为协作设计方，承担次要的设计责任；乙方就该部分对总体方案设计思想及技术路线贯彻与总体设计的协调负责出具设计审核意见，并送设计咨询单位审核通过后报甲方备案，承担相应责任。</w:t>
      </w:r>
    </w:p>
    <w:p w14:paraId="3C7A3A53">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乙方负责其勘察、设计范围内的各项专业勘察、设计的相关专业和接口、界面的协调工作。</w:t>
      </w:r>
    </w:p>
    <w:p w14:paraId="384E8D0A">
      <w:pPr>
        <w:adjustRightInd w:val="0"/>
        <w:snapToGrid w:val="0"/>
        <w:spacing w:line="360" w:lineRule="auto"/>
        <w:ind w:firstLine="480"/>
        <w:jc w:val="both"/>
        <w:rPr>
          <w:rFonts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5.6</w:t>
      </w:r>
      <w:r>
        <w:rPr>
          <w:rFonts w:hint="eastAsia" w:eastAsia="宋体"/>
          <w:snapToGrid w:val="0"/>
          <w:color w:val="auto"/>
          <w:sz w:val="24"/>
          <w:szCs w:val="24"/>
          <w:highlight w:val="none"/>
          <w:lang w:eastAsia="zh-CN"/>
        </w:rPr>
        <w:t>专业</w:t>
      </w:r>
      <w:r>
        <w:rPr>
          <w:rFonts w:hint="eastAsia" w:ascii="宋体" w:hAnsi="宋体" w:eastAsia="宋体"/>
          <w:bCs/>
          <w:snapToGrid w:val="0"/>
          <w:color w:val="auto"/>
          <w:sz w:val="24"/>
          <w:szCs w:val="24"/>
          <w:highlight w:val="none"/>
          <w:lang w:eastAsia="zh-CN"/>
        </w:rPr>
        <w:t>勘察、设计分包单位</w:t>
      </w:r>
      <w:r>
        <w:rPr>
          <w:rFonts w:hint="eastAsia" w:eastAsia="宋体"/>
          <w:snapToGrid w:val="0"/>
          <w:color w:val="auto"/>
          <w:sz w:val="24"/>
          <w:szCs w:val="24"/>
          <w:highlight w:val="none"/>
          <w:lang w:eastAsia="zh-CN"/>
        </w:rPr>
        <w:t>与审查单位的关系</w:t>
      </w:r>
    </w:p>
    <w:p w14:paraId="03861D59">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无论是乙方分包的专业勘察、设计分包单位还是甲方另外发包的专业勘察、设计承包单位，都要接受审查单位对其成果文件的审查。</w:t>
      </w:r>
    </w:p>
    <w:p w14:paraId="19BD45EF">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5.7</w:t>
      </w:r>
      <w:r>
        <w:rPr>
          <w:rFonts w:hint="eastAsia" w:ascii="宋体" w:hAnsi="宋体" w:eastAsia="宋体"/>
          <w:snapToGrid w:val="0"/>
          <w:color w:val="auto"/>
          <w:sz w:val="24"/>
          <w:szCs w:val="24"/>
          <w:highlight w:val="none"/>
          <w:lang w:eastAsia="zh-CN"/>
        </w:rPr>
        <w:t>各专业勘察、设计单位的权利和义务详见各专项勘察、设计的分包合同。</w:t>
      </w:r>
    </w:p>
    <w:p w14:paraId="08C4A99D">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5.8</w:t>
      </w:r>
      <w:r>
        <w:rPr>
          <w:rFonts w:hint="eastAsia" w:ascii="宋体" w:hAnsi="宋体" w:eastAsia="宋体"/>
          <w:snapToGrid w:val="0"/>
          <w:color w:val="auto"/>
          <w:sz w:val="24"/>
          <w:szCs w:val="24"/>
          <w:highlight w:val="none"/>
          <w:lang w:eastAsia="zh-CN"/>
        </w:rPr>
        <w:t>分包勘察、设计项目的价款由乙方与甲方结算。乙方应按本合同及分包合同的有关约定及时审核、申请支付各种勘察、设计款项。</w:t>
      </w:r>
    </w:p>
    <w:p w14:paraId="629F9D50">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5.9</w:t>
      </w:r>
      <w:r>
        <w:rPr>
          <w:rFonts w:hint="eastAsia" w:ascii="宋体" w:hAnsi="宋体" w:eastAsia="宋体"/>
          <w:snapToGrid w:val="0"/>
          <w:color w:val="auto"/>
          <w:sz w:val="24"/>
          <w:szCs w:val="24"/>
          <w:highlight w:val="none"/>
          <w:lang w:eastAsia="zh-CN"/>
        </w:rPr>
        <w:t>乙方对勘察、设计现场安全负责，并对专业勘察、设计单位的安全生产进行管理，发现事故隐患，应当及时作出处理。</w:t>
      </w:r>
    </w:p>
    <w:p w14:paraId="3F78B7B2">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专业勘察、设计单位就其所在的勘察、设计现场安全向乙方负责，服从乙方对勘察、设计现场的安全管理。</w:t>
      </w:r>
    </w:p>
    <w:p w14:paraId="3DE23728">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5.10</w:t>
      </w:r>
      <w:r>
        <w:rPr>
          <w:rFonts w:hint="eastAsia" w:ascii="宋体" w:hAnsi="宋体" w:eastAsia="宋体"/>
          <w:snapToGrid w:val="0"/>
          <w:color w:val="auto"/>
          <w:sz w:val="24"/>
          <w:szCs w:val="24"/>
          <w:highlight w:val="none"/>
          <w:lang w:eastAsia="zh-CN"/>
        </w:rPr>
        <w:t>乙方应按照合同约定协调所有专业勘察、设计单位的工作，确保由不同专业单位所完成的勘察、设计之间的配合和接口顺利、有效和可靠。乙方应负责保证本工程勘察、设计的完整性和整体性。相关费用已经含于合同总价中，甲方无需另行支付任何费用。</w:t>
      </w:r>
    </w:p>
    <w:p w14:paraId="5957CDAA">
      <w:pPr>
        <w:adjustRightInd w:val="0"/>
        <w:snapToGrid w:val="0"/>
        <w:spacing w:line="360" w:lineRule="auto"/>
        <w:jc w:val="both"/>
        <w:rPr>
          <w:rFonts w:hint="eastAsia" w:ascii="宋体" w:hAnsi="宋体" w:eastAsia="宋体"/>
          <w:b/>
          <w:snapToGrid w:val="0"/>
          <w:color w:val="auto"/>
          <w:sz w:val="30"/>
          <w:szCs w:val="30"/>
          <w:highlight w:val="none"/>
          <w:lang w:eastAsia="zh-CN"/>
        </w:rPr>
      </w:pPr>
    </w:p>
    <w:p w14:paraId="2A7F350C">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第三章  设计工作内容及要求</w:t>
      </w:r>
    </w:p>
    <w:p w14:paraId="621D2E90">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6、设计工作内容及要求</w:t>
      </w:r>
    </w:p>
    <w:p w14:paraId="4238C4F1">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6.1设计工作内容（包括但不限于）</w:t>
      </w:r>
    </w:p>
    <w:p w14:paraId="297C5148">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总体勘察设计范围包括：标段内方案设计、初步设计阶段的全部勘察设计，设计深度需满足政府主管部门初步设计报批深度的要求，包括场地的岩土工程、地质勘查、基坑支护设计、地基及软基处理设计、修建性详细规划设计、建筑方案设计、初步设计、概算编制（含方案设计估算、初步设计概算）、因政策变化或相应外部条件改变带来的相应设计工作、与本项目初步设计阶段相关的勘察设计等工作。</w:t>
      </w:r>
    </w:p>
    <w:p w14:paraId="694C66B4">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此部分内容设选项按标准化模式设置，标注“√”的选项即为本项目采用，标注“×”的选项为本项目不采用。包括但不限于以下内容：</w:t>
      </w:r>
    </w:p>
    <w:p w14:paraId="07FF4144">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1）规划用地红线内（含代征用地）及红线外（管线）所涉及建设内容的全部勘察：完成地下、地上物探成果报告，收集周边地下、地上管线、建筑物、构筑物相关资料，编制项目前期摸查报告；进行初步勘察、详细勘察、超前钻（如为岩溶场地则含管波探测工作）和初测、定测、测绘等实施工作，编制勘探、测量技术文件，编制勘探、土洞溶洞探测等相关总图；负责协调和配合相关主管部门对相关工作成果进行审批，直至获得批复。</w:t>
      </w:r>
    </w:p>
    <w:p w14:paraId="5E2E5366">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2）方案设计：根据现行《建筑工程设计文件编制深度规定》中关于方案设计应达到的设计深度要求进行方案设计，同时根据专家评审意见及有关职能部门提出的修改意见，对甲方选定的设计方案进行修改和完善。</w:t>
      </w:r>
    </w:p>
    <w:p w14:paraId="5A163A2D">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√（3）总平面规划方案设计：建设区域内修建性详细规划的设计：本项目用地红线范围内总平面及竖向规划设计、管线综合设计、建筑布局、交通组织、景观绿化等。</w:t>
      </w:r>
    </w:p>
    <w:p w14:paraId="1A0BEA9D">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√（4）室外园林工程设计：包括本项目用地红线范围内的小区道路、供电、供水、排水、燃气工程等工程设计，以及各种管线综合平衡设计（含配合市政管线接口对接）等。</w:t>
      </w:r>
    </w:p>
    <w:p w14:paraId="0C89AB2F">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5）建筑设计：本项目合同范围内的建筑设计，包括但不限于提供主体建筑与附属建筑各层平面图，建筑四个方向立面图、主要剖面图、功能区域设计、交通组织图、外立面装修及室内装修图、效果图、构造做法、新技术做法。</w:t>
      </w:r>
    </w:p>
    <w:p w14:paraId="53A31C9C">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6）结构设计：本项目合同范围内建筑体的结构设计、基坑支护设计、挡土墙护坡、幕墙等装修工程的结构设计，包括总平面范围内主体、附属的结构设计、装修工程的结构设计与验算、室外工程及构筑物的结构设计等。</w:t>
      </w:r>
    </w:p>
    <w:p w14:paraId="62945BA9">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7）电气设计：包括红线范围内的变配电系统、应急电源供电系统、电力系统、照明系统（含室内普通照明、室外景观照明及智能照明控制）、火灾自动报警系统、建筑物防雷、接地系统及安全措施，并配合完成红线范围内管线综合平衡设计。</w:t>
      </w:r>
    </w:p>
    <w:p w14:paraId="2F85D4F3">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√（8）智能化系统设计：</w:t>
      </w:r>
    </w:p>
    <w:p w14:paraId="52B7B51A">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  1）通信网络系统：包括计算机网络系统、电话（语音）网络系统、有线电视系统、公共广播及消防广播系统、无线上网系统；综合布线；信息导引及发布系统；</w:t>
      </w:r>
    </w:p>
    <w:p w14:paraId="61A18978">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  2）电子会议系统；</w:t>
      </w:r>
    </w:p>
    <w:p w14:paraId="6C4B8D45">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  3）新闻发布系统；</w:t>
      </w:r>
    </w:p>
    <w:p w14:paraId="18AE0C15">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  4）建筑设备监控系统；</w:t>
      </w:r>
    </w:p>
    <w:p w14:paraId="107B95B7">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  5）安全防范系统（访客对讲、紧急求助报警装置等）；闭路电视监控系统、出入口控制系统、停车场管理系统；</w:t>
      </w:r>
    </w:p>
    <w:p w14:paraId="58B99689">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  6）智能化系统集成；</w:t>
      </w:r>
    </w:p>
    <w:p w14:paraId="682138CC">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  7）弱电防雷系统；</w:t>
      </w:r>
    </w:p>
    <w:p w14:paraId="74BC5039">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  8）机房工程；</w:t>
      </w:r>
    </w:p>
    <w:p w14:paraId="5E512B74">
      <w:pPr>
        <w:adjustRightInd w:val="0"/>
        <w:snapToGrid w:val="0"/>
        <w:spacing w:line="360" w:lineRule="auto"/>
        <w:ind w:firstLine="470" w:firstLineChars="196"/>
        <w:jc w:val="both"/>
        <w:rPr>
          <w:color w:val="auto"/>
          <w:highlight w:val="none"/>
        </w:rPr>
      </w:pPr>
      <w:r>
        <w:rPr>
          <w:rFonts w:hint="eastAsia" w:ascii="宋体" w:hAnsi="宋体" w:eastAsia="宋体" w:cs="Times New Roman"/>
          <w:snapToGrid w:val="0"/>
          <w:color w:val="auto"/>
          <w:sz w:val="24"/>
          <w:szCs w:val="24"/>
          <w:highlight w:val="none"/>
          <w:lang w:val="en-US" w:eastAsia="zh-CN"/>
        </w:rPr>
        <w:t xml:space="preserve"> </w:t>
      </w:r>
      <w:r>
        <w:rPr>
          <w:rFonts w:hint="eastAsia" w:ascii="宋体" w:hAnsi="宋体" w:eastAsia="宋体" w:cs="Times New Roman"/>
          <w:snapToGrid w:val="0"/>
          <w:color w:val="auto"/>
          <w:sz w:val="24"/>
          <w:szCs w:val="24"/>
          <w:highlight w:val="none"/>
          <w:lang w:eastAsia="zh-CN"/>
        </w:rPr>
        <w:t>√</w:t>
      </w:r>
      <w:r>
        <w:rPr>
          <w:rFonts w:hint="eastAsia" w:ascii="宋体" w:hAnsi="宋体" w:eastAsia="宋体" w:cs="Times New Roman"/>
          <w:snapToGrid w:val="0"/>
          <w:color w:val="auto"/>
          <w:sz w:val="24"/>
          <w:szCs w:val="24"/>
          <w:highlight w:val="none"/>
          <w:lang w:val="en-US" w:eastAsia="zh-CN"/>
        </w:rPr>
        <w:t xml:space="preserve"> </w:t>
      </w:r>
      <w:r>
        <w:rPr>
          <w:rFonts w:hint="eastAsia" w:ascii="宋体" w:hAnsi="宋体" w:eastAsia="宋体" w:cs="Times New Roman"/>
          <w:snapToGrid w:val="0"/>
          <w:color w:val="auto"/>
          <w:sz w:val="24"/>
          <w:szCs w:val="24"/>
          <w:highlight w:val="none"/>
          <w:lang w:eastAsia="zh-CN"/>
        </w:rPr>
        <w:t>9）室内分布系统（室内无线网络覆盖系统）；</w:t>
      </w:r>
    </w:p>
    <w:p w14:paraId="55491D4A">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9</w:t>
      </w:r>
      <w:r>
        <w:rPr>
          <w:rFonts w:hint="eastAsia" w:ascii="宋体" w:hAnsi="宋体" w:eastAsia="宋体" w:cs="Times New Roman"/>
          <w:snapToGrid w:val="0"/>
          <w:color w:val="auto"/>
          <w:sz w:val="24"/>
          <w:szCs w:val="24"/>
          <w:highlight w:val="none"/>
          <w:lang w:eastAsia="zh-CN"/>
        </w:rPr>
        <w:t>）给排水设计（含外水接入、接出部分，需设计接至主管部门指定接口）：建筑给水、排水系统设计、用地内与市政管线接驳等设计。</w:t>
      </w:r>
    </w:p>
    <w:p w14:paraId="7400C304">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10</w:t>
      </w:r>
      <w:r>
        <w:rPr>
          <w:rFonts w:hint="eastAsia" w:ascii="宋体" w:hAnsi="宋体" w:eastAsia="宋体" w:cs="Times New Roman"/>
          <w:snapToGrid w:val="0"/>
          <w:color w:val="auto"/>
          <w:sz w:val="24"/>
          <w:szCs w:val="24"/>
          <w:highlight w:val="none"/>
          <w:lang w:eastAsia="zh-CN"/>
        </w:rPr>
        <w:t>）空调通风设计：包括不限于建筑物内部通风系统、防排烟系统、建筑物内部空气调节系统、集中供冷供热系统等的设计。</w:t>
      </w:r>
    </w:p>
    <w:p w14:paraId="56D237DD">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包括红线范围内给水排水系统；消火栓系统；自动喷水灭火系统；灭火器配置；气体灭火系统。</w:t>
      </w:r>
    </w:p>
    <w:p w14:paraId="224B30BF">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11</w:t>
      </w:r>
      <w:r>
        <w:rPr>
          <w:rFonts w:hint="eastAsia" w:ascii="宋体" w:hAnsi="宋体" w:eastAsia="宋体" w:cs="Times New Roman"/>
          <w:snapToGrid w:val="0"/>
          <w:color w:val="auto"/>
          <w:sz w:val="24"/>
          <w:szCs w:val="24"/>
          <w:highlight w:val="none"/>
          <w:lang w:eastAsia="zh-CN"/>
        </w:rPr>
        <w:t>）消防设计：消火栓系统、自动喷淋系统、气体灭火系统、防排烟系统、火灾自动报警及联动控制系统。</w:t>
      </w:r>
    </w:p>
    <w:p w14:paraId="694C3369">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12</w:t>
      </w:r>
      <w:r>
        <w:rPr>
          <w:rFonts w:hint="eastAsia" w:ascii="宋体" w:hAnsi="宋体" w:eastAsia="宋体" w:cs="Times New Roman"/>
          <w:snapToGrid w:val="0"/>
          <w:color w:val="auto"/>
          <w:sz w:val="24"/>
          <w:szCs w:val="24"/>
          <w:highlight w:val="none"/>
          <w:lang w:eastAsia="zh-CN"/>
        </w:rPr>
        <w:t>）电梯工程设计与相关配合。</w:t>
      </w:r>
    </w:p>
    <w:p w14:paraId="51073242">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13</w:t>
      </w:r>
      <w:r>
        <w:rPr>
          <w:rFonts w:hint="eastAsia" w:ascii="宋体" w:hAnsi="宋体" w:eastAsia="宋体" w:cs="Times New Roman"/>
          <w:snapToGrid w:val="0"/>
          <w:color w:val="auto"/>
          <w:sz w:val="24"/>
          <w:szCs w:val="24"/>
          <w:highlight w:val="none"/>
          <w:lang w:eastAsia="zh-CN"/>
        </w:rPr>
        <w:t>）市政专业设计，包括本项目用地红线范围内市政路涉及的道路、桥梁、交通、给排水、照明、绿化、缆线管廊（电力及通信）等工程设计，以及各种管线综合平衡设计（含配合市政管线接口对接）等。</w:t>
      </w:r>
    </w:p>
    <w:p w14:paraId="49F4F622">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14</w:t>
      </w:r>
      <w:r>
        <w:rPr>
          <w:rFonts w:hint="eastAsia" w:ascii="宋体" w:hAnsi="宋体" w:eastAsia="宋体" w:cs="Times New Roman"/>
          <w:snapToGrid w:val="0"/>
          <w:color w:val="auto"/>
          <w:sz w:val="24"/>
          <w:szCs w:val="24"/>
          <w:highlight w:val="none"/>
          <w:lang w:eastAsia="zh-CN"/>
        </w:rPr>
        <w:t>）市政管线综合专业设计。</w:t>
      </w:r>
    </w:p>
    <w:p w14:paraId="41A081BE">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15</w:t>
      </w:r>
      <w:r>
        <w:rPr>
          <w:rFonts w:hint="eastAsia" w:ascii="宋体" w:hAnsi="宋体" w:eastAsia="宋体" w:cs="Times New Roman"/>
          <w:snapToGrid w:val="0"/>
          <w:color w:val="auto"/>
          <w:sz w:val="24"/>
          <w:szCs w:val="24"/>
          <w:highlight w:val="none"/>
          <w:lang w:eastAsia="zh-CN"/>
        </w:rPr>
        <w:t>）按照项目的灯光、声学等特殊工艺设计要求进行建筑、结构及其配套设备专业的设计与相关配合。</w:t>
      </w:r>
    </w:p>
    <w:p w14:paraId="57A234CB">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16</w:t>
      </w:r>
      <w:r>
        <w:rPr>
          <w:rFonts w:hint="eastAsia" w:ascii="宋体" w:hAnsi="宋体" w:eastAsia="宋体" w:cs="Times New Roman"/>
          <w:snapToGrid w:val="0"/>
          <w:color w:val="auto"/>
          <w:sz w:val="24"/>
          <w:szCs w:val="24"/>
          <w:highlight w:val="none"/>
          <w:lang w:eastAsia="zh-CN"/>
        </w:rPr>
        <w:t>）管线综合平衡设计：各种专业设备、系统的管线在建筑物内、外的路由平衡设计。建筑物内、外的管线综合平衡设计以专篇形式提交。</w:t>
      </w:r>
    </w:p>
    <w:p w14:paraId="2D67E7F9">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17</w:t>
      </w:r>
      <w:r>
        <w:rPr>
          <w:rFonts w:hint="eastAsia" w:ascii="宋体" w:hAnsi="宋体" w:eastAsia="宋体" w:cs="Times New Roman"/>
          <w:snapToGrid w:val="0"/>
          <w:color w:val="auto"/>
          <w:sz w:val="24"/>
          <w:szCs w:val="24"/>
          <w:highlight w:val="none"/>
          <w:lang w:eastAsia="zh-CN"/>
        </w:rPr>
        <w:t>）设备选型意见：就拟采用的专用机电设备、专用电子设备（如大屏幕显示系统、广播音响系统等）的选型于施工图设计开始前向甲方提出书面意见并提供相关设备的技术参数规格书，但不设计专用设备。</w:t>
      </w:r>
    </w:p>
    <w:p w14:paraId="383B0686">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18</w:t>
      </w:r>
      <w:r>
        <w:rPr>
          <w:rFonts w:hint="eastAsia" w:ascii="宋体" w:hAnsi="宋体" w:eastAsia="宋体" w:cs="Times New Roman"/>
          <w:snapToGrid w:val="0"/>
          <w:color w:val="auto"/>
          <w:sz w:val="24"/>
          <w:szCs w:val="24"/>
          <w:highlight w:val="none"/>
          <w:lang w:eastAsia="zh-CN"/>
        </w:rPr>
        <w:t>）建筑节能、绿色建筑设计，以及新技术应用的研究和设计。</w:t>
      </w:r>
    </w:p>
    <w:p w14:paraId="39D53D2E">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19</w:t>
      </w:r>
      <w:r>
        <w:rPr>
          <w:rFonts w:hint="eastAsia" w:ascii="宋体" w:hAnsi="宋体" w:eastAsia="宋体" w:cs="Times New Roman"/>
          <w:snapToGrid w:val="0"/>
          <w:color w:val="auto"/>
          <w:sz w:val="24"/>
          <w:szCs w:val="24"/>
          <w:highlight w:val="none"/>
          <w:lang w:eastAsia="zh-CN"/>
        </w:rPr>
        <w:t>）编制方案设计投资估算。</w:t>
      </w:r>
    </w:p>
    <w:p w14:paraId="3DEFF9FA">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20</w:t>
      </w:r>
      <w:r>
        <w:rPr>
          <w:rFonts w:hint="eastAsia" w:ascii="宋体" w:hAnsi="宋体" w:eastAsia="宋体" w:cs="Times New Roman"/>
          <w:snapToGrid w:val="0"/>
          <w:color w:val="auto"/>
          <w:sz w:val="24"/>
          <w:szCs w:val="24"/>
          <w:highlight w:val="none"/>
          <w:lang w:eastAsia="zh-CN"/>
        </w:rPr>
        <w:t>）编制初步设计概算。</w:t>
      </w:r>
    </w:p>
    <w:p w14:paraId="335A5E9F">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21</w:t>
      </w:r>
      <w:r>
        <w:rPr>
          <w:rFonts w:hint="eastAsia" w:ascii="宋体" w:hAnsi="宋体" w:eastAsia="宋体" w:cs="Times New Roman"/>
          <w:snapToGrid w:val="0"/>
          <w:color w:val="auto"/>
          <w:sz w:val="24"/>
          <w:szCs w:val="24"/>
          <w:highlight w:val="none"/>
          <w:lang w:eastAsia="zh-CN"/>
        </w:rPr>
        <w:t>）编制设计变更预算。</w:t>
      </w:r>
    </w:p>
    <w:p w14:paraId="62C73D38">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22</w:t>
      </w:r>
      <w:r>
        <w:rPr>
          <w:rFonts w:hint="eastAsia" w:ascii="宋体" w:hAnsi="宋体" w:eastAsia="宋体" w:cs="Times New Roman"/>
          <w:snapToGrid w:val="0"/>
          <w:color w:val="auto"/>
          <w:sz w:val="24"/>
          <w:szCs w:val="24"/>
          <w:highlight w:val="none"/>
          <w:lang w:eastAsia="zh-CN"/>
        </w:rPr>
        <w:t>）编制施工图预算。</w:t>
      </w:r>
    </w:p>
    <w:p w14:paraId="11BAD9B2">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23</w:t>
      </w:r>
      <w:r>
        <w:rPr>
          <w:rFonts w:hint="eastAsia" w:ascii="宋体" w:hAnsi="宋体" w:eastAsia="宋体" w:cs="Times New Roman"/>
          <w:snapToGrid w:val="0"/>
          <w:color w:val="auto"/>
          <w:sz w:val="24"/>
          <w:szCs w:val="24"/>
          <w:highlight w:val="none"/>
          <w:lang w:eastAsia="zh-CN"/>
        </w:rPr>
        <w:t>）在规划红线范围内，乙方应保证按规划及建筑功能要求、配套设施要求完成本合同工程造价中包含的全部项目的专业专项勘察、初步设计。</w:t>
      </w:r>
    </w:p>
    <w:p w14:paraId="48D18BBA">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24</w:t>
      </w:r>
      <w:r>
        <w:rPr>
          <w:rFonts w:hint="eastAsia" w:ascii="宋体" w:hAnsi="宋体" w:eastAsia="宋体" w:cs="Times New Roman"/>
          <w:snapToGrid w:val="0"/>
          <w:color w:val="auto"/>
          <w:sz w:val="24"/>
          <w:szCs w:val="24"/>
          <w:highlight w:val="none"/>
          <w:lang w:eastAsia="zh-CN"/>
        </w:rPr>
        <w:t>）对于专项分包勘察、设计文件，须由乙方及专项分包单位人员校核并会签盖章确认。专项分包初步设计文件中，需设计人校核确认的部分由设计人及专项分包方人员进行会签并盖章确认。设计人应配合专项分包初步设计单位出图。对于有设计资质的初步设计单位，对其设计文件进行设计协调和按建设方要求办理审核确认手续；对于没有设计资质的初步设计单位，在完成深化设计后需套设计人单位图签出图，初步设计单位必须盖章确认。</w:t>
      </w:r>
    </w:p>
    <w:p w14:paraId="3E763467">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25</w:t>
      </w:r>
      <w:r>
        <w:rPr>
          <w:rFonts w:hint="eastAsia" w:ascii="宋体" w:hAnsi="宋体" w:eastAsia="宋体" w:cs="Times New Roman"/>
          <w:snapToGrid w:val="0"/>
          <w:color w:val="auto"/>
          <w:sz w:val="24"/>
          <w:szCs w:val="24"/>
          <w:highlight w:val="none"/>
          <w:lang w:eastAsia="zh-CN"/>
        </w:rPr>
        <w:t>）提供主要设备材料表及技术要求书，配合甲方的招标工作。</w:t>
      </w:r>
    </w:p>
    <w:p w14:paraId="50DF41E5">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地震评估、环境评估、防雷评估、风洞试验、振动台试验、点试验、消防性能化分析及有关专项试验、研究与论证不在乙方设计范畴内，但乙方应配合甲方工作。</w:t>
      </w:r>
    </w:p>
    <w:p w14:paraId="7B02F131">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26</w:t>
      </w:r>
      <w:r>
        <w:rPr>
          <w:rFonts w:hint="eastAsia" w:ascii="宋体" w:hAnsi="宋体" w:eastAsia="宋体" w:cs="Times New Roman"/>
          <w:snapToGrid w:val="0"/>
          <w:color w:val="auto"/>
          <w:sz w:val="24"/>
          <w:szCs w:val="24"/>
          <w:highlight w:val="none"/>
          <w:lang w:eastAsia="zh-CN"/>
        </w:rPr>
        <w:t>）幕墙工程（如有）。</w:t>
      </w:r>
    </w:p>
    <w:p w14:paraId="355B3490">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27</w:t>
      </w:r>
      <w:r>
        <w:rPr>
          <w:rFonts w:hint="eastAsia" w:ascii="宋体" w:hAnsi="宋体" w:eastAsia="宋体" w:cs="Times New Roman"/>
          <w:snapToGrid w:val="0"/>
          <w:color w:val="auto"/>
          <w:sz w:val="24"/>
          <w:szCs w:val="24"/>
          <w:highlight w:val="none"/>
          <w:lang w:eastAsia="zh-CN"/>
        </w:rPr>
        <w:t>）环保工程设计。</w:t>
      </w:r>
    </w:p>
    <w:p w14:paraId="7EC8C082">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28</w:t>
      </w:r>
      <w:r>
        <w:rPr>
          <w:rFonts w:hint="eastAsia" w:ascii="宋体" w:hAnsi="宋体" w:eastAsia="宋体" w:cs="Times New Roman"/>
          <w:snapToGrid w:val="0"/>
          <w:color w:val="auto"/>
          <w:sz w:val="24"/>
          <w:szCs w:val="24"/>
          <w:highlight w:val="none"/>
          <w:lang w:eastAsia="zh-CN"/>
        </w:rPr>
        <w:t>）防雷设计。</w:t>
      </w:r>
    </w:p>
    <w:p w14:paraId="10A1B6F6">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29</w:t>
      </w:r>
      <w:r>
        <w:rPr>
          <w:rFonts w:hint="eastAsia" w:ascii="宋体" w:hAnsi="宋体" w:eastAsia="宋体" w:cs="Times New Roman"/>
          <w:snapToGrid w:val="0"/>
          <w:color w:val="auto"/>
          <w:sz w:val="24"/>
          <w:szCs w:val="24"/>
          <w:highlight w:val="none"/>
          <w:lang w:eastAsia="zh-CN"/>
        </w:rPr>
        <w:t>）标识导引系统设计。</w:t>
      </w:r>
    </w:p>
    <w:p w14:paraId="426D1EBD">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30</w:t>
      </w:r>
      <w:r>
        <w:rPr>
          <w:rFonts w:hint="eastAsia" w:ascii="宋体" w:hAnsi="宋体" w:eastAsia="宋体" w:cs="Times New Roman"/>
          <w:snapToGrid w:val="0"/>
          <w:color w:val="auto"/>
          <w:sz w:val="24"/>
          <w:szCs w:val="24"/>
          <w:highlight w:val="none"/>
          <w:lang w:eastAsia="zh-CN"/>
        </w:rPr>
        <w:t>）</w:t>
      </w:r>
      <w:bookmarkStart w:id="8" w:name="_Hlk75248990"/>
      <w:r>
        <w:rPr>
          <w:rFonts w:hint="eastAsia" w:ascii="宋体" w:hAnsi="宋体" w:eastAsia="宋体" w:cs="Times New Roman"/>
          <w:snapToGrid w:val="0"/>
          <w:color w:val="auto"/>
          <w:sz w:val="24"/>
          <w:szCs w:val="24"/>
          <w:highlight w:val="none"/>
          <w:lang w:eastAsia="zh-CN"/>
        </w:rPr>
        <w:t>基坑专业设计</w:t>
      </w:r>
      <w:bookmarkEnd w:id="8"/>
      <w:r>
        <w:rPr>
          <w:rFonts w:hint="eastAsia" w:ascii="宋体" w:hAnsi="宋体" w:eastAsia="宋体" w:cs="Times New Roman"/>
          <w:snapToGrid w:val="0"/>
          <w:color w:val="auto"/>
          <w:sz w:val="24"/>
          <w:szCs w:val="24"/>
          <w:highlight w:val="none"/>
          <w:lang w:eastAsia="zh-CN"/>
        </w:rPr>
        <w:t>。</w:t>
      </w:r>
    </w:p>
    <w:p w14:paraId="1E132A06">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31</w:t>
      </w:r>
      <w:r>
        <w:rPr>
          <w:rFonts w:hint="eastAsia" w:ascii="宋体" w:hAnsi="宋体" w:eastAsia="宋体" w:cs="Times New Roman"/>
          <w:snapToGrid w:val="0"/>
          <w:color w:val="auto"/>
          <w:sz w:val="24"/>
          <w:szCs w:val="24"/>
          <w:highlight w:val="none"/>
          <w:lang w:eastAsia="zh-CN"/>
        </w:rPr>
        <w:t>）临水、临电、施工围墙、施工便道、施工总平面等工程初步设计。</w:t>
      </w:r>
    </w:p>
    <w:p w14:paraId="32D3B22F">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32</w:t>
      </w:r>
      <w:r>
        <w:rPr>
          <w:rFonts w:hint="eastAsia" w:ascii="宋体" w:hAnsi="宋体" w:eastAsia="宋体" w:cs="Times New Roman"/>
          <w:snapToGrid w:val="0"/>
          <w:color w:val="auto"/>
          <w:sz w:val="24"/>
          <w:szCs w:val="24"/>
          <w:highlight w:val="none"/>
          <w:lang w:eastAsia="zh-CN"/>
        </w:rPr>
        <w:t>）建设单位的驻地办公场所方案设计（临时板房、景观绿化、旗杆等）。</w:t>
      </w:r>
    </w:p>
    <w:p w14:paraId="37922CB6">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33</w:t>
      </w:r>
      <w:r>
        <w:rPr>
          <w:rFonts w:hint="eastAsia" w:ascii="宋体" w:hAnsi="宋体" w:eastAsia="宋体" w:cs="Times New Roman"/>
          <w:snapToGrid w:val="0"/>
          <w:color w:val="auto"/>
          <w:sz w:val="24"/>
          <w:szCs w:val="24"/>
          <w:highlight w:val="none"/>
          <w:lang w:eastAsia="zh-CN"/>
        </w:rPr>
        <w:t>）本项目实施过程中所涉及的现有设施拆除、管线迁改等内容的初步设计。</w:t>
      </w:r>
    </w:p>
    <w:p w14:paraId="38CBCA17">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34</w:t>
      </w:r>
      <w:r>
        <w:rPr>
          <w:rFonts w:hint="eastAsia" w:ascii="宋体" w:hAnsi="宋体" w:eastAsia="宋体" w:cs="Times New Roman"/>
          <w:snapToGrid w:val="0"/>
          <w:color w:val="auto"/>
          <w:sz w:val="24"/>
          <w:szCs w:val="24"/>
          <w:highlight w:val="none"/>
          <w:lang w:eastAsia="zh-CN"/>
        </w:rPr>
        <w:t>）人防工程设计。</w:t>
      </w:r>
    </w:p>
    <w:p w14:paraId="440D6523">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35</w:t>
      </w:r>
      <w:r>
        <w:rPr>
          <w:rFonts w:hint="eastAsia" w:ascii="宋体" w:hAnsi="宋体" w:eastAsia="宋体" w:cs="Times New Roman"/>
          <w:snapToGrid w:val="0"/>
          <w:color w:val="auto"/>
          <w:sz w:val="24"/>
          <w:szCs w:val="24"/>
          <w:highlight w:val="none"/>
          <w:lang w:eastAsia="zh-CN"/>
        </w:rPr>
        <w:t>）管线迁改设计。</w:t>
      </w:r>
    </w:p>
    <w:p w14:paraId="4367179B">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36</w:t>
      </w:r>
      <w:r>
        <w:rPr>
          <w:rFonts w:hint="eastAsia" w:ascii="宋体" w:hAnsi="宋体" w:eastAsia="宋体" w:cs="Times New Roman"/>
          <w:snapToGrid w:val="0"/>
          <w:color w:val="auto"/>
          <w:sz w:val="24"/>
          <w:szCs w:val="24"/>
          <w:highlight w:val="none"/>
          <w:lang w:eastAsia="zh-CN"/>
        </w:rPr>
        <w:t>）燃气工程设计。</w:t>
      </w:r>
    </w:p>
    <w:p w14:paraId="6C3E90CC">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37</w:t>
      </w:r>
      <w:r>
        <w:rPr>
          <w:rFonts w:hint="eastAsia" w:ascii="宋体" w:hAnsi="宋体" w:eastAsia="宋体" w:cs="Times New Roman"/>
          <w:snapToGrid w:val="0"/>
          <w:color w:val="auto"/>
          <w:sz w:val="24"/>
          <w:szCs w:val="24"/>
          <w:highlight w:val="none"/>
          <w:lang w:eastAsia="zh-CN"/>
        </w:rPr>
        <w:t>）绿色建筑设计（新城建专项设计）。</w:t>
      </w:r>
    </w:p>
    <w:p w14:paraId="48B02081">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38</w:t>
      </w:r>
      <w:r>
        <w:rPr>
          <w:rFonts w:hint="eastAsia" w:ascii="宋体" w:hAnsi="宋体" w:eastAsia="宋体" w:cs="Times New Roman"/>
          <w:snapToGrid w:val="0"/>
          <w:color w:val="auto"/>
          <w:sz w:val="24"/>
          <w:szCs w:val="24"/>
          <w:highlight w:val="none"/>
          <w:lang w:eastAsia="zh-CN"/>
        </w:rPr>
        <w:t>）海绵城市等专业设计。</w:t>
      </w:r>
    </w:p>
    <w:p w14:paraId="5602978A">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39</w:t>
      </w:r>
      <w:r>
        <w:rPr>
          <w:rFonts w:hint="eastAsia" w:ascii="宋体" w:hAnsi="宋体" w:eastAsia="宋体" w:cs="Times New Roman"/>
          <w:snapToGrid w:val="0"/>
          <w:color w:val="auto"/>
          <w:sz w:val="24"/>
          <w:szCs w:val="24"/>
          <w:highlight w:val="none"/>
          <w:lang w:eastAsia="zh-CN"/>
        </w:rPr>
        <w:t>）装配式专项初步设计。</w:t>
      </w:r>
    </w:p>
    <w:p w14:paraId="707B2A14">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√（4</w:t>
      </w:r>
      <w:r>
        <w:rPr>
          <w:rFonts w:hint="default" w:ascii="宋体" w:hAnsi="宋体" w:eastAsia="宋体" w:cs="Times New Roman"/>
          <w:snapToGrid w:val="0"/>
          <w:color w:val="auto"/>
          <w:sz w:val="24"/>
          <w:szCs w:val="24"/>
          <w:highlight w:val="none"/>
          <w:lang w:val="en-US" w:eastAsia="zh-CN"/>
        </w:rPr>
        <w:t>0</w:t>
      </w:r>
      <w:r>
        <w:rPr>
          <w:rFonts w:hint="eastAsia" w:ascii="宋体" w:hAnsi="宋体" w:eastAsia="宋体" w:cs="Times New Roman"/>
          <w:snapToGrid w:val="0"/>
          <w:color w:val="auto"/>
          <w:sz w:val="24"/>
          <w:szCs w:val="24"/>
          <w:highlight w:val="none"/>
          <w:lang w:eastAsia="zh-CN"/>
        </w:rPr>
        <w:t>）项目前期摸查报告编制（项目建设范围内及周边管线、地上建（构）筑物、交通、市政配套、地形地貌等前期摸查），项目各阶段设计重点、难点分析报告。</w:t>
      </w:r>
    </w:p>
    <w:p w14:paraId="74DF911C">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√（4</w:t>
      </w:r>
      <w:r>
        <w:rPr>
          <w:rFonts w:hint="default" w:ascii="宋体" w:hAnsi="宋体" w:eastAsia="宋体" w:cs="Times New Roman"/>
          <w:snapToGrid w:val="0"/>
          <w:color w:val="auto"/>
          <w:sz w:val="24"/>
          <w:szCs w:val="24"/>
          <w:highlight w:val="none"/>
          <w:lang w:val="en-US" w:eastAsia="zh-CN"/>
        </w:rPr>
        <w:t>1</w:t>
      </w:r>
      <w:r>
        <w:rPr>
          <w:rFonts w:hint="eastAsia" w:ascii="宋体" w:hAnsi="宋体" w:eastAsia="宋体" w:cs="Times New Roman"/>
          <w:snapToGrid w:val="0"/>
          <w:color w:val="auto"/>
          <w:sz w:val="24"/>
          <w:szCs w:val="24"/>
          <w:highlight w:val="none"/>
          <w:lang w:eastAsia="zh-CN"/>
        </w:rPr>
        <w:t>）现场指导和配合服务（设计阶段根据工程建设的需要及建设方的要求确定服务时间）。</w:t>
      </w:r>
    </w:p>
    <w:p w14:paraId="49640A21">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√（4</w:t>
      </w:r>
      <w:r>
        <w:rPr>
          <w:rFonts w:hint="default" w:ascii="宋体" w:hAnsi="宋体" w:eastAsia="宋体" w:cs="Times New Roman"/>
          <w:snapToGrid w:val="0"/>
          <w:color w:val="auto"/>
          <w:sz w:val="24"/>
          <w:szCs w:val="24"/>
          <w:highlight w:val="none"/>
          <w:lang w:val="en-US" w:eastAsia="zh-CN"/>
        </w:rPr>
        <w:t>2</w:t>
      </w:r>
      <w:r>
        <w:rPr>
          <w:rFonts w:hint="eastAsia" w:ascii="宋体" w:hAnsi="宋体" w:eastAsia="宋体" w:cs="Times New Roman"/>
          <w:snapToGrid w:val="0"/>
          <w:color w:val="auto"/>
          <w:sz w:val="24"/>
          <w:szCs w:val="24"/>
          <w:highlight w:val="none"/>
          <w:lang w:eastAsia="zh-CN"/>
        </w:rPr>
        <w:t>）向政府主管部门进行报建手续及相关协调工作（包括建筑方案审查、初步设计评审等）。</w:t>
      </w:r>
    </w:p>
    <w:p w14:paraId="44F787F0">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√（4</w:t>
      </w:r>
      <w:r>
        <w:rPr>
          <w:rFonts w:hint="default" w:ascii="宋体" w:hAnsi="宋体" w:eastAsia="宋体" w:cs="Times New Roman"/>
          <w:snapToGrid w:val="0"/>
          <w:color w:val="auto"/>
          <w:sz w:val="24"/>
          <w:szCs w:val="24"/>
          <w:highlight w:val="none"/>
          <w:lang w:val="en-US" w:eastAsia="zh-CN"/>
        </w:rPr>
        <w:t>3</w:t>
      </w:r>
      <w:r>
        <w:rPr>
          <w:rFonts w:hint="eastAsia" w:ascii="宋体" w:hAnsi="宋体" w:eastAsia="宋体" w:cs="Times New Roman"/>
          <w:snapToGrid w:val="0"/>
          <w:color w:val="auto"/>
          <w:sz w:val="24"/>
          <w:szCs w:val="24"/>
          <w:highlight w:val="none"/>
          <w:lang w:eastAsia="zh-CN"/>
        </w:rPr>
        <w:t>）本项目需采用BIM正向设计完成。</w:t>
      </w:r>
    </w:p>
    <w:p w14:paraId="11056E26">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×（4</w:t>
      </w:r>
      <w:r>
        <w:rPr>
          <w:rFonts w:hint="default" w:ascii="宋体" w:hAnsi="宋体" w:eastAsia="宋体" w:cs="Times New Roman"/>
          <w:snapToGrid w:val="0"/>
          <w:color w:val="auto"/>
          <w:sz w:val="24"/>
          <w:szCs w:val="24"/>
          <w:highlight w:val="none"/>
          <w:lang w:val="en-US" w:eastAsia="zh-CN"/>
        </w:rPr>
        <w:t>4</w:t>
      </w:r>
      <w:r>
        <w:rPr>
          <w:rFonts w:hint="eastAsia" w:ascii="宋体" w:hAnsi="宋体" w:eastAsia="宋体" w:cs="Times New Roman"/>
          <w:snapToGrid w:val="0"/>
          <w:color w:val="auto"/>
          <w:sz w:val="24"/>
          <w:szCs w:val="24"/>
          <w:highlight w:val="none"/>
          <w:lang w:eastAsia="zh-CN"/>
        </w:rPr>
        <w:t>）人员驻场服务：按招标文件及合同要求。</w:t>
      </w:r>
    </w:p>
    <w:p w14:paraId="3E334778">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√（4</w:t>
      </w:r>
      <w:r>
        <w:rPr>
          <w:rFonts w:hint="default" w:ascii="宋体" w:hAnsi="宋体" w:eastAsia="宋体" w:cs="Times New Roman"/>
          <w:snapToGrid w:val="0"/>
          <w:color w:val="auto"/>
          <w:sz w:val="24"/>
          <w:szCs w:val="24"/>
          <w:highlight w:val="none"/>
          <w:lang w:val="en-US" w:eastAsia="zh-CN"/>
        </w:rPr>
        <w:t>5</w:t>
      </w:r>
      <w:r>
        <w:rPr>
          <w:rFonts w:hint="eastAsia" w:ascii="宋体" w:hAnsi="宋体" w:eastAsia="宋体" w:cs="Times New Roman"/>
          <w:snapToGrid w:val="0"/>
          <w:color w:val="auto"/>
          <w:sz w:val="24"/>
          <w:szCs w:val="24"/>
          <w:highlight w:val="none"/>
          <w:lang w:eastAsia="zh-CN"/>
        </w:rPr>
        <w:t>）招标文件及合同约定的其他设计、服务工作。</w:t>
      </w:r>
    </w:p>
    <w:p w14:paraId="5229966B">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√（4</w:t>
      </w:r>
      <w:r>
        <w:rPr>
          <w:rFonts w:hint="default" w:ascii="宋体" w:hAnsi="宋体" w:eastAsia="宋体" w:cs="Times New Roman"/>
          <w:snapToGrid w:val="0"/>
          <w:color w:val="auto"/>
          <w:sz w:val="24"/>
          <w:szCs w:val="24"/>
          <w:highlight w:val="none"/>
          <w:lang w:val="en-US" w:eastAsia="zh-CN"/>
        </w:rPr>
        <w:t>6</w:t>
      </w:r>
      <w:r>
        <w:rPr>
          <w:rFonts w:hint="eastAsia" w:ascii="宋体" w:hAnsi="宋体" w:eastAsia="宋体" w:cs="Times New Roman"/>
          <w:snapToGrid w:val="0"/>
          <w:color w:val="auto"/>
          <w:sz w:val="24"/>
          <w:szCs w:val="24"/>
          <w:highlight w:val="none"/>
          <w:lang w:eastAsia="zh-CN"/>
        </w:rPr>
        <w:t>）因政策变化或相应外部条件改变带来的相应设计工作。包括但不限于：文保专项设计、配合“新城建”工作等。</w:t>
      </w:r>
    </w:p>
    <w:p w14:paraId="40ED752B">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×（4</w:t>
      </w:r>
      <w:r>
        <w:rPr>
          <w:rFonts w:hint="default" w:ascii="宋体" w:hAnsi="宋体" w:eastAsia="宋体" w:cs="Times New Roman"/>
          <w:snapToGrid w:val="0"/>
          <w:color w:val="auto"/>
          <w:sz w:val="24"/>
          <w:szCs w:val="24"/>
          <w:highlight w:val="none"/>
          <w:lang w:val="en-US" w:eastAsia="zh-CN"/>
        </w:rPr>
        <w:t>7</w:t>
      </w:r>
      <w:r>
        <w:rPr>
          <w:rFonts w:hint="eastAsia" w:ascii="宋体" w:hAnsi="宋体" w:eastAsia="宋体" w:cs="Times New Roman"/>
          <w:snapToGrid w:val="0"/>
          <w:color w:val="auto"/>
          <w:sz w:val="24"/>
          <w:szCs w:val="24"/>
          <w:highlight w:val="none"/>
          <w:lang w:eastAsia="zh-CN"/>
        </w:rPr>
        <w:t>）总控协调工作（如有）。本项目实施过程中总控协调工作，负责项目各标段内外部衔接及相关工作，包括但不限于以下内容：</w:t>
      </w:r>
    </w:p>
    <w:p w14:paraId="643F8E8C">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1）协调组织各标段投标人研究建设项目的总体设计方案。</w:t>
      </w:r>
    </w:p>
    <w:p w14:paraId="105091A3">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2）配合招标人确定本项目统一的工程设计标准、深度和要求。</w:t>
      </w:r>
    </w:p>
    <w:p w14:paraId="7DB35791">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3）组织协调各标段投标人完成修详规工作及编制建设项目工程设计总说明、总图、总概算书。</w:t>
      </w:r>
    </w:p>
    <w:p w14:paraId="117480D2">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4）协调工程设计进度，组织各投标人按照要求提交工程设计文件。</w:t>
      </w:r>
    </w:p>
    <w:p w14:paraId="1AEA2976">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5）协调组织各投标人开展BIM正向设计，按照统一标准及要求提交成果。</w:t>
      </w:r>
    </w:p>
    <w:p w14:paraId="73D2DE44">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6）其他设计协调工作：在设计过程中招标人认为有需要应由投标人所做的管理、协调工作。</w:t>
      </w:r>
    </w:p>
    <w:p w14:paraId="44C4DED0">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×（4</w:t>
      </w:r>
      <w:r>
        <w:rPr>
          <w:rFonts w:hint="default" w:ascii="宋体" w:hAnsi="宋体" w:eastAsia="宋体" w:cs="Times New Roman"/>
          <w:snapToGrid w:val="0"/>
          <w:color w:val="auto"/>
          <w:sz w:val="24"/>
          <w:szCs w:val="24"/>
          <w:highlight w:val="none"/>
          <w:lang w:val="en-US" w:eastAsia="zh-CN"/>
        </w:rPr>
        <w:t>8</w:t>
      </w:r>
      <w:r>
        <w:rPr>
          <w:rFonts w:hint="eastAsia" w:ascii="宋体" w:hAnsi="宋体" w:eastAsia="宋体" w:cs="Times New Roman"/>
          <w:snapToGrid w:val="0"/>
          <w:color w:val="auto"/>
          <w:sz w:val="24"/>
          <w:szCs w:val="24"/>
          <w:highlight w:val="none"/>
          <w:lang w:eastAsia="zh-CN"/>
        </w:rPr>
        <w:t>）各投标人在本项目中须至少取得一项省级或以上勘察设计评奖并于项目前期建立创优管理架构，制定创优质量目标、管理制度，向招标人报送创优工作计划方案。</w:t>
      </w:r>
    </w:p>
    <w:p w14:paraId="233CFA2A">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49</w:t>
      </w:r>
      <w:r>
        <w:rPr>
          <w:rFonts w:hint="eastAsia" w:ascii="宋体" w:hAnsi="宋体" w:eastAsia="宋体" w:cs="Times New Roman"/>
          <w:snapToGrid w:val="0"/>
          <w:color w:val="auto"/>
          <w:sz w:val="24"/>
          <w:szCs w:val="24"/>
          <w:highlight w:val="none"/>
          <w:lang w:eastAsia="zh-CN"/>
        </w:rPr>
        <w:t>）涉及传统村落及古建筑保护及活化利用的项目，需完成如下内容：编制保护规划、古建筑精密测绘，结构鉴定等初设内容。</w:t>
      </w:r>
    </w:p>
    <w:p w14:paraId="18AC86C6">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w:t>
      </w:r>
      <w:r>
        <w:rPr>
          <w:rFonts w:hint="default" w:ascii="宋体" w:hAnsi="宋体" w:eastAsia="宋体" w:cs="Times New Roman"/>
          <w:snapToGrid w:val="0"/>
          <w:color w:val="auto"/>
          <w:sz w:val="24"/>
          <w:szCs w:val="24"/>
          <w:highlight w:val="none"/>
          <w:lang w:val="en-US" w:eastAsia="zh-CN"/>
        </w:rPr>
        <w:t>50</w:t>
      </w:r>
      <w:r>
        <w:rPr>
          <w:rFonts w:hint="eastAsia" w:ascii="宋体" w:hAnsi="宋体" w:eastAsia="宋体" w:cs="Times New Roman"/>
          <w:snapToGrid w:val="0"/>
          <w:color w:val="auto"/>
          <w:sz w:val="24"/>
          <w:szCs w:val="24"/>
          <w:highlight w:val="none"/>
          <w:lang w:eastAsia="zh-CN"/>
        </w:rPr>
        <w:t>）与本项目初步设计阶段相关的勘察设计等工作。</w:t>
      </w:r>
    </w:p>
    <w:p w14:paraId="25FACE8E">
      <w:pPr>
        <w:adjustRightInd w:val="0"/>
        <w:snapToGrid w:val="0"/>
        <w:spacing w:line="360" w:lineRule="auto"/>
        <w:ind w:firstLine="470" w:firstLineChars="196"/>
        <w:jc w:val="both"/>
        <w:rPr>
          <w:rFonts w:hint="eastAsia" w:ascii="宋体" w:hAnsi="宋体" w:eastAsia="宋体" w:cs="Times New Roman"/>
          <w:snapToGrid w:val="0"/>
          <w:color w:val="auto"/>
          <w:sz w:val="24"/>
          <w:szCs w:val="24"/>
          <w:highlight w:val="none"/>
          <w:lang w:eastAsia="zh-CN"/>
        </w:rPr>
      </w:pPr>
      <w:r>
        <w:rPr>
          <w:rFonts w:hint="eastAsia" w:ascii="宋体" w:hAnsi="宋体" w:eastAsia="宋体" w:cs="Times New Roman"/>
          <w:snapToGrid w:val="0"/>
          <w:color w:val="auto"/>
          <w:sz w:val="24"/>
          <w:szCs w:val="24"/>
          <w:highlight w:val="none"/>
          <w:lang w:eastAsia="zh-CN"/>
        </w:rPr>
        <w:t>勘察设计全过程的勘察、方案设计、总平面规划方案设计、初步设计各阶段各专业的具体设计内容和界面划分以及报批报审配合等服务工作按勘察设计合同执行。</w:t>
      </w:r>
    </w:p>
    <w:p w14:paraId="54A2B198">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6.2工程设计的总体要求</w:t>
      </w:r>
    </w:p>
    <w:p w14:paraId="063FE102">
      <w:pPr>
        <w:adjustRightInd w:val="0"/>
        <w:snapToGrid w:val="0"/>
        <w:spacing w:line="360" w:lineRule="auto"/>
        <w:ind w:firstLine="352" w:firstLineChars="147"/>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交付的设计成果文件应符合国家、地方现行的有关法律、行政法规和相关的工程设计技术规范、规定及标准，必须执行国家、地方规定的工程建设标准强制性条文要求，遵守设计工作程序以及确定投资的有关指标、定额和费用标准的规定，控制好设计的每一环节。</w:t>
      </w:r>
    </w:p>
    <w:p w14:paraId="1AD6FBA6">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（2）乙方应在设计成果文件中明确列出本工程设计涉及到的详细的设计规范、规定及标准（名称、编号与版本）。</w:t>
      </w:r>
    </w:p>
    <w:p w14:paraId="6FF19568">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（3）乙方应认真贯彻执行ISO 9001质量管理体系，确保设计质量。乙方对其承担的本合同约定的设计工作的设计成果文件的正确性、完整性、有效性、经济合理性、可靠性、清晰性负责，甲方或政府相关部门对其的审查及审核并不减轻乙方的相关责任。</w:t>
      </w:r>
    </w:p>
    <w:p w14:paraId="710B6E67">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在接到《中标通知书》后立即进行本工程设计策划，建立质量目标，规定质量要求，根据甲方总体实施计划和本工程特点编制详细的设计计划，根据甲方的相关要求合理安排各项活动的实施时间，并保证设计的进度、质量，保证乙方设计范围内工程的施工进度不受影响。</w:t>
      </w:r>
    </w:p>
    <w:p w14:paraId="4A62A0FD">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如在项目运作中遇国家或地区颁布新的标准、规定和依据，按新标准、规定和依据执行。如果执行新标准、规定和依据导致乙方义务增加、工作量或费用增加，甲方应根据实际情况，支付相应费用，使乙方不因执行新标准、规定和依据而遭受损失。设计中如遇国家和地区无相应规范、标准和依据的，由乙方提出建议，由甲方报送有关主管部门审查确认或解释所采用的标准、规定和依据。</w:t>
      </w:r>
    </w:p>
    <w:p w14:paraId="19FB1F30">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根据本合同约定进行设计、资料管理、技术管理、现场配合等工作时，必须同时遵守甲方的相关设计、技术、图文、图档、工程的各项管理办法、规定和细则。如果被安置的村民代表对设计提出修改意见，经甲方审查确认后，</w:t>
      </w:r>
      <w:r>
        <w:rPr>
          <w:rFonts w:hint="eastAsia" w:ascii="宋体" w:hAnsi="宋体" w:eastAsia="宋体"/>
          <w:bCs/>
          <w:snapToGrid w:val="0"/>
          <w:color w:val="auto"/>
          <w:sz w:val="24"/>
          <w:szCs w:val="24"/>
          <w:highlight w:val="none"/>
          <w:lang w:eastAsia="zh-CN"/>
        </w:rPr>
        <w:t>乙方应无条件负责修改且不得提出任何费用要求。</w:t>
      </w:r>
    </w:p>
    <w:p w14:paraId="09201B20">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（7）乙方应积极配合政府行政部门或行业主管部门的各项审批、审查单位、甲方的审核、图纸会审，对审查过程中发现的设计质量问题，应及时解决并按规定出具修改图纸直至复核相关要求。</w:t>
      </w:r>
    </w:p>
    <w:p w14:paraId="7DA739AA">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8）乙方应对甲方提供的文件、资料进行认真研究，对本工程的特点和不确定因素进行认真考虑，并提出合理建议和评价，对影响勘察、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00F2BD86">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（9）乙方的设计成果文件应尽可能减少施工难度，为施工创造方便合理的施工条件；应尽量减少施工对城市交通、市民生活以及水利的干扰，并尽可能减少对施工期的影响。</w:t>
      </w:r>
    </w:p>
    <w:p w14:paraId="6580ABC1">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10）乙方应确保其提交的初步设计成果文件通过甲方、甲方委托的第三方、甲方认可的本工程施工投标人或其委托的具有审查能力的单位的审查，如审查过程中发现设计问题，乙方应按甲方的时间要求及时解决并根据相关规定修改图纸，确保初步设计概算满足合同约定的工程投资控制要求。乙方应及时提供修改图纸及调整概算，确保甲方相关招标工作的有效推进。</w:t>
      </w:r>
    </w:p>
    <w:p w14:paraId="3BF6B239">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（11）在交付本项目的部分或全部勘察、设计文件后，如获悉有更好的新工艺、新技术、新材料、新设备等适用于本工程，乙方应向甲方推荐并提供科学的评估。</w:t>
      </w:r>
    </w:p>
    <w:p w14:paraId="431EACFA">
      <w:pPr>
        <w:adjustRightInd w:val="0"/>
        <w:snapToGrid w:val="0"/>
        <w:spacing w:line="360" w:lineRule="auto"/>
        <w:ind w:firstLine="361" w:firstLineChars="15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6.3方案设计阶段的主要工作及要求</w:t>
      </w:r>
    </w:p>
    <w:p w14:paraId="441A1C86">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6.3.1方案设计阶段的主要工作</w:t>
      </w:r>
    </w:p>
    <w:p w14:paraId="60BC5D34">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（1）提交方案设计成果文件</w:t>
      </w:r>
    </w:p>
    <w:p w14:paraId="3BA69D76">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方案设计成果文件应为甲方最终确定方案的设计文件，文件的内容应按照甲方的要求、有权审核部门的审批意见、设计方案招标的技术文件和投标文件、建设部《建筑工程设计文件编制深度规定》（最新版）方案设计阶段规定的要求进行编制，包括但不限于以下内容：</w:t>
      </w:r>
    </w:p>
    <w:p w14:paraId="2A7E0ABB">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1）封面（写明方案的名称、方案编制单位、编制时间）；</w:t>
      </w:r>
    </w:p>
    <w:p w14:paraId="73298BF0">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2）扉页（方案编制单位行政及技术负责人、具体编制总负责人签名）；</w:t>
      </w:r>
    </w:p>
    <w:p w14:paraId="2C2E2FC7">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3）方案设计文件目录；</w:t>
      </w:r>
    </w:p>
    <w:p w14:paraId="70224124">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方案设计说明书，包含总平面、建筑、结构、给水（高质水及回用水）、排水（雨水及污水）、燃气、通信、电气、采暖通风及空调和投资估算等专业，以及设计图纸、投资估算、透视图（效果图）、结构及主要设备选型（含经济技术分析）、勘探要求等；</w:t>
      </w:r>
    </w:p>
    <w:p w14:paraId="7CA08A50">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5）方案设计图纸（A3图）；</w:t>
      </w:r>
    </w:p>
    <w:p w14:paraId="61A18E44">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6）透视图；</w:t>
      </w:r>
    </w:p>
    <w:p w14:paraId="230A67BD">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7）效果图。</w:t>
      </w:r>
    </w:p>
    <w:p w14:paraId="0777AF83">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乙方应向甲方提交方案设计成果文件图纸及文本文件15套、电子文档光盘2套。</w:t>
      </w:r>
    </w:p>
    <w:p w14:paraId="016F422C">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（2）按照规划主管部门的规划报建要求，提供规划报建所需相关设计成果文件（包括但不限于以下内容）：</w:t>
      </w:r>
    </w:p>
    <w:p w14:paraId="31B56D51">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1）总平面规划图（比例1：500，包括各项技术经济指标）；</w:t>
      </w:r>
    </w:p>
    <w:p w14:paraId="559F23EA">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2）绿地规划图（比例1：500）；</w:t>
      </w:r>
    </w:p>
    <w:p w14:paraId="28DB4491">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3）道路交通系统规划图（比例1：500）；</w:t>
      </w:r>
    </w:p>
    <w:p w14:paraId="0054B668">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4）用地竖向规划图（比例1：500）；</w:t>
      </w:r>
    </w:p>
    <w:p w14:paraId="27B9A8C5">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5）规划方案说明书；</w:t>
      </w:r>
    </w:p>
    <w:p w14:paraId="06F3810D">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6）模型（比例：暂定1:100～150，带周围环境）。</w:t>
      </w:r>
    </w:p>
    <w:p w14:paraId="7DA54F75">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向甲方提交规划报建所需的设计成果文件图纸及文本文件10套、电子文档光盘2套、工作模型1个（文件需加盖规划报建章、设计单位出图章、报建特许人章、注册建筑师章），并根据相关的审批意见对设计成果文件进行相应修改。</w:t>
      </w:r>
    </w:p>
    <w:p w14:paraId="435DDE78">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（3）按照规划主管部门的报建要求，提供方案设计报建所需相关设计成果文件并根据相关的审批意见对设计成果文件进行相应修改，相关设计成果文件包括但不限于以下内容：</w:t>
      </w:r>
    </w:p>
    <w:p w14:paraId="4C81DFAE">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1）总平面图（比例1：500，包括各项技术经济指标）；</w:t>
      </w:r>
    </w:p>
    <w:p w14:paraId="2892A55E">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2）建筑平、立、剖面图（比例1：200）；</w:t>
      </w:r>
    </w:p>
    <w:p w14:paraId="312FDD32">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3）设计说明；</w:t>
      </w:r>
    </w:p>
    <w:p w14:paraId="0CA87145">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4）工程投资估算（含非标设备、材料、构配件的报价）。</w:t>
      </w:r>
    </w:p>
    <w:p w14:paraId="44AE6E12">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乙方应向甲方提交方案设计报建所需要的设计成果文件图纸及文本文件10套、电子文档光盘2套，文件加盖设计单位出图章、报建特许人章、注册建筑师章。</w:t>
      </w:r>
    </w:p>
    <w:p w14:paraId="07931CF2">
      <w:pPr>
        <w:adjustRightInd w:val="0"/>
        <w:snapToGrid w:val="0"/>
        <w:spacing w:line="360" w:lineRule="auto"/>
        <w:ind w:firstLine="602" w:firstLineChars="25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6.3.2</w:t>
      </w:r>
      <w:r>
        <w:rPr>
          <w:rFonts w:hint="eastAsia" w:ascii="宋体" w:hAnsi="宋体" w:eastAsia="宋体"/>
          <w:snapToGrid w:val="0"/>
          <w:color w:val="auto"/>
          <w:sz w:val="24"/>
          <w:szCs w:val="24"/>
          <w:highlight w:val="none"/>
          <w:lang w:eastAsia="zh-CN"/>
        </w:rPr>
        <w:t>方案设计阶段的要求</w:t>
      </w:r>
    </w:p>
    <w:p w14:paraId="12357A6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（1）乙方应在甲方选定方案的基础上，按专家意见和甲方要求进行完善，达到报建送审方案要求，并根据规划部门提出的设计条件进行调整。</w:t>
      </w:r>
    </w:p>
    <w:p w14:paraId="53F6D08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（2）方案设计应对建筑、结构、机电系统进行两个以上方案技术经济比较，实施性方案应达到满足进行初步设计的要求。</w:t>
      </w:r>
    </w:p>
    <w:p w14:paraId="2BE3F48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（3）乙方设计方案中应包含节能环保篇，采用节能环保的新技术、新工艺。方案设计应对设计中采用的新技术及节能技术的应用进行三个以上方案技术经济比较，提出比较分析报告和推荐方案。</w:t>
      </w:r>
    </w:p>
    <w:p w14:paraId="3FA5BBA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（4）乙方应根据实施方案提交工程投资估算编制说明及投资估算表。</w:t>
      </w:r>
    </w:p>
    <w:p w14:paraId="43080AB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（5）结构体系应进行初步的计算，保证结构方案是可行的。</w:t>
      </w:r>
    </w:p>
    <w:p w14:paraId="36E3A00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（6）乙方对各专业采用的新技术应作详细的介绍，以便进行评审和据以进行下一步的设计。</w:t>
      </w:r>
    </w:p>
    <w:p w14:paraId="0F13AE1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（7）在深化方案设计时，乙方应以书面形式明确设计中确有需要进行试验的项目，并在初步设计之前提交给甲方审查确认。经甲方确认后，乙方应及时提供试验方案及相关技术要求。</w:t>
      </w:r>
    </w:p>
    <w:p w14:paraId="4B8B9B15">
      <w:pPr>
        <w:adjustRightInd w:val="0"/>
        <w:snapToGrid w:val="0"/>
        <w:spacing w:line="360" w:lineRule="auto"/>
        <w:ind w:firstLine="472" w:firstLineChars="196"/>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6.4初步设计阶段的主要工作及要求</w:t>
      </w:r>
    </w:p>
    <w:p w14:paraId="6E32A459">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6.4.1</w:t>
      </w:r>
      <w:r>
        <w:rPr>
          <w:rFonts w:hint="eastAsia" w:ascii="宋体" w:hAnsi="宋体" w:eastAsia="宋体"/>
          <w:snapToGrid w:val="0"/>
          <w:color w:val="auto"/>
          <w:sz w:val="24"/>
          <w:szCs w:val="24"/>
          <w:highlight w:val="none"/>
          <w:lang w:eastAsia="zh-CN"/>
        </w:rPr>
        <w:t>提交初步设计成果文件</w:t>
      </w:r>
    </w:p>
    <w:p w14:paraId="75DAAD3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初步设计成果文件应按建设部批准的《建筑工程设计文件编制深度规定》（最新版）初步设计阶段的要求进行编制，由总章和各专业设计文件分章编制而成，应包括但不限于以下设计成果文件：</w:t>
      </w:r>
    </w:p>
    <w:p w14:paraId="0C1AED8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（1）初步设计方案编制；</w:t>
      </w:r>
    </w:p>
    <w:p w14:paraId="157B4C2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（2）设计说明书（含设计总说明、各专业的设计说明书、结构计算书）；</w:t>
      </w:r>
    </w:p>
    <w:p w14:paraId="5ABE0C6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（3）设计图纸（由各专业设计图纸组成，总图比例1：500，其他图比例1：200）；</w:t>
      </w:r>
    </w:p>
    <w:p w14:paraId="4441361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hint="eastAsia" w:ascii="宋体" w:hAnsi="宋体" w:eastAsia="宋体"/>
          <w:snapToGrid w:val="0"/>
          <w:color w:val="auto"/>
          <w:sz w:val="24"/>
          <w:szCs w:val="24"/>
          <w:highlight w:val="none"/>
          <w:u w:val="single"/>
          <w:lang w:eastAsia="zh-CN"/>
        </w:rPr>
        <w:t>采用清单计价模式编制的初步</w:t>
      </w:r>
      <w:r>
        <w:rPr>
          <w:rFonts w:hint="eastAsia" w:ascii="宋体" w:hAnsi="宋体" w:eastAsia="宋体"/>
          <w:snapToGrid w:val="0"/>
          <w:color w:val="auto"/>
          <w:sz w:val="24"/>
          <w:szCs w:val="24"/>
          <w:highlight w:val="none"/>
          <w:lang w:eastAsia="zh-CN"/>
        </w:rPr>
        <w:t>设计概算（即工程设计概算）</w:t>
      </w:r>
      <w:r>
        <w:rPr>
          <w:rFonts w:hint="eastAsia" w:ascii="宋体" w:hAnsi="宋体" w:eastAsia="宋体"/>
          <w:snapToGrid w:val="0"/>
          <w:color w:val="auto"/>
          <w:sz w:val="24"/>
          <w:szCs w:val="24"/>
          <w:highlight w:val="none"/>
          <w:u w:val="single"/>
          <w:lang w:eastAsia="zh-CN"/>
        </w:rPr>
        <w:t>、主材设备推荐品牌表（三家以上）、主材设备询价资料</w:t>
      </w:r>
      <w:r>
        <w:rPr>
          <w:rFonts w:hint="eastAsia" w:ascii="宋体" w:hAnsi="宋体" w:eastAsia="宋体"/>
          <w:snapToGrid w:val="0"/>
          <w:color w:val="auto"/>
          <w:sz w:val="24"/>
          <w:szCs w:val="24"/>
          <w:highlight w:val="none"/>
          <w:lang w:eastAsia="zh-CN"/>
        </w:rPr>
        <w:t>；</w:t>
      </w:r>
    </w:p>
    <w:p w14:paraId="57CFF33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（5）效果图及透视图；</w:t>
      </w:r>
    </w:p>
    <w:p w14:paraId="4722FE1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（6）报批模型（比例：暂定1:100～150）；</w:t>
      </w:r>
    </w:p>
    <w:p w14:paraId="6F89B0A1">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乙方应向甲方提交初步方案设计成果文件图纸及文本文件</w:t>
      </w:r>
      <w:r>
        <w:rPr>
          <w:rFonts w:hint="eastAsia" w:ascii="宋体" w:hAnsi="宋体" w:eastAsia="宋体"/>
          <w:snapToGrid w:val="0"/>
          <w:color w:val="auto"/>
          <w:sz w:val="24"/>
          <w:szCs w:val="24"/>
          <w:highlight w:val="none"/>
          <w:lang w:val="en-US" w:eastAsia="zh-CN"/>
        </w:rPr>
        <w:t>10</w:t>
      </w:r>
      <w:r>
        <w:rPr>
          <w:rFonts w:hint="eastAsia" w:ascii="宋体" w:hAnsi="宋体" w:eastAsia="宋体"/>
          <w:snapToGrid w:val="0"/>
          <w:color w:val="auto"/>
          <w:sz w:val="24"/>
          <w:szCs w:val="24"/>
          <w:highlight w:val="none"/>
          <w:lang w:eastAsia="zh-CN"/>
        </w:rPr>
        <w:t>套、概算</w:t>
      </w:r>
      <w:r>
        <w:rPr>
          <w:rFonts w:hint="eastAsia" w:ascii="宋体" w:hAnsi="宋体" w:eastAsia="宋体"/>
          <w:snapToGrid w:val="0"/>
          <w:color w:val="auto"/>
          <w:sz w:val="24"/>
          <w:szCs w:val="24"/>
          <w:highlight w:val="none"/>
          <w:lang w:val="en-US" w:eastAsia="zh-CN"/>
        </w:rPr>
        <w:t>10</w:t>
      </w:r>
      <w:r>
        <w:rPr>
          <w:rFonts w:hint="eastAsia" w:ascii="宋体" w:hAnsi="宋体" w:eastAsia="宋体"/>
          <w:snapToGrid w:val="0"/>
          <w:color w:val="auto"/>
          <w:sz w:val="24"/>
          <w:szCs w:val="24"/>
          <w:highlight w:val="none"/>
          <w:lang w:eastAsia="zh-CN"/>
        </w:rPr>
        <w:t>份、效果图各一式2套、专业报建（交通、市政、人防、消防、环保、卫生、绿化）所需设计成果文件各10套、电子文档光盘2套；文件加盖设计单位出图章、注册建筑师章、注册结构工程师章，各专业负责人、乙方签署。</w:t>
      </w:r>
    </w:p>
    <w:p w14:paraId="418AF58C">
      <w:pPr>
        <w:adjustRightInd w:val="0"/>
        <w:snapToGrid w:val="0"/>
        <w:spacing w:line="360" w:lineRule="auto"/>
        <w:ind w:firstLine="600" w:firstLineChars="249"/>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6.4.2</w:t>
      </w:r>
      <w:r>
        <w:rPr>
          <w:rFonts w:hint="eastAsia" w:ascii="宋体" w:hAnsi="宋体" w:eastAsia="宋体"/>
          <w:snapToGrid w:val="0"/>
          <w:color w:val="auto"/>
          <w:sz w:val="24"/>
          <w:szCs w:val="24"/>
          <w:highlight w:val="none"/>
          <w:lang w:eastAsia="zh-CN"/>
        </w:rPr>
        <w:t>初步设计阶段的工作要求</w:t>
      </w:r>
    </w:p>
    <w:p w14:paraId="34860C4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（1）初步设计文件均以各工程子项为编制单位。</w:t>
      </w:r>
    </w:p>
    <w:p w14:paraId="5C5D21E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初步设计阶段须对结构体系（包括幕墙、钢结构等）、机电设备安装（包括主要设备选型）、室内装修方案、基坑支护方案、新技术及节能技术的应用进行两个以上方案的综合技术经济比较（其主要内容含于本专业初步设计说明书中），使设计具备先进性、可靠性和经济合理性，并满足以下要求：</w:t>
      </w:r>
    </w:p>
    <w:p w14:paraId="511AAFE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1）应符合甲方及政府主管部门批准的设计方案和实施性方案；</w:t>
      </w:r>
    </w:p>
    <w:p w14:paraId="5C40B05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2）能据以准备各主要设备、材料及饰面材料（送板）；</w:t>
      </w:r>
    </w:p>
    <w:p w14:paraId="0810EE4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3）能据以编制、审核工程设计概算；</w:t>
      </w:r>
    </w:p>
    <w:p w14:paraId="48D07DF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4）能据以进行施工准备；</w:t>
      </w:r>
    </w:p>
    <w:p w14:paraId="54ED397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5）能作为各专业施工图设计的依据。</w:t>
      </w:r>
    </w:p>
    <w:p w14:paraId="395DC6C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（3）初步设计中的结构设计文件，应对结构的选型、布置、截面尺寸、材料用量等予以明确。</w:t>
      </w:r>
    </w:p>
    <w:p w14:paraId="635EC17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（4）乙方须根据甲方的相关规定和要求进行工程设计概算的编制，概算文件中的开项必须齐全完整，造价指标必须准确，须满足工程投资控制的要求。</w:t>
      </w:r>
    </w:p>
    <w:p w14:paraId="07143CE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如果乙方的概算编制质量不满足甲方要求，甲方有权另行委托专业的造价机构编制，所需费用在乙方的设计费中扣除（金额不限于本合同约定的概算编制费金额）；如果因此影响设计进度导致不能按期交付相应阶段设计成果文件的，乙方还须承担工期违约责任。</w:t>
      </w:r>
    </w:p>
    <w:p w14:paraId="3BF1FF6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乙方应重点对建筑单体室内外给水、排水、电气、采暖通风、空调、动力等管线进行各专业综合分析，协调并解决其中的矛盾，成果包括室内外管线综合平衡图、场外管线综合总图和相关专业图纸及说明书。</w:t>
      </w:r>
    </w:p>
    <w:p w14:paraId="484C6FD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（6）乙方必须准确计算建筑单体的建筑面积，完善建设规模及经济指标说明。</w:t>
      </w:r>
    </w:p>
    <w:p w14:paraId="33366663">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（7）对在</w:t>
      </w:r>
      <w:r>
        <w:rPr>
          <w:rFonts w:hint="eastAsia" w:ascii="宋体" w:hAnsi="宋体" w:eastAsia="宋体"/>
          <w:bCs/>
          <w:snapToGrid w:val="0"/>
          <w:color w:val="auto"/>
          <w:sz w:val="24"/>
          <w:szCs w:val="24"/>
          <w:highlight w:val="none"/>
          <w:lang w:eastAsia="zh-CN"/>
        </w:rPr>
        <w:t>乙方提供的初步设计成果文件的基础上由</w:t>
      </w:r>
      <w:r>
        <w:rPr>
          <w:rFonts w:hint="eastAsia" w:ascii="宋体" w:hAnsi="宋体" w:eastAsia="宋体"/>
          <w:snapToGrid w:val="0"/>
          <w:color w:val="auto"/>
          <w:sz w:val="24"/>
          <w:szCs w:val="24"/>
          <w:highlight w:val="none"/>
          <w:lang w:eastAsia="zh-CN"/>
        </w:rPr>
        <w:t>甲方另行发包的单位进行的专项施工图设计（含施工图深化设计），乙方初步设计成果文件中</w:t>
      </w:r>
      <w:r>
        <w:rPr>
          <w:rFonts w:hint="eastAsia" w:ascii="宋体" w:hAnsi="宋体" w:eastAsia="宋体"/>
          <w:bCs/>
          <w:snapToGrid w:val="0"/>
          <w:color w:val="auto"/>
          <w:sz w:val="24"/>
          <w:szCs w:val="24"/>
          <w:highlight w:val="none"/>
          <w:lang w:eastAsia="zh-CN"/>
        </w:rPr>
        <w:t>相关部分中的系统的构成、强制性的系统功能要求、设备技术参数中的强制性条目要求、接口及界面等设计内容须成熟稳定。乙方应确保相关的初步设计成果文件深度能够有效满足专项施工图设计工程投资控制的要求。乙方提供的相关初步设计成果文件应满足以下要求：</w:t>
      </w:r>
    </w:p>
    <w:p w14:paraId="19751D73">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1）钢结构工程（如有）</w:t>
      </w:r>
    </w:p>
    <w:p w14:paraId="7B28358F">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乙方提供的设计成果文件应满足初步设计文件深度要求的相关规定，结构形式、布置、受力杆件、构件型号、材料种类、节点类型等设计内容须成熟稳定</w:t>
      </w:r>
      <w:r>
        <w:rPr>
          <w:rFonts w:hint="eastAsia" w:ascii="宋体" w:hAnsi="宋体" w:eastAsia="宋体"/>
          <w:bCs/>
          <w:snapToGrid w:val="0"/>
          <w:color w:val="auto"/>
          <w:sz w:val="24"/>
          <w:szCs w:val="24"/>
          <w:highlight w:val="none"/>
          <w:lang w:eastAsia="zh-CN"/>
        </w:rPr>
        <w:t>。</w:t>
      </w:r>
    </w:p>
    <w:p w14:paraId="34C1D528">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2）幕墙工程</w:t>
      </w:r>
      <w:r>
        <w:rPr>
          <w:rFonts w:hint="eastAsia" w:ascii="宋体" w:hAnsi="宋体" w:eastAsia="宋体"/>
          <w:snapToGrid w:val="0"/>
          <w:color w:val="auto"/>
          <w:sz w:val="24"/>
          <w:szCs w:val="24"/>
          <w:highlight w:val="none"/>
          <w:lang w:eastAsia="zh-CN"/>
        </w:rPr>
        <w:t>（如有）</w:t>
      </w:r>
    </w:p>
    <w:p w14:paraId="08D176E0">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乙方提供的设计成果文件中幕墙外观、材料品种档次、幕墙主要受力体系、预埋件设计、细部节点和幕墙与其他专业的界面处理等设计内容须成熟稳定。</w:t>
      </w:r>
    </w:p>
    <w:p w14:paraId="40C69745">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3）室内装饰工程</w:t>
      </w:r>
    </w:p>
    <w:p w14:paraId="615244DD">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乙方提供的设计成果文件中，以下内容须成熟稳定：</w:t>
      </w:r>
    </w:p>
    <w:p w14:paraId="015973EB">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① 所有室内可视范围内的装饰风格、空间效果、构件尺寸等主要设计要素；</w:t>
      </w:r>
    </w:p>
    <w:p w14:paraId="09072A48">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② 室内装饰设计部分中，所有与其他专业关联的技术界面（特别是给排水、消防、建筑声学、机电、智能化、扩声等专业的技术界面）；</w:t>
      </w:r>
    </w:p>
    <w:p w14:paraId="4272E27E">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③ 室内装饰设计部分中，所有相关专业要求室内装饰专业须满足的技术条件；</w:t>
      </w:r>
    </w:p>
    <w:p w14:paraId="171D85D0">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④ 室内装饰设计部分中，主要机电管线的综合平衡；</w:t>
      </w:r>
    </w:p>
    <w:p w14:paraId="55DC5F2C">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⑤ 室内装饰设计部分中，所有的主要装饰材料的技术要求。</w:t>
      </w:r>
    </w:p>
    <w:p w14:paraId="49FE6387">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4）机电设备安装工程</w:t>
      </w:r>
    </w:p>
    <w:p w14:paraId="44600269">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乙方提供的设计成果文件中，系统的构成、强制性的系统功能要求（功能要求点表）、设备技术参数中的强制性条目要求等设计内容须成熟稳定。</w:t>
      </w:r>
    </w:p>
    <w:p w14:paraId="435BD456">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5）弱电智能化工程</w:t>
      </w:r>
    </w:p>
    <w:p w14:paraId="642A354A">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乙方提供的设计成果文件中，系统的构成、强制性的系统功能要求（系统图及功能要求点表）、主要设备材料技术参数中的强制性条目要求等设计内容须成熟稳定。</w:t>
      </w:r>
    </w:p>
    <w:p w14:paraId="1EBECE93">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6）体育工艺</w:t>
      </w:r>
    </w:p>
    <w:p w14:paraId="234CF1D5">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乙方提供的设计成果文件中，系统的构成、强制性的系统功能要求、设备技术参数中的强制性条目要求等设计内容须成熟稳定。</w:t>
      </w:r>
    </w:p>
    <w:p w14:paraId="56846547">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7）舞台机械</w:t>
      </w:r>
    </w:p>
    <w:p w14:paraId="350D6D63">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乙方提供的设计成果文件中，系统的构成、强制性的系统功能要求、设备技术参数中的强制性条目要求等设计内容须成熟稳定。</w:t>
      </w:r>
    </w:p>
    <w:p w14:paraId="48D2D98C">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8）舞台灯光</w:t>
      </w:r>
    </w:p>
    <w:p w14:paraId="329DFBDC">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乙方提供的设计成果文件中，系统的构成、强制性的系统功能要求、设备技术参数中的强制性条目要求等设计内容须成熟稳定。</w:t>
      </w:r>
    </w:p>
    <w:p w14:paraId="772AEE70">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9）声学系统</w:t>
      </w:r>
    </w:p>
    <w:p w14:paraId="249BC94F">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乙方提供的设计成果文件中，系统的构成、强制性的系统功能要求、设备技术参数中的强制性条目要求等设计内容须成熟稳定。</w:t>
      </w:r>
    </w:p>
    <w:p w14:paraId="5FA40F10">
      <w:pPr>
        <w:adjustRightInd w:val="0"/>
        <w:snapToGrid w:val="0"/>
        <w:spacing w:line="360" w:lineRule="auto"/>
        <w:ind w:firstLine="602" w:firstLineChars="25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6.5 BIM标准制定</w:t>
      </w:r>
    </w:p>
    <w:p w14:paraId="07F533E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本项目BIM项目标准应包含以下内容：</w:t>
      </w:r>
    </w:p>
    <w:p w14:paraId="7CA58D8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建模标准：明确项目中采用的BIM建模标准，模型细度；</w:t>
      </w:r>
    </w:p>
    <w:p w14:paraId="3524391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软件版本：确定将要使用的BIM软件，及确定软件一致性原则；</w:t>
      </w:r>
    </w:p>
    <w:p w14:paraId="053F592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命名规则：确定统一的文档、模型、提交成果等命名规则；</w:t>
      </w:r>
    </w:p>
    <w:p w14:paraId="1B00CAB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色彩规则：确定统一的色彩规则；</w:t>
      </w:r>
    </w:p>
    <w:p w14:paraId="21D8D0D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坐标系统：为所有BIM模型定义统一的通用坐标系；</w:t>
      </w:r>
    </w:p>
    <w:p w14:paraId="31D11FF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6.5.1模型创建及应用（BIM正向设计）</w:t>
      </w:r>
    </w:p>
    <w:p w14:paraId="78343B3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1）全专业三维参数化设计</w:t>
      </w:r>
    </w:p>
    <w:p w14:paraId="2A041AD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各专业设计师基于BIM在三维可视化的环境下完成各专业的设计工作，通过参数驱动实现各专业之间的有效协同，确保图模一致，数模一致，并通过三维模型导出满足各阶段需求的二维图纸。</w:t>
      </w:r>
    </w:p>
    <w:p w14:paraId="230195D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2）全程三维可视化成果汇报</w:t>
      </w:r>
    </w:p>
    <w:p w14:paraId="174ABE8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基于BIM模型的设计全过程成果展示和汇报，让甲方更直观的理解设计成果，更快捷的作出决策。</w:t>
      </w:r>
    </w:p>
    <w:p w14:paraId="62E8F62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3）三维深化设计</w:t>
      </w:r>
    </w:p>
    <w:p w14:paraId="46F0F4A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基于BIM模型进行各专业协同，针对复杂节点进行深化，提高设计深度和设计质量。</w:t>
      </w:r>
    </w:p>
    <w:p w14:paraId="374D2CF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4）室内净高分析</w:t>
      </w:r>
    </w:p>
    <w:p w14:paraId="3FE4032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初步设计阶段通过BIM模型进行三维管线综合优化后，准确分析室内安装施工完成的净高情况。在整个设计过程中通过BIM模型持续复核各个区域的净高情况。</w:t>
      </w:r>
    </w:p>
    <w:p w14:paraId="1E34A5A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5）结构预留预埋图纸导出</w:t>
      </w:r>
    </w:p>
    <w:p w14:paraId="5669366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通过BIM模型对预留预埋进行准确定位，并从模型导出留洞图。</w:t>
      </w:r>
    </w:p>
    <w:p w14:paraId="3D7F229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6）三维管线综合设计</w:t>
      </w:r>
    </w:p>
    <w:p w14:paraId="6AF7B79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对BIM模型进行管线综合优化，在保证净高并考虑施工可行性、后期维护等因素使BIM模型达到可辅助指导施工的精度。</w:t>
      </w:r>
    </w:p>
    <w:p w14:paraId="52D61DBB">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7）初步设计阶段BIM设计深度简述</w:t>
      </w:r>
    </w:p>
    <w:p w14:paraId="1FE7F3C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（1）建筑专业（外墙、内墙、楼梯、门、窗、构造）。 </w:t>
      </w:r>
    </w:p>
    <w:p w14:paraId="0FF74591">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（2）结构专业（结构柱、结构梁、剪力墙、板、配筋（标注））。 </w:t>
      </w:r>
    </w:p>
    <w:p w14:paraId="485641CB">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（3）暖通专业（空调系统，排风系统，防排烟系统，相关机械设备，设备表）。 </w:t>
      </w:r>
    </w:p>
    <w:p w14:paraId="119DF71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（4）给排水专业（生活给水系统，污、废水系统，雨水系统，室内消火栓系统，喷淋系统，相关机械设备。）</w:t>
      </w:r>
    </w:p>
    <w:p w14:paraId="7F1E58B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（5）电气专业（强弱电线槽，桥架，相关机械设备）。</w:t>
      </w:r>
    </w:p>
    <w:p w14:paraId="211EA3A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6.5.2 BIM设计内容需按照勘察设计合同要求执行。需按照不同设计阶段，全专业采用BIM正向设计，并充分利用BIM技术及相关软件提高项目设计效率和图纸质量。包括但不限于：</w:t>
      </w:r>
    </w:p>
    <w:p w14:paraId="6CB1457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方案设计和初步设计阶段，建立BIM设计模型，并按要求提供BIM设计模型进行审查。</w:t>
      </w:r>
    </w:p>
    <w:p w14:paraId="3E42BCBE">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6.6材料、设备选型的设计配合</w:t>
      </w:r>
    </w:p>
    <w:p w14:paraId="07EC7654">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6.6.1</w:t>
      </w:r>
      <w:r>
        <w:rPr>
          <w:rFonts w:hint="eastAsia" w:ascii="宋体" w:hAnsi="宋体" w:eastAsia="宋体"/>
          <w:snapToGrid w:val="0"/>
          <w:color w:val="auto"/>
          <w:sz w:val="24"/>
          <w:szCs w:val="24"/>
          <w:highlight w:val="none"/>
          <w:lang w:eastAsia="zh-CN"/>
        </w:rPr>
        <w:t>设计成果文件中选用的建筑材料、建筑构配件和设备，其质量标准必须符合国家规范、标准要求。</w:t>
      </w:r>
    </w:p>
    <w:p w14:paraId="4239E54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6.6.2</w:t>
      </w:r>
      <w:r>
        <w:rPr>
          <w:rFonts w:hint="eastAsia" w:ascii="宋体" w:hAnsi="宋体" w:eastAsia="宋体"/>
          <w:snapToGrid w:val="0"/>
          <w:color w:val="auto"/>
          <w:sz w:val="24"/>
          <w:szCs w:val="24"/>
          <w:highlight w:val="none"/>
          <w:lang w:eastAsia="zh-CN"/>
        </w:rPr>
        <w:t>乙方应负责编制设备、材料采购的技术文件，内容包括设备、材料采购清单、技术规格书、必要的附图、技术参数表、采购说明和采购时间表等，并包含施工要求、安装说明，同时并对国内规范、标准以外，设计文件所涉及的内容提出验收标准。</w:t>
      </w:r>
    </w:p>
    <w:p w14:paraId="02FE7374">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6.6.3</w:t>
      </w:r>
      <w:r>
        <w:rPr>
          <w:rFonts w:hint="eastAsia" w:ascii="宋体" w:hAnsi="宋体" w:eastAsia="宋体"/>
          <w:snapToGrid w:val="0"/>
          <w:color w:val="auto"/>
          <w:sz w:val="24"/>
          <w:szCs w:val="24"/>
          <w:highlight w:val="none"/>
          <w:lang w:eastAsia="zh-CN"/>
        </w:rPr>
        <w:t>设计文件对于工艺、技术、材料、设备的选用应该满足施工工期的要求，充分考虑设计的可实施性，重视和吸收施工单位对施工安装提出的意见，并充分考虑国内承建商的施工能力。</w:t>
      </w:r>
    </w:p>
    <w:p w14:paraId="6391A02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6.6.4</w:t>
      </w:r>
      <w:r>
        <w:rPr>
          <w:rFonts w:hint="eastAsia" w:ascii="宋体" w:hAnsi="宋体" w:eastAsia="宋体"/>
          <w:snapToGrid w:val="0"/>
          <w:color w:val="auto"/>
          <w:sz w:val="24"/>
          <w:szCs w:val="24"/>
          <w:highlight w:val="none"/>
          <w:lang w:eastAsia="zh-CN"/>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地方性法规和规章等要求，提供明确的技术资料（包括但不限于性能指标、规格、型号等方面的资料）。</w:t>
      </w:r>
    </w:p>
    <w:p w14:paraId="72275E9F">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6.6.5</w:t>
      </w:r>
      <w:r>
        <w:rPr>
          <w:rFonts w:hint="eastAsia" w:ascii="宋体" w:hAnsi="宋体" w:eastAsia="宋体"/>
          <w:snapToGrid w:val="0"/>
          <w:color w:val="auto"/>
          <w:sz w:val="24"/>
          <w:szCs w:val="24"/>
          <w:highlight w:val="none"/>
          <w:lang w:eastAsia="zh-CN"/>
        </w:rPr>
        <w:t>乙方应及时提供工程的各主要建筑材料和设备的生产厂商及价格等资料，供甲方选择时参考。</w:t>
      </w:r>
    </w:p>
    <w:p w14:paraId="2D73B30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6.6.6</w:t>
      </w:r>
      <w:r>
        <w:rPr>
          <w:rFonts w:hint="eastAsia" w:ascii="宋体" w:hAnsi="宋体" w:eastAsia="宋体"/>
          <w:snapToGrid w:val="0"/>
          <w:color w:val="auto"/>
          <w:sz w:val="24"/>
          <w:szCs w:val="24"/>
          <w:highlight w:val="none"/>
          <w:lang w:eastAsia="zh-CN"/>
        </w:rPr>
        <w:t>乙方的设计文件在对本工程设备材料的技术要求进行描述时不得带有倾向性、排他性、指向某一特定厂商品牌或指向某一具有独一性的材料设备。如根据项目的定位、功能等的要求必须选用某种品牌或某一具有独一性的材料、设备时，乙方应事前书面详细报告甲方并获得甲方批准。</w:t>
      </w:r>
    </w:p>
    <w:p w14:paraId="6EBCA6D8">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6.6.7</w:t>
      </w:r>
      <w:r>
        <w:rPr>
          <w:rFonts w:hint="eastAsia" w:ascii="宋体" w:hAnsi="宋体" w:eastAsia="宋体"/>
          <w:snapToGrid w:val="0"/>
          <w:color w:val="auto"/>
          <w:sz w:val="24"/>
          <w:szCs w:val="24"/>
          <w:highlight w:val="none"/>
          <w:lang w:eastAsia="zh-CN"/>
        </w:rPr>
        <w:t>对于由甲方拟定的候选建筑材料和设备，在厂商提供符合设计要求的技术资料后，乙方须协助甲方鉴别其优劣并提供相关咨询意见。同时，乙方应派本工程设计专业负责人参与甲方组织的相关看样定板工作，出具材料设备选型的相关技术意见。</w:t>
      </w:r>
    </w:p>
    <w:p w14:paraId="7793A0FC">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6.6.8</w:t>
      </w:r>
      <w:r>
        <w:rPr>
          <w:rFonts w:hint="eastAsia" w:ascii="宋体" w:hAnsi="宋体" w:eastAsia="宋体"/>
          <w:snapToGrid w:val="0"/>
          <w:color w:val="auto"/>
          <w:sz w:val="24"/>
          <w:szCs w:val="24"/>
          <w:highlight w:val="none"/>
          <w:lang w:eastAsia="zh-CN"/>
        </w:rPr>
        <w:t>由于本工程中采用新工艺而导致需要采用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14:paraId="0B6035D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6.6.9</w:t>
      </w:r>
      <w:r>
        <w:rPr>
          <w:rFonts w:hint="eastAsia" w:ascii="宋体" w:hAnsi="宋体" w:eastAsia="宋体"/>
          <w:snapToGrid w:val="0"/>
          <w:color w:val="auto"/>
          <w:sz w:val="24"/>
          <w:szCs w:val="24"/>
          <w:highlight w:val="none"/>
          <w:lang w:eastAsia="zh-CN"/>
        </w:rPr>
        <w:t>乙方应对本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14:paraId="7B2DAC9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6.6.10</w:t>
      </w:r>
      <w:r>
        <w:rPr>
          <w:rFonts w:hint="eastAsia" w:ascii="宋体" w:hAnsi="宋体" w:eastAsia="宋体"/>
          <w:snapToGrid w:val="0"/>
          <w:color w:val="auto"/>
          <w:sz w:val="24"/>
          <w:szCs w:val="24"/>
          <w:highlight w:val="none"/>
          <w:lang w:eastAsia="zh-CN"/>
        </w:rPr>
        <w:t>乙方应详细了解市场上本工程的主要材料和设备生产商的供货能力和供货周期（包括生产时间和运输时间），并据此向甲方提出各种主要材料和设备（包括国产和国外进口的）提前订货时间的建议。</w:t>
      </w:r>
    </w:p>
    <w:p w14:paraId="4E7F6256">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7、设计服务</w:t>
      </w:r>
    </w:p>
    <w:p w14:paraId="61E924CF">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乙方的服务应符合国际通用的ISO—9000质量管理体系对于工程设计所规定的标准及质量要求。乙方应及时地提供服务，满足甲方在时间上的要求。</w:t>
      </w:r>
    </w:p>
    <w:p w14:paraId="2344E572">
      <w:pPr>
        <w:adjustRightInd w:val="0"/>
        <w:snapToGrid w:val="0"/>
        <w:spacing w:line="360" w:lineRule="auto"/>
        <w:ind w:firstLine="48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7.1</w:t>
      </w:r>
      <w:r>
        <w:rPr>
          <w:rFonts w:hint="eastAsia" w:ascii="宋体" w:hAnsi="宋体" w:eastAsia="宋体"/>
          <w:snapToGrid w:val="0"/>
          <w:color w:val="auto"/>
          <w:sz w:val="24"/>
          <w:szCs w:val="24"/>
          <w:highlight w:val="none"/>
          <w:lang w:eastAsia="zh-CN"/>
        </w:rPr>
        <w:t>报审报建配合服务</w:t>
      </w:r>
    </w:p>
    <w:p w14:paraId="194002A8">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7.1.1</w:t>
      </w:r>
      <w:r>
        <w:rPr>
          <w:rFonts w:hint="eastAsia" w:ascii="宋体" w:hAnsi="宋体" w:eastAsia="宋体"/>
          <w:snapToGrid w:val="0"/>
          <w:color w:val="auto"/>
          <w:sz w:val="24"/>
          <w:szCs w:val="24"/>
          <w:highlight w:val="none"/>
          <w:lang w:eastAsia="zh-CN"/>
        </w:rPr>
        <w:t>乙方应在设计过程各阶段按照本工程报审报建的要求，提交所有必需的文件、图纸及其相应的电子文件（刻制成光盘），并配合报审报建过程中必要的技术协调、送审技术性文件等工作，直至完成所有审批手续。</w:t>
      </w:r>
    </w:p>
    <w:p w14:paraId="61BFB647">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7.1.2</w:t>
      </w:r>
      <w:r>
        <w:rPr>
          <w:rFonts w:hint="eastAsia" w:ascii="宋体" w:hAnsi="宋体" w:eastAsia="宋体"/>
          <w:snapToGrid w:val="0"/>
          <w:color w:val="auto"/>
          <w:sz w:val="24"/>
          <w:szCs w:val="24"/>
          <w:highlight w:val="none"/>
          <w:lang w:eastAsia="zh-CN"/>
        </w:rPr>
        <w:t>对乙方提交报审报建资料的要求：提交的文件、图纸及其相应的电子文件的要求和份数按照相关报审报建职能部门或主管部门的要求执行。</w:t>
      </w:r>
    </w:p>
    <w:p w14:paraId="6D5F80A1">
      <w:pPr>
        <w:adjustRightInd w:val="0"/>
        <w:snapToGrid w:val="0"/>
        <w:spacing w:line="360" w:lineRule="auto"/>
        <w:ind w:firstLine="48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7.1.3</w:t>
      </w:r>
      <w:r>
        <w:rPr>
          <w:rFonts w:hint="eastAsia" w:ascii="宋体" w:hAnsi="宋体" w:eastAsia="宋体"/>
          <w:snapToGrid w:val="0"/>
          <w:color w:val="auto"/>
          <w:sz w:val="24"/>
          <w:szCs w:val="24"/>
          <w:highlight w:val="none"/>
          <w:lang w:eastAsia="zh-CN"/>
        </w:rPr>
        <w:t>乙方应安排专人全面配合跟进所有报审报建工作（包括提供甲方报审报建所需的交通便利，相关费用已包含在合同价款中）。</w:t>
      </w:r>
    </w:p>
    <w:p w14:paraId="2FFDC36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w:t>
      </w:r>
      <w:r>
        <w:rPr>
          <w:rFonts w:hint="eastAsia" w:ascii="宋体" w:hAnsi="宋体" w:eastAsia="宋体"/>
          <w:snapToGrid w:val="0"/>
          <w:color w:val="auto"/>
          <w:sz w:val="24"/>
          <w:szCs w:val="24"/>
          <w:highlight w:val="none"/>
          <w:lang w:eastAsia="zh-CN"/>
        </w:rPr>
        <w:t>招标配合服务</w:t>
      </w:r>
    </w:p>
    <w:p w14:paraId="2A6618C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7.2.1</w:t>
      </w:r>
      <w:r>
        <w:rPr>
          <w:rFonts w:hint="eastAsia" w:ascii="宋体" w:hAnsi="宋体" w:eastAsia="宋体"/>
          <w:snapToGrid w:val="0"/>
          <w:color w:val="auto"/>
          <w:sz w:val="24"/>
          <w:szCs w:val="24"/>
          <w:highlight w:val="none"/>
          <w:lang w:eastAsia="zh-CN"/>
        </w:rPr>
        <w:t>乙方应在甲方进行的后续招标、设备材料采购招标过程中提供技术指导，编制用户需求书，制定技术文件（包括主要材料设备清单、技术规格书等），根据甲方的要求参加招标答疑会，审核答疑文件，审核及签署设备、材料供货合同技术附件，并根据甲方的要求配合甲方进行合同技术条款的谈判工作。</w:t>
      </w:r>
    </w:p>
    <w:p w14:paraId="0544909C">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7.2.2</w:t>
      </w:r>
      <w:r>
        <w:rPr>
          <w:rFonts w:hint="eastAsia" w:ascii="宋体" w:hAnsi="宋体" w:eastAsia="宋体"/>
          <w:snapToGrid w:val="0"/>
          <w:color w:val="auto"/>
          <w:sz w:val="24"/>
          <w:szCs w:val="24"/>
          <w:highlight w:val="none"/>
          <w:lang w:eastAsia="zh-CN"/>
        </w:rPr>
        <w:t>对于甲方召开的相关招标会议（如招标答疑会、预算会议等），乙方应根据甲方的要求派出相关专业人员参加，并积极配合甲方做好招标答疑文件、招标澄清文件等的编制工作。</w:t>
      </w:r>
    </w:p>
    <w:p w14:paraId="25A9306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7.2.3</w:t>
      </w:r>
      <w:r>
        <w:rPr>
          <w:rFonts w:hint="eastAsia" w:ascii="宋体" w:hAnsi="宋体" w:eastAsia="宋体"/>
          <w:snapToGrid w:val="0"/>
          <w:color w:val="auto"/>
          <w:sz w:val="24"/>
          <w:szCs w:val="24"/>
          <w:highlight w:val="none"/>
          <w:lang w:eastAsia="zh-CN"/>
        </w:rPr>
        <w:t>乙方根据甲方要求（包括时间要求、深度要求等）提供本工程进行招标所需的设计成果文件。</w:t>
      </w:r>
    </w:p>
    <w:p w14:paraId="743F742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7.2.4</w:t>
      </w:r>
      <w:r>
        <w:rPr>
          <w:rFonts w:hint="eastAsia" w:ascii="宋体" w:hAnsi="宋体" w:eastAsia="宋体"/>
          <w:snapToGrid w:val="0"/>
          <w:color w:val="auto"/>
          <w:sz w:val="24"/>
          <w:szCs w:val="24"/>
          <w:highlight w:val="none"/>
          <w:lang w:eastAsia="zh-CN"/>
        </w:rPr>
        <w:t>乙方应负责协调各专业设计单位编写工程施工、材料设备等招标文件中的技术和质量标准。</w:t>
      </w:r>
    </w:p>
    <w:p w14:paraId="6D03ABE8">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7.3</w:t>
      </w:r>
      <w:r>
        <w:rPr>
          <w:rFonts w:hint="eastAsia" w:ascii="宋体" w:hAnsi="宋体" w:eastAsia="宋体"/>
          <w:snapToGrid w:val="0"/>
          <w:color w:val="auto"/>
          <w:sz w:val="24"/>
          <w:szCs w:val="24"/>
          <w:highlight w:val="none"/>
          <w:lang w:eastAsia="zh-CN"/>
        </w:rPr>
        <w:t>施工阶段的现场服务</w:t>
      </w:r>
    </w:p>
    <w:p w14:paraId="1444EBDE">
      <w:pPr>
        <w:adjustRightInd w:val="0"/>
        <w:snapToGrid w:val="0"/>
        <w:spacing w:line="360" w:lineRule="auto"/>
        <w:ind w:firstLine="482" w:firstLineChars="200"/>
        <w:jc w:val="both"/>
        <w:rPr>
          <w:rFonts w:hint="eastAsia" w:ascii="宋体" w:hAnsi="宋体" w:eastAsia="宋体"/>
          <w:strike/>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7.3.1</w:t>
      </w:r>
      <w:r>
        <w:rPr>
          <w:rFonts w:hint="eastAsia" w:ascii="宋体" w:hAnsi="宋体" w:eastAsia="宋体"/>
          <w:snapToGrid w:val="0"/>
          <w:color w:val="auto"/>
          <w:sz w:val="24"/>
          <w:szCs w:val="24"/>
          <w:highlight w:val="none"/>
          <w:lang w:eastAsia="zh-CN"/>
        </w:rPr>
        <w:t>乙方承诺将根据本工程建设进展情况和甲方的要求提供施工阶段的现场服务，及时派出各专业工程师解决工程中涉及到的勘察、设计问题。</w:t>
      </w:r>
    </w:p>
    <w:p w14:paraId="19255C2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7.4</w:t>
      </w:r>
      <w:r>
        <w:rPr>
          <w:rFonts w:hint="eastAsia" w:ascii="宋体" w:hAnsi="宋体" w:eastAsia="宋体"/>
          <w:snapToGrid w:val="0"/>
          <w:color w:val="auto"/>
          <w:sz w:val="24"/>
          <w:szCs w:val="24"/>
          <w:highlight w:val="none"/>
          <w:lang w:eastAsia="zh-CN"/>
        </w:rPr>
        <w:t>工程结算配合服务</w:t>
      </w:r>
    </w:p>
    <w:p w14:paraId="0D53D6D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7.4.1</w:t>
      </w:r>
      <w:r>
        <w:rPr>
          <w:rFonts w:hint="eastAsia" w:ascii="宋体" w:hAnsi="宋体" w:eastAsia="宋体"/>
          <w:snapToGrid w:val="0"/>
          <w:color w:val="auto"/>
          <w:sz w:val="24"/>
          <w:szCs w:val="24"/>
          <w:highlight w:val="none"/>
          <w:lang w:eastAsia="zh-CN"/>
        </w:rPr>
        <w:t>乙方应根据甲方指令提交本合同范围内本工程的结算配合服务工作计划，根据经批准的工作计划积极参与并配合甲方或甲方委托的第三方组织的本工程乙方设计范围内的工程结算工作，及时提交设计变更确认资料并确保其有效性、准确性和及时性，以保证工程结算工作的顺利推进。</w:t>
      </w:r>
    </w:p>
    <w:p w14:paraId="2B8291B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7.4.2</w:t>
      </w:r>
      <w:r>
        <w:rPr>
          <w:rFonts w:hint="eastAsia" w:ascii="宋体" w:hAnsi="宋体" w:eastAsia="宋体"/>
          <w:snapToGrid w:val="0"/>
          <w:color w:val="auto"/>
          <w:sz w:val="24"/>
          <w:szCs w:val="24"/>
          <w:highlight w:val="none"/>
          <w:lang w:eastAsia="zh-CN"/>
        </w:rPr>
        <w:t>乙方应根据甲方要求在工程结算过程中提供相关的技术支持。</w:t>
      </w:r>
    </w:p>
    <w:p w14:paraId="1B1CF9F9">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7.4.3</w:t>
      </w:r>
      <w:r>
        <w:rPr>
          <w:rFonts w:hint="eastAsia" w:ascii="宋体" w:hAnsi="宋体" w:eastAsia="宋体"/>
          <w:snapToGrid w:val="0"/>
          <w:color w:val="auto"/>
          <w:sz w:val="24"/>
          <w:szCs w:val="24"/>
          <w:highlight w:val="none"/>
          <w:lang w:eastAsia="zh-CN"/>
        </w:rPr>
        <w:t>本合同设计范围内存在甲方另行发包的专项工程设计服务内容的，乙方负责配合整理汇总其合同设计范围内所有设计单位的结算工作。</w:t>
      </w:r>
    </w:p>
    <w:p w14:paraId="7E9E87E6">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8、设计人员</w:t>
      </w:r>
    </w:p>
    <w:p w14:paraId="11DD91F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8.1</w:t>
      </w:r>
      <w:r>
        <w:rPr>
          <w:rFonts w:hint="eastAsia" w:ascii="宋体" w:hAnsi="宋体" w:eastAsia="宋体"/>
          <w:snapToGrid w:val="0"/>
          <w:color w:val="auto"/>
          <w:sz w:val="24"/>
          <w:szCs w:val="24"/>
          <w:highlight w:val="none"/>
          <w:lang w:eastAsia="zh-CN"/>
        </w:rPr>
        <w:t>为确保本工程的设计质量，在明确分工各负其责的基础上，乙方（包括乙方分包单位）在本合同履行期内为本工程派出的设计总负责人、各专业设计负责人、各专业设计</w:t>
      </w:r>
      <w:r>
        <w:rPr>
          <w:rFonts w:hint="eastAsia" w:ascii="宋体" w:hAnsi="宋体" w:eastAsia="宋体"/>
          <w:snapToGrid w:val="0"/>
          <w:color w:val="auto"/>
          <w:sz w:val="24"/>
          <w:szCs w:val="24"/>
          <w:highlight w:val="none"/>
          <w:lang w:val="en-US" w:eastAsia="zh-CN"/>
        </w:rPr>
        <w:t>人</w:t>
      </w:r>
      <w:r>
        <w:rPr>
          <w:rFonts w:hint="eastAsia" w:ascii="宋体" w:hAnsi="宋体" w:eastAsia="宋体"/>
          <w:snapToGrid w:val="0"/>
          <w:color w:val="auto"/>
          <w:sz w:val="24"/>
          <w:szCs w:val="24"/>
          <w:highlight w:val="none"/>
          <w:lang w:eastAsia="zh-CN"/>
        </w:rPr>
        <w:t>的职务、资历、资格须满足招标文件及合同约定，在本合同履行期间，非经过甲方同意，不得更换或再参与本合同项目以外的其他工作。</w:t>
      </w:r>
    </w:p>
    <w:p w14:paraId="102AB971">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8.2</w:t>
      </w:r>
      <w:r>
        <w:rPr>
          <w:rFonts w:hint="eastAsia" w:ascii="宋体" w:hAnsi="宋体" w:eastAsia="宋体"/>
          <w:snapToGrid w:val="0"/>
          <w:color w:val="auto"/>
          <w:sz w:val="24"/>
          <w:szCs w:val="24"/>
          <w:highlight w:val="none"/>
          <w:lang w:eastAsia="zh-CN"/>
        </w:rPr>
        <w:t>乙方应根据设计任务建立项目组，从组织上保证投入的人力、物力能满足设计开展的需要，保证不同设计时段设计工作的连续性和外部条件接口衔接的连贯性。</w:t>
      </w:r>
    </w:p>
    <w:p w14:paraId="6592B72C">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8.3</w:t>
      </w:r>
      <w:r>
        <w:rPr>
          <w:rFonts w:hint="eastAsia" w:ascii="宋体" w:hAnsi="宋体" w:eastAsia="宋体"/>
          <w:snapToGrid w:val="0"/>
          <w:color w:val="auto"/>
          <w:sz w:val="24"/>
          <w:szCs w:val="24"/>
          <w:highlight w:val="none"/>
          <w:lang w:eastAsia="zh-CN"/>
        </w:rPr>
        <w:t>鉴于本项目勘察设计工作任务重、工期紧，乙方需要按照招标文件的要求全额投入主要勘察设计人员及现场指导和配合人员，全过程服务于本项目的勘察设计工作，相关费用已包含在本合同价款之中。</w:t>
      </w:r>
    </w:p>
    <w:p w14:paraId="2A1354D9">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8.4</w:t>
      </w:r>
      <w:r>
        <w:rPr>
          <w:rFonts w:hint="eastAsia" w:ascii="宋体" w:hAnsi="宋体" w:eastAsia="宋体"/>
          <w:snapToGrid w:val="0"/>
          <w:color w:val="auto"/>
          <w:sz w:val="24"/>
          <w:szCs w:val="24"/>
          <w:highlight w:val="none"/>
          <w:lang w:eastAsia="zh-CN"/>
        </w:rPr>
        <w:t>乙方如为境外机构，必须自行配备专业翻译一名。</w:t>
      </w:r>
    </w:p>
    <w:p w14:paraId="19CC9CA8">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8.5</w:t>
      </w:r>
      <w:r>
        <w:rPr>
          <w:rFonts w:hint="eastAsia" w:ascii="宋体" w:hAnsi="宋体" w:eastAsia="宋体"/>
          <w:snapToGrid w:val="0"/>
          <w:color w:val="auto"/>
          <w:sz w:val="24"/>
          <w:szCs w:val="24"/>
          <w:highlight w:val="none"/>
          <w:lang w:eastAsia="zh-CN"/>
        </w:rPr>
        <w:t>专业设计单位必须成立设计项目组按照甲方的指令在规定的时间和指定的场所，在勘察、设计单位的统一管理和协调下开展各项设计工作，确保设计进度和质量。设计项目组人员组成必须满足招标文件及合同约定的要求。</w:t>
      </w:r>
    </w:p>
    <w:p w14:paraId="29D5C4DD">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8.6</w:t>
      </w:r>
      <w:r>
        <w:rPr>
          <w:rFonts w:hint="eastAsia" w:ascii="宋体" w:hAnsi="宋体" w:eastAsia="宋体"/>
          <w:snapToGrid w:val="0"/>
          <w:color w:val="auto"/>
          <w:sz w:val="24"/>
          <w:szCs w:val="24"/>
          <w:highlight w:val="none"/>
          <w:lang w:eastAsia="zh-CN"/>
        </w:rPr>
        <w:t>甲方认为设计总负责人、各专业设计负责人、各专业设计</w:t>
      </w:r>
      <w:r>
        <w:rPr>
          <w:rFonts w:hint="eastAsia" w:ascii="宋体" w:hAnsi="宋体" w:eastAsia="宋体"/>
          <w:snapToGrid w:val="0"/>
          <w:color w:val="auto"/>
          <w:sz w:val="24"/>
          <w:szCs w:val="24"/>
          <w:highlight w:val="none"/>
          <w:lang w:val="en-US" w:eastAsia="zh-CN"/>
        </w:rPr>
        <w:t>人</w:t>
      </w:r>
      <w:r>
        <w:rPr>
          <w:rFonts w:hint="eastAsia" w:ascii="宋体" w:hAnsi="宋体" w:eastAsia="宋体"/>
          <w:snapToGrid w:val="0"/>
          <w:color w:val="auto"/>
          <w:sz w:val="24"/>
          <w:szCs w:val="24"/>
          <w:highlight w:val="none"/>
          <w:lang w:eastAsia="zh-CN"/>
        </w:rPr>
        <w:t>不称职时，有权向乙方发出书面更换人员通知，乙方应当在收到甲方的书面通知后5天内更换，更换人员的职务、资历、资格不得低于本合同相应条款的要求，且更换人员须先经过甲方书面确认。若乙方对甲方要求更换人员有异议时，可申请复议一次，若经复议后甲方仍然要求更换，则乙方应无条件进行更换，否则视乙方该人员从甲方发出更换通知的时间开始擅自离岗。</w:t>
      </w:r>
    </w:p>
    <w:p w14:paraId="3ADF0FD3">
      <w:pPr>
        <w:adjustRightInd w:val="0"/>
        <w:snapToGrid w:val="0"/>
        <w:spacing w:line="360" w:lineRule="auto"/>
        <w:ind w:firstLine="482" w:firstLineChars="200"/>
        <w:jc w:val="both"/>
        <w:rPr>
          <w:rFonts w:hint="eastAsia" w:ascii="宋体" w:hAnsi="宋体" w:eastAsia="宋体"/>
          <w:snapToGrid w:val="0"/>
          <w:color w:val="auto"/>
          <w:kern w:val="2"/>
          <w:sz w:val="24"/>
          <w:szCs w:val="24"/>
          <w:highlight w:val="none"/>
          <w:lang w:eastAsia="zh-CN"/>
        </w:rPr>
      </w:pPr>
      <w:r>
        <w:rPr>
          <w:rFonts w:hint="eastAsia" w:ascii="宋体" w:hAnsi="宋体" w:eastAsia="宋体"/>
          <w:b/>
          <w:snapToGrid w:val="0"/>
          <w:color w:val="auto"/>
          <w:sz w:val="24"/>
          <w:szCs w:val="24"/>
          <w:highlight w:val="none"/>
          <w:lang w:eastAsia="zh-CN"/>
        </w:rPr>
        <w:t>8.7</w:t>
      </w:r>
      <w:r>
        <w:rPr>
          <w:rFonts w:hint="eastAsia" w:ascii="宋体" w:hAnsi="宋体" w:eastAsia="宋体"/>
          <w:snapToGrid w:val="0"/>
          <w:color w:val="auto"/>
          <w:sz w:val="24"/>
          <w:szCs w:val="24"/>
          <w:highlight w:val="none"/>
          <w:lang w:eastAsia="zh-CN"/>
        </w:rPr>
        <w:t>当甲方认为乙方及其分包单位的设计人员及管理服务人员的数量、专业水平、专业配套等达不到设计所需时，甲方有权要求乙方更换及补充相关人员，直至满足设计工作要求为止，否则甲方有权扣减设计费直至解除合同等。</w:t>
      </w:r>
    </w:p>
    <w:p w14:paraId="726CBD57">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9、设计成果文件的提交</w:t>
      </w:r>
    </w:p>
    <w:p w14:paraId="17563C48">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9.1</w:t>
      </w:r>
      <w:r>
        <w:rPr>
          <w:rFonts w:hint="eastAsia" w:ascii="宋体" w:hAnsi="宋体" w:eastAsia="宋体"/>
          <w:snapToGrid w:val="0"/>
          <w:color w:val="auto"/>
          <w:sz w:val="24"/>
          <w:szCs w:val="24"/>
          <w:highlight w:val="none"/>
          <w:lang w:eastAsia="zh-CN"/>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设计成果文件提交的时间及套数如下：</w:t>
      </w:r>
    </w:p>
    <w:tbl>
      <w:tblPr>
        <w:tblStyle w:val="28"/>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10"/>
        <w:gridCol w:w="3361"/>
        <w:gridCol w:w="1915"/>
        <w:gridCol w:w="1639"/>
        <w:gridCol w:w="1800"/>
      </w:tblGrid>
      <w:tr w14:paraId="46FD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87"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75FF3EB1">
            <w:pPr>
              <w:jc w:val="both"/>
              <w:rPr>
                <w:rFonts w:eastAsia="宋体"/>
                <w:color w:val="auto"/>
                <w:highlight w:val="none"/>
              </w:rPr>
            </w:pPr>
            <w:r>
              <w:rPr>
                <w:rFonts w:eastAsia="宋体"/>
                <w:color w:val="auto"/>
                <w:highlight w:val="none"/>
              </w:rPr>
              <w:t>序号</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6D2CA66E">
            <w:pPr>
              <w:ind w:leftChars="-13" w:hanging="28" w:hangingChars="13"/>
              <w:jc w:val="both"/>
              <w:rPr>
                <w:rFonts w:eastAsia="宋体"/>
                <w:color w:val="auto"/>
                <w:highlight w:val="none"/>
              </w:rPr>
            </w:pPr>
            <w:r>
              <w:rPr>
                <w:rFonts w:eastAsia="宋体"/>
                <w:color w:val="auto"/>
                <w:highlight w:val="none"/>
              </w:rPr>
              <w:t>资料及文件名称</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050AE0C0">
            <w:pPr>
              <w:ind w:leftChars="-24" w:hanging="52" w:hangingChars="24"/>
              <w:jc w:val="both"/>
              <w:rPr>
                <w:rFonts w:eastAsia="宋体"/>
                <w:color w:val="auto"/>
                <w:highlight w:val="none"/>
              </w:rPr>
            </w:pPr>
            <w:r>
              <w:rPr>
                <w:rFonts w:eastAsia="宋体"/>
                <w:color w:val="auto"/>
                <w:highlight w:val="none"/>
              </w:rPr>
              <w:t>提交日期</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3A225808">
            <w:pPr>
              <w:ind w:firstLine="79" w:firstLineChars="36"/>
              <w:jc w:val="both"/>
              <w:rPr>
                <w:rFonts w:eastAsia="宋体"/>
                <w:color w:val="auto"/>
                <w:highlight w:val="none"/>
              </w:rPr>
            </w:pPr>
            <w:r>
              <w:rPr>
                <w:rFonts w:eastAsia="宋体"/>
                <w:color w:val="auto"/>
                <w:highlight w:val="none"/>
              </w:rPr>
              <w:t>份数</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4574C7E9">
            <w:pPr>
              <w:jc w:val="both"/>
              <w:rPr>
                <w:rFonts w:eastAsia="宋体"/>
                <w:color w:val="auto"/>
                <w:highlight w:val="none"/>
              </w:rPr>
            </w:pPr>
            <w:r>
              <w:rPr>
                <w:rFonts w:eastAsia="宋体"/>
                <w:color w:val="auto"/>
                <w:highlight w:val="none"/>
              </w:rPr>
              <w:t>备注</w:t>
            </w:r>
          </w:p>
        </w:tc>
      </w:tr>
      <w:tr w14:paraId="5244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24"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368DF7CC">
            <w:pPr>
              <w:jc w:val="center"/>
              <w:rPr>
                <w:rFonts w:eastAsia="宋体"/>
                <w:color w:val="auto"/>
                <w:highlight w:val="none"/>
              </w:rPr>
            </w:pPr>
            <w:r>
              <w:rPr>
                <w:rFonts w:hint="eastAsia"/>
                <w:color w:val="auto"/>
                <w:highlight w:val="none"/>
              </w:rPr>
              <w:t>1</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3F545D99">
            <w:pPr>
              <w:ind w:leftChars="-13" w:hanging="28" w:hangingChars="13"/>
              <w:jc w:val="both"/>
              <w:rPr>
                <w:rFonts w:eastAsia="宋体"/>
                <w:color w:val="auto"/>
                <w:highlight w:val="none"/>
              </w:rPr>
            </w:pPr>
            <w:r>
              <w:rPr>
                <w:color w:val="auto"/>
                <w:highlight w:val="none"/>
              </w:rPr>
              <w:t>勘察成果文件</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1B3F070A">
            <w:pPr>
              <w:ind w:leftChars="-24" w:hanging="52" w:hangingChars="24"/>
              <w:jc w:val="both"/>
              <w:rPr>
                <w:rFonts w:eastAsia="宋体"/>
                <w:color w:val="auto"/>
                <w:highlight w:val="none"/>
                <w:lang w:eastAsia="zh-CN"/>
              </w:rPr>
            </w:pPr>
            <w:r>
              <w:rPr>
                <w:rFonts w:hint="eastAsia"/>
                <w:color w:val="auto"/>
                <w:highlight w:val="none"/>
                <w:lang w:eastAsia="zh-CN"/>
              </w:rPr>
              <w:t>各阶段勘察任务在收到发包人进场通知后60天内</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3A6B4BC4">
            <w:pPr>
              <w:ind w:firstLine="79" w:firstLineChars="36"/>
              <w:jc w:val="both"/>
              <w:rPr>
                <w:rFonts w:eastAsia="宋体"/>
                <w:color w:val="auto"/>
                <w:highlight w:val="none"/>
              </w:rPr>
            </w:pPr>
            <w:r>
              <w:rPr>
                <w:rFonts w:hint="eastAsia"/>
                <w:color w:val="auto"/>
                <w:highlight w:val="none"/>
              </w:rPr>
              <w:t>1</w:t>
            </w:r>
            <w:r>
              <w:rPr>
                <w:color w:val="auto"/>
                <w:highlight w:val="none"/>
              </w:rPr>
              <w:t>0份</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76F33C88">
            <w:pPr>
              <w:jc w:val="both"/>
              <w:rPr>
                <w:rFonts w:eastAsia="宋体"/>
                <w:color w:val="auto"/>
                <w:highlight w:val="none"/>
              </w:rPr>
            </w:pPr>
            <w:r>
              <w:rPr>
                <w:color w:val="auto"/>
                <w:highlight w:val="none"/>
              </w:rPr>
              <w:t>电子文档各</w:t>
            </w:r>
            <w:r>
              <w:rPr>
                <w:rFonts w:hint="eastAsia"/>
                <w:color w:val="auto"/>
                <w:highlight w:val="none"/>
              </w:rPr>
              <w:t>3</w:t>
            </w:r>
            <w:r>
              <w:rPr>
                <w:color w:val="auto"/>
                <w:highlight w:val="none"/>
              </w:rPr>
              <w:t>份</w:t>
            </w:r>
          </w:p>
        </w:tc>
      </w:tr>
      <w:tr w14:paraId="6454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6"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46EA6B1D">
            <w:pPr>
              <w:jc w:val="center"/>
              <w:rPr>
                <w:rFonts w:eastAsia="宋体"/>
                <w:color w:val="auto"/>
                <w:highlight w:val="none"/>
              </w:rPr>
            </w:pPr>
            <w:r>
              <w:rPr>
                <w:rFonts w:hint="eastAsia"/>
                <w:color w:val="auto"/>
                <w:highlight w:val="none"/>
              </w:rPr>
              <w:t>2</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07CA9A4E">
            <w:pPr>
              <w:ind w:leftChars="-13" w:hanging="28" w:hangingChars="13"/>
              <w:jc w:val="both"/>
              <w:rPr>
                <w:rFonts w:eastAsia="宋体"/>
                <w:color w:val="auto"/>
                <w:highlight w:val="none"/>
                <w:lang w:eastAsia="zh-CN"/>
              </w:rPr>
            </w:pPr>
            <w:r>
              <w:rPr>
                <w:color w:val="auto"/>
                <w:highlight w:val="none"/>
                <w:lang w:eastAsia="zh-CN"/>
              </w:rPr>
              <w:t>方案设计</w:t>
            </w:r>
            <w:r>
              <w:rPr>
                <w:rFonts w:hint="eastAsia"/>
                <w:color w:val="auto"/>
                <w:highlight w:val="none"/>
                <w:lang w:eastAsia="zh-CN"/>
              </w:rPr>
              <w:t>及调整</w:t>
            </w:r>
            <w:r>
              <w:rPr>
                <w:color w:val="auto"/>
                <w:highlight w:val="none"/>
                <w:lang w:eastAsia="zh-CN"/>
              </w:rPr>
              <w:t>成果文件（含总平面规划设计、工程估算）</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4886AAC4">
            <w:pPr>
              <w:ind w:leftChars="-24" w:hanging="52" w:hangingChars="24"/>
              <w:jc w:val="both"/>
              <w:rPr>
                <w:rFonts w:eastAsia="宋体"/>
                <w:color w:val="auto"/>
                <w:highlight w:val="none"/>
              </w:rPr>
            </w:pPr>
            <w:r>
              <w:rPr>
                <w:color w:val="auto"/>
                <w:highlight w:val="none"/>
              </w:rPr>
              <w:t>中标后30天内</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284FBB04">
            <w:pPr>
              <w:ind w:firstLine="79" w:firstLineChars="36"/>
              <w:jc w:val="both"/>
              <w:rPr>
                <w:rFonts w:eastAsia="宋体"/>
                <w:color w:val="auto"/>
                <w:highlight w:val="none"/>
              </w:rPr>
            </w:pPr>
            <w:r>
              <w:rPr>
                <w:color w:val="auto"/>
                <w:highlight w:val="none"/>
              </w:rPr>
              <w:t>30份，或按甲方要求提供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27C14A35">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r w14:paraId="6D59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7"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064623A2">
            <w:pPr>
              <w:jc w:val="center"/>
              <w:rPr>
                <w:rFonts w:eastAsia="宋体"/>
                <w:color w:val="auto"/>
                <w:highlight w:val="none"/>
              </w:rPr>
            </w:pPr>
            <w:r>
              <w:rPr>
                <w:rFonts w:hint="eastAsia"/>
                <w:color w:val="auto"/>
                <w:highlight w:val="none"/>
              </w:rPr>
              <w:t>3</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296419B6">
            <w:pPr>
              <w:ind w:leftChars="-13" w:hanging="28" w:hangingChars="13"/>
              <w:jc w:val="both"/>
              <w:rPr>
                <w:rFonts w:eastAsia="宋体"/>
                <w:color w:val="auto"/>
                <w:highlight w:val="none"/>
                <w:lang w:eastAsia="zh-CN"/>
              </w:rPr>
            </w:pPr>
            <w:r>
              <w:rPr>
                <w:color w:val="auto"/>
                <w:highlight w:val="none"/>
                <w:lang w:eastAsia="zh-CN"/>
              </w:rPr>
              <w:t>规划报建相关设计成果文件</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4C18EF29">
            <w:pPr>
              <w:ind w:leftChars="-24" w:hanging="52" w:hangingChars="24"/>
              <w:jc w:val="both"/>
              <w:rPr>
                <w:rFonts w:eastAsia="宋体"/>
                <w:color w:val="auto"/>
                <w:highlight w:val="none"/>
              </w:rPr>
            </w:pPr>
            <w:r>
              <w:rPr>
                <w:color w:val="auto"/>
                <w:highlight w:val="none"/>
              </w:rPr>
              <w:t>按工作计划</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0A194F66">
            <w:pPr>
              <w:ind w:firstLine="79" w:firstLineChars="36"/>
              <w:jc w:val="both"/>
              <w:rPr>
                <w:rFonts w:eastAsia="宋体"/>
                <w:color w:val="auto"/>
                <w:highlight w:val="none"/>
                <w:lang w:eastAsia="zh-CN"/>
              </w:rPr>
            </w:pPr>
            <w:r>
              <w:rPr>
                <w:color w:val="auto"/>
                <w:highlight w:val="none"/>
                <w:lang w:eastAsia="zh-CN"/>
              </w:rPr>
              <w:t>按报建要求或甲方要求提供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5CDD0D4C">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r w14:paraId="275F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8"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67559774">
            <w:pPr>
              <w:jc w:val="center"/>
              <w:rPr>
                <w:rFonts w:eastAsia="宋体"/>
                <w:color w:val="auto"/>
                <w:highlight w:val="none"/>
              </w:rPr>
            </w:pPr>
            <w:r>
              <w:rPr>
                <w:rFonts w:hint="eastAsia"/>
                <w:color w:val="auto"/>
                <w:highlight w:val="none"/>
              </w:rPr>
              <w:t>4</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369A2F81">
            <w:pPr>
              <w:ind w:leftChars="-13" w:hanging="28" w:hangingChars="13"/>
              <w:jc w:val="both"/>
              <w:rPr>
                <w:rFonts w:eastAsia="宋体"/>
                <w:color w:val="auto"/>
                <w:highlight w:val="none"/>
                <w:lang w:eastAsia="zh-CN"/>
              </w:rPr>
            </w:pPr>
            <w:r>
              <w:rPr>
                <w:color w:val="auto"/>
                <w:highlight w:val="none"/>
                <w:lang w:eastAsia="zh-CN"/>
              </w:rPr>
              <w:t>方案</w:t>
            </w:r>
            <w:r>
              <w:rPr>
                <w:rFonts w:hint="eastAsia"/>
                <w:color w:val="auto"/>
                <w:highlight w:val="none"/>
                <w:lang w:eastAsia="zh-CN"/>
              </w:rPr>
              <w:t>审批</w:t>
            </w:r>
            <w:r>
              <w:rPr>
                <w:color w:val="auto"/>
                <w:highlight w:val="none"/>
                <w:lang w:eastAsia="zh-CN"/>
              </w:rPr>
              <w:t>设计成果文件</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2DD921FF">
            <w:pPr>
              <w:ind w:leftChars="-24" w:hanging="52" w:hangingChars="24"/>
              <w:jc w:val="both"/>
              <w:rPr>
                <w:rFonts w:eastAsia="宋体"/>
                <w:color w:val="auto"/>
                <w:highlight w:val="none"/>
              </w:rPr>
            </w:pPr>
            <w:r>
              <w:rPr>
                <w:color w:val="auto"/>
                <w:highlight w:val="none"/>
              </w:rPr>
              <w:t>按工作计划</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1CD40F5D">
            <w:pPr>
              <w:ind w:firstLine="79" w:firstLineChars="36"/>
              <w:jc w:val="both"/>
              <w:rPr>
                <w:rFonts w:eastAsia="宋体"/>
                <w:color w:val="auto"/>
                <w:highlight w:val="none"/>
                <w:lang w:eastAsia="zh-CN"/>
              </w:rPr>
            </w:pPr>
            <w:r>
              <w:rPr>
                <w:color w:val="auto"/>
                <w:highlight w:val="none"/>
                <w:lang w:eastAsia="zh-CN"/>
              </w:rPr>
              <w:t>按报建要求或甲方要求提供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388E6196">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r w14:paraId="4A29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78"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4DCAF608">
            <w:pPr>
              <w:jc w:val="center"/>
              <w:rPr>
                <w:rFonts w:eastAsia="宋体"/>
                <w:color w:val="auto"/>
                <w:highlight w:val="none"/>
              </w:rPr>
            </w:pPr>
            <w:r>
              <w:rPr>
                <w:rFonts w:hint="eastAsia"/>
                <w:color w:val="auto"/>
                <w:highlight w:val="none"/>
              </w:rPr>
              <w:t>5</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524A7294">
            <w:pPr>
              <w:ind w:leftChars="-13" w:hanging="28" w:hangingChars="13"/>
              <w:jc w:val="both"/>
              <w:rPr>
                <w:rFonts w:eastAsia="宋体"/>
                <w:color w:val="auto"/>
                <w:highlight w:val="none"/>
                <w:lang w:eastAsia="zh-CN"/>
              </w:rPr>
            </w:pPr>
            <w:r>
              <w:rPr>
                <w:color w:val="auto"/>
                <w:highlight w:val="none"/>
                <w:lang w:eastAsia="zh-CN"/>
              </w:rPr>
              <w:t>初步设计成果文件（含概算）</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29AB8952">
            <w:pPr>
              <w:ind w:leftChars="-24" w:hanging="52" w:hangingChars="24"/>
              <w:jc w:val="both"/>
              <w:rPr>
                <w:rFonts w:eastAsia="宋体"/>
                <w:color w:val="auto"/>
                <w:highlight w:val="none"/>
              </w:rPr>
            </w:pPr>
            <w:r>
              <w:rPr>
                <w:rFonts w:hint="eastAsia" w:eastAsia="宋体"/>
                <w:color w:val="auto"/>
                <w:highlight w:val="none"/>
                <w:lang w:eastAsia="zh-CN"/>
              </w:rPr>
              <w:t>按发包人要求</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7D758CED">
            <w:pPr>
              <w:ind w:firstLine="79" w:firstLineChars="36"/>
              <w:jc w:val="both"/>
              <w:rPr>
                <w:rFonts w:eastAsia="宋体"/>
                <w:color w:val="auto"/>
                <w:highlight w:val="none"/>
              </w:rPr>
            </w:pPr>
            <w:r>
              <w:rPr>
                <w:rFonts w:hint="eastAsia" w:eastAsia="宋体"/>
                <w:color w:val="auto"/>
                <w:highlight w:val="none"/>
                <w:lang w:val="en-US" w:eastAsia="zh-CN"/>
              </w:rPr>
              <w:t>10</w:t>
            </w:r>
            <w:r>
              <w:rPr>
                <w:color w:val="auto"/>
                <w:highlight w:val="none"/>
              </w:rPr>
              <w:t>份，或按甲方要求提供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3570AA4F">
            <w:pPr>
              <w:jc w:val="both"/>
              <w:rPr>
                <w:rFonts w:eastAsia="宋体"/>
                <w:color w:val="auto"/>
                <w:highlight w:val="none"/>
                <w:lang w:eastAsia="zh-CN"/>
              </w:rPr>
            </w:pPr>
            <w:r>
              <w:rPr>
                <w:color w:val="auto"/>
                <w:highlight w:val="none"/>
                <w:lang w:eastAsia="zh-CN"/>
              </w:rPr>
              <w:t>电子文档</w:t>
            </w:r>
            <w:r>
              <w:rPr>
                <w:rFonts w:hint="eastAsia"/>
                <w:color w:val="auto"/>
                <w:highlight w:val="none"/>
                <w:lang w:eastAsia="zh-CN"/>
              </w:rPr>
              <w:t>3</w:t>
            </w:r>
            <w:r>
              <w:rPr>
                <w:color w:val="auto"/>
                <w:highlight w:val="none"/>
                <w:lang w:eastAsia="zh-CN"/>
              </w:rPr>
              <w:t>份（含符合评审要求的软件版）</w:t>
            </w:r>
          </w:p>
        </w:tc>
      </w:tr>
      <w:tr w14:paraId="5804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30"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41981633">
            <w:pPr>
              <w:jc w:val="center"/>
              <w:rPr>
                <w:rFonts w:eastAsia="宋体"/>
                <w:color w:val="auto"/>
                <w:highlight w:val="none"/>
              </w:rPr>
            </w:pPr>
            <w:r>
              <w:rPr>
                <w:rFonts w:hint="eastAsia"/>
                <w:color w:val="auto"/>
                <w:highlight w:val="none"/>
              </w:rPr>
              <w:t>6</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38B223C4">
            <w:pPr>
              <w:ind w:leftChars="-13" w:hanging="28" w:hangingChars="13"/>
              <w:jc w:val="both"/>
              <w:rPr>
                <w:rFonts w:eastAsia="宋体"/>
                <w:color w:val="auto"/>
                <w:highlight w:val="none"/>
                <w:lang w:eastAsia="zh-CN"/>
              </w:rPr>
            </w:pPr>
            <w:r>
              <w:rPr>
                <w:color w:val="auto"/>
                <w:highlight w:val="none"/>
                <w:lang w:eastAsia="zh-CN"/>
              </w:rPr>
              <w:t>初步设计阶段相关报批成果文件</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4273D0E2">
            <w:pPr>
              <w:ind w:leftChars="-24" w:hanging="52" w:hangingChars="24"/>
              <w:jc w:val="both"/>
              <w:rPr>
                <w:rFonts w:eastAsia="宋体"/>
                <w:color w:val="auto"/>
                <w:highlight w:val="none"/>
              </w:rPr>
            </w:pPr>
            <w:r>
              <w:rPr>
                <w:color w:val="auto"/>
                <w:highlight w:val="none"/>
              </w:rPr>
              <w:t>按工作计划</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2D2D46DE">
            <w:pPr>
              <w:ind w:firstLine="79" w:firstLineChars="36"/>
              <w:jc w:val="both"/>
              <w:rPr>
                <w:rFonts w:eastAsia="宋体"/>
                <w:color w:val="auto"/>
                <w:highlight w:val="none"/>
                <w:lang w:eastAsia="zh-CN"/>
              </w:rPr>
            </w:pPr>
            <w:r>
              <w:rPr>
                <w:color w:val="auto"/>
                <w:highlight w:val="none"/>
                <w:lang w:eastAsia="zh-CN"/>
              </w:rPr>
              <w:t>按报建要求或甲方要求提供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53AF0187">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r w14:paraId="335E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44C9610E">
            <w:pPr>
              <w:jc w:val="center"/>
              <w:rPr>
                <w:rFonts w:eastAsia="宋体"/>
                <w:color w:val="auto"/>
                <w:highlight w:val="none"/>
              </w:rPr>
            </w:pPr>
            <w:r>
              <w:rPr>
                <w:rFonts w:hint="eastAsia"/>
                <w:color w:val="auto"/>
                <w:highlight w:val="none"/>
              </w:rPr>
              <w:t>7</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1B7EEBD4">
            <w:pPr>
              <w:ind w:leftChars="-13" w:hanging="28" w:hangingChars="13"/>
              <w:jc w:val="both"/>
              <w:rPr>
                <w:rFonts w:eastAsia="宋体"/>
                <w:color w:val="auto"/>
                <w:highlight w:val="none"/>
                <w:lang w:eastAsia="zh-CN"/>
              </w:rPr>
            </w:pPr>
            <w:r>
              <w:rPr>
                <w:rFonts w:hint="eastAsia"/>
                <w:color w:val="auto"/>
                <w:highlight w:val="none"/>
                <w:lang w:eastAsia="zh-CN"/>
              </w:rPr>
              <w:t>最终</w:t>
            </w:r>
            <w:r>
              <w:rPr>
                <w:color w:val="auto"/>
                <w:highlight w:val="none"/>
                <w:lang w:eastAsia="zh-CN"/>
              </w:rPr>
              <w:t>设计成果文件（包括</w:t>
            </w:r>
            <w:r>
              <w:rPr>
                <w:rFonts w:hint="eastAsia"/>
                <w:color w:val="auto"/>
                <w:highlight w:val="none"/>
                <w:lang w:eastAsia="zh-CN"/>
              </w:rPr>
              <w:t>地块</w:t>
            </w:r>
            <w:r>
              <w:rPr>
                <w:color w:val="auto"/>
                <w:highlight w:val="none"/>
                <w:lang w:eastAsia="zh-CN"/>
              </w:rPr>
              <w:t>内各相关专业、管线综合、园林景观等</w:t>
            </w:r>
            <w:r>
              <w:rPr>
                <w:rFonts w:hint="eastAsia"/>
                <w:color w:val="auto"/>
                <w:highlight w:val="none"/>
                <w:lang w:eastAsia="zh-CN"/>
              </w:rPr>
              <w:t>初步设计</w:t>
            </w:r>
            <w:r>
              <w:rPr>
                <w:color w:val="auto"/>
                <w:highlight w:val="none"/>
                <w:lang w:eastAsia="zh-CN"/>
              </w:rPr>
              <w:t>内容）</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01BC496D">
            <w:pPr>
              <w:ind w:leftChars="-24" w:hanging="52" w:hangingChars="24"/>
              <w:jc w:val="both"/>
              <w:rPr>
                <w:rFonts w:eastAsia="宋体"/>
                <w:color w:val="auto"/>
                <w:highlight w:val="none"/>
                <w:lang w:eastAsia="zh-CN"/>
              </w:rPr>
            </w:pPr>
            <w:r>
              <w:rPr>
                <w:color w:val="auto"/>
                <w:highlight w:val="none"/>
                <w:lang w:eastAsia="zh-CN"/>
              </w:rPr>
              <w:t>根据实际情况，按工作计划</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1CABCB75">
            <w:pPr>
              <w:ind w:firstLine="79" w:firstLineChars="36"/>
              <w:jc w:val="both"/>
              <w:rPr>
                <w:rFonts w:eastAsia="宋体"/>
                <w:color w:val="auto"/>
                <w:highlight w:val="none"/>
              </w:rPr>
            </w:pPr>
            <w:r>
              <w:rPr>
                <w:color w:val="auto"/>
                <w:highlight w:val="none"/>
              </w:rPr>
              <w:t>按甲方要求提供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51A5AF82">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bl>
    <w:p w14:paraId="7CF1A53C">
      <w:pPr>
        <w:widowControl/>
        <w:adjustRightInd w:val="0"/>
        <w:snapToGrid w:val="0"/>
        <w:spacing w:line="360" w:lineRule="auto"/>
        <w:ind w:firstLine="472" w:firstLineChars="196"/>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9.2</w:t>
      </w:r>
      <w:r>
        <w:rPr>
          <w:rFonts w:hint="eastAsia" w:ascii="宋体" w:hAnsi="宋体" w:eastAsia="宋体"/>
          <w:snapToGrid w:val="0"/>
          <w:color w:val="auto"/>
          <w:sz w:val="24"/>
          <w:szCs w:val="24"/>
          <w:highlight w:val="none"/>
          <w:lang w:eastAsia="zh-CN"/>
        </w:rPr>
        <w:t>乙方必须按照经过甲方审批确定的设计进度计划及时提交</w:t>
      </w:r>
      <w:r>
        <w:rPr>
          <w:rFonts w:hint="eastAsia" w:ascii="宋体" w:hAnsi="宋体" w:eastAsia="宋体"/>
          <w:bCs/>
          <w:snapToGrid w:val="0"/>
          <w:color w:val="auto"/>
          <w:sz w:val="24"/>
          <w:szCs w:val="24"/>
          <w:highlight w:val="none"/>
          <w:lang w:eastAsia="zh-CN"/>
        </w:rPr>
        <w:t>设计中间资料，以满足甲方开展有关工作的需要，有关费用已包含在本合同约定的设计费用之内。</w:t>
      </w:r>
    </w:p>
    <w:p w14:paraId="1D846AC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9.3</w:t>
      </w:r>
      <w:r>
        <w:rPr>
          <w:rFonts w:hint="eastAsia" w:ascii="宋体" w:hAnsi="宋体" w:eastAsia="宋体"/>
          <w:snapToGrid w:val="0"/>
          <w:color w:val="auto"/>
          <w:sz w:val="24"/>
          <w:szCs w:val="24"/>
          <w:highlight w:val="none"/>
          <w:lang w:eastAsia="zh-CN"/>
        </w:rPr>
        <w:t>乙方向甲方提交的各版次设计成果文件应满足勘察设计文件审批的要求及本工程各阶段建设的需要。</w:t>
      </w:r>
    </w:p>
    <w:p w14:paraId="3C1E145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9.4</w:t>
      </w:r>
      <w:r>
        <w:rPr>
          <w:rFonts w:hint="eastAsia" w:ascii="宋体" w:hAnsi="宋体" w:eastAsia="宋体"/>
          <w:snapToGrid w:val="0"/>
          <w:color w:val="auto"/>
          <w:sz w:val="24"/>
          <w:szCs w:val="24"/>
          <w:highlight w:val="none"/>
          <w:lang w:eastAsia="zh-CN"/>
        </w:rPr>
        <w:t>乙方按合同约定的时限将设计成果文件或资料交付至甲方指定的地点，相关费用（包括运输、邮寄、电传、关税等费用）已经含于设计费中。</w:t>
      </w:r>
    </w:p>
    <w:p w14:paraId="4C6B33D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9.5</w:t>
      </w:r>
      <w:r>
        <w:rPr>
          <w:rFonts w:hint="eastAsia" w:ascii="宋体" w:hAnsi="宋体" w:eastAsia="宋体"/>
          <w:snapToGrid w:val="0"/>
          <w:color w:val="auto"/>
          <w:sz w:val="24"/>
          <w:szCs w:val="24"/>
          <w:highlight w:val="none"/>
          <w:lang w:eastAsia="zh-CN"/>
        </w:rPr>
        <w:t>在报建过程中需要提供设计成果文件或设计中间资料的电子文档的，乙方应无偿提供。</w:t>
      </w:r>
    </w:p>
    <w:p w14:paraId="4F5C6F7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p>
    <w:p w14:paraId="54148D99">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第四章  设计质量</w:t>
      </w:r>
    </w:p>
    <w:p w14:paraId="10D258ED">
      <w:pPr>
        <w:adjustRightInd w:val="0"/>
        <w:snapToGrid w:val="0"/>
        <w:spacing w:line="360" w:lineRule="auto"/>
        <w:ind w:firstLine="472" w:firstLineChars="196"/>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10、设计的质量要求</w:t>
      </w:r>
    </w:p>
    <w:p w14:paraId="544E10C4">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10.1</w:t>
      </w:r>
      <w:r>
        <w:rPr>
          <w:rFonts w:hint="eastAsia" w:ascii="宋体" w:hAnsi="宋体" w:eastAsia="宋体"/>
          <w:snapToGrid w:val="0"/>
          <w:color w:val="auto"/>
          <w:sz w:val="24"/>
          <w:szCs w:val="24"/>
          <w:highlight w:val="none"/>
          <w:lang w:eastAsia="zh-CN"/>
        </w:rPr>
        <w:t>设计应体现甲方的建设意图，应符合有关法律、法规的规定，符合建设工程质量、安全标准，符合建设工程勘察设计的技术规范（尤其是强制性规范），达到设计任务书的要求，满足本工程的功能需求。在控制投资的同时，做到美观、适用、安全、经济，并具备良好的节能环保特性，取得良好的社会效益。</w:t>
      </w:r>
    </w:p>
    <w:p w14:paraId="40D12ED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10.2</w:t>
      </w:r>
      <w:r>
        <w:rPr>
          <w:rFonts w:hint="eastAsia" w:ascii="宋体" w:hAnsi="宋体" w:eastAsia="宋体"/>
          <w:snapToGrid w:val="0"/>
          <w:color w:val="auto"/>
          <w:sz w:val="24"/>
          <w:szCs w:val="24"/>
          <w:highlight w:val="none"/>
          <w:lang w:eastAsia="zh-CN"/>
        </w:rPr>
        <w:t>乙方的设计成果文件应满足《建筑工程设计文件编制深度规定》（最新版）和</w:t>
      </w:r>
      <w:r>
        <w:rPr>
          <w:rFonts w:hint="eastAsia" w:ascii="宋体" w:hAnsi="宋体" w:eastAsia="宋体"/>
          <w:bCs/>
          <w:snapToGrid w:val="0"/>
          <w:color w:val="auto"/>
          <w:sz w:val="24"/>
          <w:szCs w:val="24"/>
          <w:highlight w:val="none"/>
          <w:lang w:eastAsia="zh-CN"/>
        </w:rPr>
        <w:t>《市政公用工程设计文件编制深度规定》（最新版）</w:t>
      </w:r>
      <w:r>
        <w:rPr>
          <w:rFonts w:hint="eastAsia" w:ascii="宋体" w:hAnsi="宋体" w:eastAsia="宋体"/>
          <w:snapToGrid w:val="0"/>
          <w:color w:val="auto"/>
          <w:sz w:val="24"/>
          <w:szCs w:val="24"/>
          <w:highlight w:val="none"/>
          <w:lang w:eastAsia="zh-CN"/>
        </w:rPr>
        <w:t>中的相关要求，并按照专家评审意见和甲方要求对设计进行深化、优化。乙方对本合同范围内的勘察、设计成果文件达到合同约定的相应设计深度负总体责任。</w:t>
      </w:r>
    </w:p>
    <w:p w14:paraId="3D701706">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10.3</w:t>
      </w:r>
      <w:r>
        <w:rPr>
          <w:rFonts w:hint="eastAsia" w:ascii="宋体" w:hAnsi="宋体" w:eastAsia="宋体"/>
          <w:snapToGrid w:val="0"/>
          <w:color w:val="auto"/>
          <w:sz w:val="24"/>
          <w:szCs w:val="24"/>
          <w:highlight w:val="none"/>
          <w:lang w:eastAsia="zh-CN"/>
        </w:rPr>
        <w:t>乙方在设计过程中应考虑工程实施的可操作性，对工序方案提出相应的技术要求，应明确提出关键工序的工艺要求、质量控制要求及安全技术措施方案。</w:t>
      </w:r>
    </w:p>
    <w:p w14:paraId="03A313D6">
      <w:pPr>
        <w:adjustRightInd w:val="0"/>
        <w:snapToGrid w:val="0"/>
        <w:spacing w:line="360" w:lineRule="auto"/>
        <w:ind w:firstLine="482" w:firstLineChars="200"/>
        <w:jc w:val="both"/>
        <w:rPr>
          <w:rFonts w:hint="eastAsia" w:ascii="宋体" w:hAnsi="宋体" w:eastAsia="宋体"/>
          <w:strike/>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10.4</w:t>
      </w:r>
      <w:r>
        <w:rPr>
          <w:rFonts w:hint="eastAsia" w:ascii="宋体" w:hAnsi="宋体" w:eastAsia="宋体"/>
          <w:snapToGrid w:val="0"/>
          <w:color w:val="auto"/>
          <w:sz w:val="24"/>
          <w:szCs w:val="24"/>
          <w:highlight w:val="none"/>
          <w:lang w:eastAsia="zh-CN"/>
        </w:rPr>
        <w:t>勘察、设计成果文件的计量单位均应采用国际标准计量单位。</w:t>
      </w:r>
    </w:p>
    <w:p w14:paraId="78BB8CE9">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10.5</w:t>
      </w:r>
      <w:r>
        <w:rPr>
          <w:rFonts w:hint="eastAsia" w:ascii="宋体" w:hAnsi="宋体" w:eastAsia="宋体"/>
          <w:snapToGrid w:val="0"/>
          <w:color w:val="auto"/>
          <w:sz w:val="24"/>
          <w:szCs w:val="24"/>
          <w:highlight w:val="none"/>
          <w:lang w:eastAsia="zh-CN"/>
        </w:rPr>
        <w:t>设计图纸必须按照国家对工程图纸规格的规定绘制，保持同类图纸规格统一。</w:t>
      </w:r>
    </w:p>
    <w:p w14:paraId="5A49FB5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10.6</w:t>
      </w:r>
      <w:r>
        <w:rPr>
          <w:rFonts w:hint="eastAsia" w:ascii="宋体" w:hAnsi="宋体" w:eastAsia="宋体"/>
          <w:snapToGrid w:val="0"/>
          <w:color w:val="auto"/>
          <w:sz w:val="24"/>
          <w:szCs w:val="24"/>
          <w:highlight w:val="none"/>
          <w:lang w:eastAsia="zh-CN"/>
        </w:rPr>
        <w:t>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5天内将经过修改的符合规定的勘察、设计文件交付甲方。</w:t>
      </w:r>
    </w:p>
    <w:p w14:paraId="5E3329CD">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10.7</w:t>
      </w:r>
      <w:r>
        <w:rPr>
          <w:rFonts w:hint="eastAsia" w:ascii="宋体" w:hAnsi="宋体" w:eastAsia="宋体"/>
          <w:snapToGrid w:val="0"/>
          <w:color w:val="auto"/>
          <w:sz w:val="24"/>
          <w:szCs w:val="24"/>
          <w:highlight w:val="none"/>
          <w:lang w:eastAsia="zh-CN"/>
        </w:rPr>
        <w:t>乙方应提供国际权威机构或国内有关部门对新材料及特殊结构的试验报告，并提供相应新材料及特殊结构在工程中应用的经验供甲方参考。</w:t>
      </w:r>
    </w:p>
    <w:p w14:paraId="4C7E8896">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snapToGrid w:val="0"/>
          <w:color w:val="auto"/>
          <w:sz w:val="24"/>
          <w:szCs w:val="24"/>
          <w:highlight w:val="none"/>
          <w:lang w:eastAsia="zh-CN"/>
        </w:rPr>
        <w:t xml:space="preserve">10.8 </w:t>
      </w:r>
      <w:r>
        <w:rPr>
          <w:rFonts w:hint="eastAsia" w:ascii="宋体" w:hAnsi="宋体"/>
          <w:color w:val="auto"/>
          <w:sz w:val="24"/>
          <w:szCs w:val="24"/>
          <w:highlight w:val="none"/>
          <w:u w:val="single"/>
          <w:lang w:eastAsia="zh-CN"/>
        </w:rPr>
        <w:t>设计人应在接到中标通知书之日起【】天内</w:t>
      </w:r>
      <w:r>
        <w:rPr>
          <w:rFonts w:ascii="宋体" w:hAnsi="宋体"/>
          <w:color w:val="auto"/>
          <w:sz w:val="24"/>
          <w:szCs w:val="24"/>
          <w:highlight w:val="none"/>
          <w:u w:val="single"/>
          <w:lang w:eastAsia="zh-CN"/>
        </w:rPr>
        <w:t>，根据项目设计大纲的总体安排向发包人提交两份详细的、分项目的设计进度工作计划，以及为完成本计划而建议采用的措施、说明和工程投资估算</w:t>
      </w:r>
      <w:r>
        <w:rPr>
          <w:rFonts w:hint="eastAsia" w:ascii="宋体" w:hAnsi="宋体"/>
          <w:color w:val="auto"/>
          <w:sz w:val="24"/>
          <w:szCs w:val="24"/>
          <w:highlight w:val="none"/>
          <w:u w:val="single"/>
          <w:lang w:eastAsia="zh-CN"/>
        </w:rPr>
        <w:t>、概算、预算，作为发包人控制项目设计进度的依据，经发包人批准后方可开展现场工作。</w:t>
      </w:r>
    </w:p>
    <w:p w14:paraId="6B4736DA">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10.9</w:t>
      </w:r>
      <w:r>
        <w:rPr>
          <w:rFonts w:ascii="宋体" w:hAnsi="宋体"/>
          <w:color w:val="auto"/>
          <w:sz w:val="24"/>
          <w:szCs w:val="24"/>
          <w:highlight w:val="none"/>
          <w:u w:val="single"/>
          <w:lang w:eastAsia="zh-CN"/>
        </w:rPr>
        <w:t xml:space="preserve"> 设计人</w:t>
      </w:r>
      <w:r>
        <w:rPr>
          <w:rFonts w:hint="eastAsia" w:ascii="宋体" w:hAnsi="宋体"/>
          <w:color w:val="auto"/>
          <w:sz w:val="24"/>
          <w:szCs w:val="24"/>
          <w:highlight w:val="none"/>
          <w:u w:val="single"/>
          <w:lang w:eastAsia="zh-CN"/>
        </w:rPr>
        <w:t>应按合同、设计大纲、国家及行业标准、规程、规范、技术标准开展设计，严格掌握设计标准，保证设计质量，控制工程造价。</w:t>
      </w:r>
    </w:p>
    <w:p w14:paraId="02F04605">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10.10</w:t>
      </w:r>
      <w:r>
        <w:rPr>
          <w:rFonts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设计人应按国家有关规定，建立设计岗位责任制和工程质量终身负责制。</w:t>
      </w:r>
    </w:p>
    <w:p w14:paraId="40983040">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10.11</w:t>
      </w:r>
      <w:r>
        <w:rPr>
          <w:rFonts w:ascii="宋体" w:hAnsi="宋体"/>
          <w:b/>
          <w:bCs/>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设计人应按协议书规定的内容、时间及份数向发包人交付设计文件，对委托范围内的设计的完整性、准确性负责。</w:t>
      </w:r>
    </w:p>
    <w:p w14:paraId="5E0423D7">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10.12</w:t>
      </w:r>
      <w:r>
        <w:rPr>
          <w:rFonts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设计人可以根据设计进展情况和设计工作量的大小，对设计工作人员进行合理调整。更换总设计工程师须经发包人批准同意，还应保持主要设计工作人员的相对稳定，若有调整应报发包人批准。</w:t>
      </w:r>
    </w:p>
    <w:p w14:paraId="2027A421">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10.13</w:t>
      </w:r>
      <w:r>
        <w:rPr>
          <w:rFonts w:ascii="宋体" w:hAnsi="宋体"/>
          <w:b/>
          <w:bCs/>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设计人不得将全部设计工作转包给第三人，亦不得将主体工程的设计工作分包，且合同分包量不得超过合同价的</w:t>
      </w:r>
      <w:r>
        <w:rPr>
          <w:rFonts w:ascii="宋体" w:hAnsi="宋体"/>
          <w:color w:val="auto"/>
          <w:sz w:val="24"/>
          <w:szCs w:val="24"/>
          <w:highlight w:val="none"/>
          <w:u w:val="single"/>
          <w:lang w:eastAsia="zh-CN"/>
        </w:rPr>
        <w:t>30%。若</w:t>
      </w:r>
      <w:r>
        <w:rPr>
          <w:rFonts w:hint="eastAsia" w:ascii="宋体" w:hAnsi="宋体"/>
          <w:color w:val="auto"/>
          <w:sz w:val="24"/>
          <w:szCs w:val="24"/>
          <w:highlight w:val="none"/>
          <w:u w:val="single"/>
          <w:lang w:eastAsia="zh-CN"/>
        </w:rPr>
        <w:t>设计</w:t>
      </w:r>
      <w:r>
        <w:rPr>
          <w:rFonts w:ascii="宋体" w:hAnsi="宋体"/>
          <w:color w:val="auto"/>
          <w:sz w:val="24"/>
          <w:szCs w:val="24"/>
          <w:highlight w:val="none"/>
          <w:u w:val="single"/>
          <w:lang w:eastAsia="zh-CN"/>
        </w:rPr>
        <w:t>人需分包部分工程设计工作时，分包人</w:t>
      </w:r>
      <w:r>
        <w:rPr>
          <w:rFonts w:hint="eastAsia" w:ascii="宋体" w:hAnsi="宋体"/>
          <w:color w:val="auto"/>
          <w:sz w:val="24"/>
          <w:szCs w:val="24"/>
          <w:highlight w:val="none"/>
          <w:u w:val="single"/>
          <w:lang w:eastAsia="zh-CN"/>
        </w:rPr>
        <w:t>的确定应经发包人书面同意。设计人应对其分包出去的设计工作的成果以及分包人的任何工作和行为承担无限连带责任。若发包人要求，设计人应提交分包合同副本。</w:t>
      </w:r>
    </w:p>
    <w:p w14:paraId="6F9946BE">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10.14</w:t>
      </w:r>
      <w:r>
        <w:rPr>
          <w:rFonts w:ascii="宋体" w:hAnsi="宋体"/>
          <w:color w:val="auto"/>
          <w:sz w:val="24"/>
          <w:szCs w:val="24"/>
          <w:highlight w:val="none"/>
          <w:u w:val="single"/>
          <w:lang w:eastAsia="zh-CN"/>
        </w:rPr>
        <w:t xml:space="preserve"> 设计</w:t>
      </w:r>
      <w:r>
        <w:rPr>
          <w:rFonts w:hint="eastAsia" w:ascii="宋体" w:hAnsi="宋体"/>
          <w:color w:val="auto"/>
          <w:sz w:val="24"/>
          <w:szCs w:val="24"/>
          <w:highlight w:val="none"/>
          <w:u w:val="single"/>
          <w:lang w:eastAsia="zh-CN"/>
        </w:rPr>
        <w:t>人应提出本合同工程各阶段设计要求，并报发包人批准后作为开展设计工作的依据，发包人的批准，不免除设计人就设计工作应承担的责任。</w:t>
      </w:r>
    </w:p>
    <w:p w14:paraId="48035616">
      <w:pPr>
        <w:autoSpaceDE w:val="0"/>
        <w:autoSpaceDN w:val="0"/>
        <w:adjustRightInd w:val="0"/>
        <w:spacing w:line="360" w:lineRule="auto"/>
        <w:ind w:firstLine="482" w:firstLineChars="200"/>
        <w:rPr>
          <w:rFonts w:hint="eastAsia" w:ascii="宋体" w:hAnsi="宋体"/>
          <w:color w:val="auto"/>
          <w:sz w:val="24"/>
          <w:szCs w:val="24"/>
          <w:highlight w:val="none"/>
          <w:u w:val="single"/>
          <w:lang w:val="en-US" w:eastAsia="zh-CN"/>
        </w:rPr>
      </w:pPr>
      <w:r>
        <w:rPr>
          <w:rFonts w:hint="eastAsia" w:ascii="宋体" w:hAnsi="宋体" w:eastAsia="宋体"/>
          <w:b/>
          <w:bCs/>
          <w:color w:val="auto"/>
          <w:sz w:val="24"/>
          <w:szCs w:val="24"/>
          <w:highlight w:val="none"/>
          <w:u w:val="single"/>
          <w:lang w:eastAsia="zh-CN"/>
        </w:rPr>
        <w:t>10.15</w:t>
      </w:r>
      <w:r>
        <w:rPr>
          <w:rFonts w:ascii="宋体" w:hAnsi="宋体"/>
          <w:b/>
          <w:bCs/>
          <w:color w:val="auto"/>
          <w:sz w:val="24"/>
          <w:szCs w:val="24"/>
          <w:highlight w:val="none"/>
          <w:u w:val="single"/>
          <w:lang w:eastAsia="zh-CN"/>
        </w:rPr>
        <w:t xml:space="preserve"> </w:t>
      </w:r>
      <w:r>
        <w:rPr>
          <w:rFonts w:ascii="宋体" w:hAnsi="宋体"/>
          <w:color w:val="auto"/>
          <w:sz w:val="24"/>
          <w:szCs w:val="24"/>
          <w:highlight w:val="none"/>
          <w:u w:val="single"/>
          <w:lang w:eastAsia="zh-CN"/>
        </w:rPr>
        <w:t>设计人应积极配合发包人进行各项招标工作，按发包人规定的时间提供</w:t>
      </w:r>
      <w:r>
        <w:rPr>
          <w:rFonts w:hint="eastAsia" w:ascii="宋体" w:hAnsi="宋体"/>
          <w:color w:val="auto"/>
          <w:sz w:val="24"/>
          <w:szCs w:val="24"/>
          <w:highlight w:val="none"/>
          <w:u w:val="single"/>
          <w:lang w:eastAsia="zh-CN"/>
        </w:rPr>
        <w:t>各合同段施工招标资料所需的工程数量和工程说明；按发包人规定的时间提供各合同段的施工招标图纸和工程量清单；按发包人要求派相关人员参加标前会，就有关设计问题进行答疑</w:t>
      </w:r>
      <w:r>
        <w:rPr>
          <w:rFonts w:hint="eastAsia" w:ascii="宋体" w:hAnsi="宋体"/>
          <w:color w:val="auto"/>
          <w:sz w:val="24"/>
          <w:szCs w:val="24"/>
          <w:highlight w:val="none"/>
          <w:u w:val="single"/>
          <w:lang w:val="en-US" w:eastAsia="zh-CN"/>
        </w:rPr>
        <w:t>.</w:t>
      </w:r>
    </w:p>
    <w:p w14:paraId="10D21042">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10.16</w:t>
      </w:r>
      <w:r>
        <w:rPr>
          <w:rFonts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设计人应按</w:t>
      </w:r>
      <w:r>
        <w:rPr>
          <w:rFonts w:hint="eastAsia" w:ascii="宋体" w:hAnsi="宋体" w:eastAsia="宋体"/>
          <w:color w:val="auto"/>
          <w:sz w:val="24"/>
          <w:szCs w:val="24"/>
          <w:highlight w:val="none"/>
          <w:u w:val="single"/>
          <w:lang w:eastAsia="zh-CN"/>
        </w:rPr>
        <w:t>发包人要求</w:t>
      </w:r>
      <w:r>
        <w:rPr>
          <w:rFonts w:ascii="宋体" w:hAnsi="宋体"/>
          <w:color w:val="auto"/>
          <w:sz w:val="24"/>
          <w:szCs w:val="24"/>
          <w:highlight w:val="none"/>
          <w:u w:val="single"/>
          <w:lang w:eastAsia="zh-CN"/>
        </w:rPr>
        <w:t>参加工程设计文件的审查。</w:t>
      </w:r>
    </w:p>
    <w:p w14:paraId="76D5D671">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10.17</w:t>
      </w:r>
      <w:r>
        <w:rPr>
          <w:rFonts w:ascii="宋体" w:hAnsi="宋体"/>
          <w:color w:val="auto"/>
          <w:sz w:val="24"/>
          <w:szCs w:val="24"/>
          <w:highlight w:val="none"/>
          <w:u w:val="single"/>
          <w:lang w:eastAsia="zh-CN"/>
        </w:rPr>
        <w:t xml:space="preserve"> 设计</w:t>
      </w:r>
      <w:r>
        <w:rPr>
          <w:rFonts w:hint="eastAsia" w:ascii="宋体" w:hAnsi="宋体"/>
          <w:color w:val="auto"/>
          <w:sz w:val="24"/>
          <w:szCs w:val="24"/>
          <w:highlight w:val="none"/>
          <w:u w:val="single"/>
          <w:lang w:eastAsia="zh-CN"/>
        </w:rPr>
        <w:t>人应按</w:t>
      </w:r>
      <w:r>
        <w:rPr>
          <w:rFonts w:hint="eastAsia" w:ascii="宋体" w:hAnsi="宋体" w:eastAsia="宋体"/>
          <w:color w:val="auto"/>
          <w:sz w:val="24"/>
          <w:szCs w:val="24"/>
          <w:highlight w:val="none"/>
          <w:u w:val="single"/>
          <w:lang w:eastAsia="zh-CN"/>
        </w:rPr>
        <w:t>发包人要求</w:t>
      </w:r>
      <w:r>
        <w:rPr>
          <w:rFonts w:ascii="宋体" w:hAnsi="宋体"/>
          <w:color w:val="auto"/>
          <w:sz w:val="24"/>
          <w:szCs w:val="24"/>
          <w:highlight w:val="none"/>
          <w:u w:val="single"/>
          <w:lang w:eastAsia="zh-CN"/>
        </w:rPr>
        <w:t>配合施工现场。</w:t>
      </w:r>
    </w:p>
    <w:p w14:paraId="1A4279A3">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10.18</w:t>
      </w:r>
      <w:r>
        <w:rPr>
          <w:rFonts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未经发包人书面同意，设计人不得向第三方泄露、扩散、转让、许可使用发包人提交的产品图纸等一切技术经济资料，否则应承担由此产生的一切责任及损失。</w:t>
      </w:r>
    </w:p>
    <w:p w14:paraId="06D0D7B8">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10.19</w:t>
      </w:r>
      <w:r>
        <w:rPr>
          <w:rFonts w:ascii="宋体" w:hAnsi="宋体"/>
          <w:color w:val="auto"/>
          <w:sz w:val="24"/>
          <w:szCs w:val="24"/>
          <w:highlight w:val="none"/>
          <w:u w:val="single"/>
          <w:lang w:eastAsia="zh-CN"/>
        </w:rPr>
        <w:t xml:space="preserve"> 设计人在进行外业勘察时，应采取相应的安全、保卫和环境保护措施，如设计人未能采取有效的措施，而发生的与外业勘察活动有关的人身伤亡、罚款、索赔、损失赔偿、诉讼费用及其他一切责任应由设计人负责。</w:t>
      </w:r>
    </w:p>
    <w:p w14:paraId="21C64267">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10.20</w:t>
      </w:r>
      <w:r>
        <w:rPr>
          <w:rFonts w:hint="eastAsia" w:ascii="宋体" w:hAnsi="宋体"/>
          <w:color w:val="auto"/>
          <w:sz w:val="24"/>
          <w:szCs w:val="24"/>
          <w:highlight w:val="none"/>
          <w:u w:val="single"/>
          <w:lang w:eastAsia="zh-CN"/>
        </w:rPr>
        <w:t xml:space="preserve"> 设计</w:t>
      </w:r>
      <w:r>
        <w:rPr>
          <w:rFonts w:ascii="宋体" w:hAnsi="宋体"/>
          <w:color w:val="auto"/>
          <w:sz w:val="24"/>
          <w:szCs w:val="24"/>
          <w:highlight w:val="none"/>
          <w:u w:val="single"/>
          <w:lang w:eastAsia="zh-CN"/>
        </w:rPr>
        <w:t>人为实施本项工程，应参加发包人风险以外的其它有关的雇主责任保险，以使本项工程顺利进行。</w:t>
      </w:r>
    </w:p>
    <w:p w14:paraId="57A3FE1B">
      <w:pPr>
        <w:autoSpaceDE w:val="0"/>
        <w:autoSpaceDN w:val="0"/>
        <w:adjustRightInd w:val="0"/>
        <w:spacing w:line="360" w:lineRule="auto"/>
        <w:ind w:firstLine="482" w:firstLineChars="200"/>
        <w:rPr>
          <w:rFonts w:hint="eastAsia"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10.21</w:t>
      </w:r>
      <w:r>
        <w:rPr>
          <w:rFonts w:hint="eastAsia" w:ascii="宋体" w:hAnsi="宋体" w:eastAsia="宋体"/>
          <w:color w:val="auto"/>
          <w:sz w:val="24"/>
          <w:szCs w:val="24"/>
          <w:highlight w:val="none"/>
          <w:u w:val="single"/>
          <w:lang w:eastAsia="zh-CN"/>
        </w:rPr>
        <w:t xml:space="preserve"> </w:t>
      </w:r>
      <w:r>
        <w:rPr>
          <w:rFonts w:ascii="宋体" w:hAnsi="宋体"/>
          <w:color w:val="auto"/>
          <w:sz w:val="24"/>
          <w:szCs w:val="24"/>
          <w:highlight w:val="none"/>
          <w:u w:val="single"/>
          <w:lang w:eastAsia="zh-CN"/>
        </w:rPr>
        <w:t>外地（广州市以外）设计人，应在广州市设立该项目的办公地点，并保证驻工地项目设计代表及</w:t>
      </w:r>
      <w:r>
        <w:rPr>
          <w:rFonts w:hint="eastAsia" w:ascii="宋体" w:hAnsi="宋体"/>
          <w:color w:val="auto"/>
          <w:sz w:val="24"/>
          <w:szCs w:val="24"/>
          <w:highlight w:val="none"/>
          <w:u w:val="single"/>
          <w:lang w:eastAsia="zh-CN"/>
        </w:rPr>
        <w:t>两名以上的主要设计工作人员自中标后在该办公地点办公，直至本合同项下全部设计服务结束为止。</w:t>
      </w:r>
    </w:p>
    <w:p w14:paraId="07838E40">
      <w:pPr>
        <w:pStyle w:val="27"/>
        <w:spacing w:after="0"/>
        <w:ind w:left="0" w:leftChars="0" w:firstLine="482"/>
        <w:rPr>
          <w:rFonts w:hint="eastAsia" w:ascii="宋体" w:hAnsi="宋体" w:eastAsia="宋体"/>
          <w:b/>
          <w:snapToGrid w:val="0"/>
          <w:color w:val="auto"/>
          <w:sz w:val="24"/>
          <w:highlight w:val="none"/>
          <w:lang w:eastAsia="zh-CN"/>
        </w:rPr>
      </w:pPr>
    </w:p>
    <w:p w14:paraId="026D485D">
      <w:pPr>
        <w:adjustRightInd w:val="0"/>
        <w:snapToGrid w:val="0"/>
        <w:spacing w:line="360" w:lineRule="auto"/>
        <w:jc w:val="center"/>
        <w:rPr>
          <w:rFonts w:hint="eastAsia" w:ascii="宋体" w:hAnsi="宋体" w:eastAsia="宋体"/>
          <w:b/>
          <w:snapToGrid w:val="0"/>
          <w:color w:val="auto"/>
          <w:sz w:val="24"/>
          <w:szCs w:val="24"/>
          <w:highlight w:val="none"/>
          <w:lang w:eastAsia="zh-CN"/>
        </w:rPr>
      </w:pPr>
    </w:p>
    <w:p w14:paraId="6C7EAF2C">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第五章  设计事故</w:t>
      </w:r>
    </w:p>
    <w:p w14:paraId="3CBF1021">
      <w:pPr>
        <w:widowControl/>
        <w:adjustRightInd w:val="0"/>
        <w:snapToGrid w:val="0"/>
        <w:spacing w:line="360" w:lineRule="auto"/>
        <w:ind w:firstLine="482" w:firstLineChars="200"/>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11、设计事故</w:t>
      </w:r>
    </w:p>
    <w:p w14:paraId="3285A98C">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11.1</w:t>
      </w:r>
      <w:r>
        <w:rPr>
          <w:rFonts w:hint="eastAsia" w:ascii="宋体" w:hAnsi="宋体" w:eastAsia="宋体"/>
          <w:snapToGrid w:val="0"/>
          <w:color w:val="auto"/>
          <w:sz w:val="24"/>
          <w:szCs w:val="24"/>
          <w:highlight w:val="none"/>
          <w:lang w:eastAsia="zh-CN"/>
        </w:rPr>
        <w:t>按乙方违约行为的严重，设计事故分为一类设计事故及二类设计事故，具体如下：</w:t>
      </w:r>
    </w:p>
    <w:p w14:paraId="7560F61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（1）一类设计事故（符合下列条件之一，但未达到二类设计事故标准的）：</w:t>
      </w:r>
    </w:p>
    <w:p w14:paraId="184C512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1）乙方逾期提交设计成果文件10天以上（含10天），或累计达15天以上（含15天）。</w:t>
      </w:r>
    </w:p>
    <w:p w14:paraId="7ADE2B7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2）乙方提交的设计成果文件违反国家相关强制性规定累计发生5例（含5例，设计成果文件中每1处违反1条强制性规定的为1例）。</w:t>
      </w:r>
    </w:p>
    <w:p w14:paraId="721D5C4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如乙方的设计成果文件中含有明显倾向于某一专门厂商生产的设备、材料的描述，或在其设计成果文件中选用了具有专一性、排他性的材料、设备而又未事先向甲方书面报告并详细说明理由的，累计出现4次以上（含4次）。</w:t>
      </w:r>
    </w:p>
    <w:p w14:paraId="2964B6C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4）乙方设计成果文件出现错、漏、碰，直接导致甲方招标工作进度、项目施工进度逾期累计7天以上（含7天），或累计达10天（含10天）以上的。</w:t>
      </w:r>
    </w:p>
    <w:p w14:paraId="43374AB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（2）二类设计事故（符合下列条件之一）：</w:t>
      </w:r>
    </w:p>
    <w:p w14:paraId="7E0B758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1）乙方逾期提交设计成果文件15天（含15天），或累计达20天（含20天）的。</w:t>
      </w:r>
    </w:p>
    <w:p w14:paraId="64D9BDD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2）乙方提交的设计成果文件违反国家相关强制性规定累计发生7例（含7例，设计成果文件中每1处违反1条强制性规定的为1例）。</w:t>
      </w:r>
    </w:p>
    <w:p w14:paraId="1A5BD78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如乙方的设计成果文件中含有明显倾向于某一专门厂商生产的设备、材料的描述，或在其设计成果文件中选用了具有专一性、排他性的材料、设备而又未事先向甲方书面报告并详细说明理由的，累计出现7次（含7次）以上的。</w:t>
      </w:r>
    </w:p>
    <w:p w14:paraId="5E0A9DD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4）乙方的设计成果文件无法实施的（包括乙方的设计成果文件中明示的施工方案、工艺及措施难度极大或现有的施工条件无法实现的；设计成果文件中拟采用的材料设备无法采购的）。</w:t>
      </w:r>
    </w:p>
    <w:p w14:paraId="7068138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5）乙方设计成果文件出现错、漏、碰，直接导致甲方招标工作进度、项目施工进度逾期累计10天（含10天），或累计达15天（含15天）以上的。</w:t>
      </w:r>
    </w:p>
    <w:p w14:paraId="0F4004A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11.2</w:t>
      </w:r>
      <w:r>
        <w:rPr>
          <w:rFonts w:hint="eastAsia" w:ascii="宋体" w:hAnsi="宋体" w:eastAsia="宋体"/>
          <w:snapToGrid w:val="0"/>
          <w:color w:val="auto"/>
          <w:sz w:val="24"/>
          <w:szCs w:val="24"/>
          <w:highlight w:val="none"/>
          <w:lang w:eastAsia="zh-CN"/>
        </w:rPr>
        <w:t>如发生设计事故，经过甲方审定，甲方有权部分解除合同或解除合同。</w:t>
      </w:r>
    </w:p>
    <w:p w14:paraId="3CC99067">
      <w:pPr>
        <w:adjustRightInd w:val="0"/>
        <w:snapToGrid w:val="0"/>
        <w:spacing w:line="360" w:lineRule="auto"/>
        <w:ind w:firstLine="482" w:firstLineChars="200"/>
        <w:jc w:val="both"/>
        <w:rPr>
          <w:rFonts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11.3</w:t>
      </w:r>
      <w:r>
        <w:rPr>
          <w:rFonts w:hint="eastAsia" w:ascii="宋体" w:hAnsi="宋体" w:eastAsia="宋体"/>
          <w:snapToGrid w:val="0"/>
          <w:color w:val="auto"/>
          <w:sz w:val="24"/>
          <w:szCs w:val="24"/>
          <w:highlight w:val="none"/>
          <w:lang w:eastAsia="zh-CN"/>
        </w:rPr>
        <w:t>设计事故的的认定方式及</w:t>
      </w:r>
      <w:r>
        <w:rPr>
          <w:rFonts w:hint="eastAsia" w:eastAsia="宋体"/>
          <w:snapToGrid w:val="0"/>
          <w:color w:val="auto"/>
          <w:sz w:val="24"/>
          <w:szCs w:val="24"/>
          <w:highlight w:val="none"/>
          <w:lang w:eastAsia="zh-CN"/>
        </w:rPr>
        <w:t>送达程序参照合同条款第</w:t>
      </w:r>
      <w:r>
        <w:rPr>
          <w:rFonts w:hint="eastAsia" w:ascii="宋体" w:hAnsi="宋体" w:eastAsia="宋体"/>
          <w:snapToGrid w:val="0"/>
          <w:color w:val="auto"/>
          <w:sz w:val="24"/>
          <w:szCs w:val="24"/>
          <w:highlight w:val="none"/>
          <w:lang w:eastAsia="zh-CN"/>
        </w:rPr>
        <w:t>28.10款执</w:t>
      </w:r>
      <w:r>
        <w:rPr>
          <w:rFonts w:hint="eastAsia" w:eastAsia="宋体"/>
          <w:snapToGrid w:val="0"/>
          <w:color w:val="auto"/>
          <w:sz w:val="24"/>
          <w:szCs w:val="24"/>
          <w:highlight w:val="none"/>
          <w:lang w:eastAsia="zh-CN"/>
        </w:rPr>
        <w:t>行。</w:t>
      </w:r>
    </w:p>
    <w:p w14:paraId="0DAA7584">
      <w:pPr>
        <w:adjustRightInd w:val="0"/>
        <w:snapToGrid w:val="0"/>
        <w:spacing w:line="360" w:lineRule="auto"/>
        <w:jc w:val="both"/>
        <w:rPr>
          <w:rFonts w:hint="eastAsia" w:ascii="宋体" w:hAnsi="宋体" w:eastAsia="宋体"/>
          <w:snapToGrid w:val="0"/>
          <w:color w:val="auto"/>
          <w:sz w:val="24"/>
          <w:szCs w:val="24"/>
          <w:highlight w:val="none"/>
          <w:lang w:eastAsia="zh-CN"/>
        </w:rPr>
      </w:pPr>
    </w:p>
    <w:p w14:paraId="5E86E7C3">
      <w:pPr>
        <w:adjustRightInd w:val="0"/>
        <w:snapToGrid w:val="0"/>
        <w:spacing w:line="360" w:lineRule="auto"/>
        <w:ind w:firstLine="590" w:firstLineChars="196"/>
        <w:jc w:val="center"/>
        <w:rPr>
          <w:rFonts w:hint="eastAsia" w:ascii="宋体" w:hAnsi="宋体" w:eastAsia="宋体"/>
          <w:b/>
          <w:bCs/>
          <w:snapToGrid w:val="0"/>
          <w:color w:val="auto"/>
          <w:sz w:val="30"/>
          <w:szCs w:val="30"/>
          <w:highlight w:val="none"/>
          <w:lang w:eastAsia="zh-CN"/>
        </w:rPr>
      </w:pPr>
      <w:bookmarkStart w:id="9" w:name="_Toc81802534"/>
      <w:bookmarkStart w:id="10" w:name="_Toc81895175"/>
      <w:r>
        <w:rPr>
          <w:rFonts w:hint="eastAsia" w:ascii="宋体" w:hAnsi="宋体" w:eastAsia="宋体"/>
          <w:b/>
          <w:bCs/>
          <w:snapToGrid w:val="0"/>
          <w:color w:val="auto"/>
          <w:sz w:val="30"/>
          <w:szCs w:val="30"/>
          <w:highlight w:val="none"/>
          <w:lang w:eastAsia="zh-CN"/>
        </w:rPr>
        <w:t>第六章  工程投资控制</w:t>
      </w:r>
    </w:p>
    <w:p w14:paraId="73F4D84D">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12、工程投资控制</w:t>
      </w:r>
      <w:bookmarkEnd w:id="9"/>
      <w:bookmarkEnd w:id="10"/>
    </w:p>
    <w:p w14:paraId="3B377E02">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12.1</w:t>
      </w:r>
      <w:r>
        <w:rPr>
          <w:rFonts w:hint="eastAsia" w:ascii="宋体" w:hAnsi="宋体" w:eastAsia="宋体"/>
          <w:snapToGrid w:val="0"/>
          <w:color w:val="auto"/>
          <w:sz w:val="24"/>
          <w:szCs w:val="24"/>
          <w:highlight w:val="none"/>
          <w:lang w:eastAsia="zh-CN"/>
        </w:rPr>
        <w:t>为切实做好本合同</w:t>
      </w:r>
      <w:r>
        <w:rPr>
          <w:rFonts w:hint="eastAsia" w:ascii="宋体" w:hAnsi="宋体" w:eastAsia="宋体"/>
          <w:bCs/>
          <w:snapToGrid w:val="0"/>
          <w:color w:val="auto"/>
          <w:sz w:val="24"/>
          <w:szCs w:val="24"/>
          <w:highlight w:val="none"/>
          <w:lang w:eastAsia="zh-CN"/>
        </w:rPr>
        <w:t>工程的投资控制，甲乙双方应密切配合，加强管理，以减少设计的缺陷为目的。</w:t>
      </w:r>
    </w:p>
    <w:p w14:paraId="4FE631E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12.2</w:t>
      </w:r>
      <w:r>
        <w:rPr>
          <w:rFonts w:hint="eastAsia" w:ascii="宋体" w:hAnsi="宋体" w:eastAsia="宋体"/>
          <w:snapToGrid w:val="0"/>
          <w:color w:val="auto"/>
          <w:sz w:val="24"/>
          <w:szCs w:val="24"/>
          <w:highlight w:val="none"/>
          <w:lang w:eastAsia="zh-CN"/>
        </w:rPr>
        <w:t>乙方承诺在不降低设计任务书中的主要设计指标（建筑高度、建筑面积等）的前提下，确保工程设计概算不超过政府主管部门核准的工程投资估算总额。</w:t>
      </w:r>
    </w:p>
    <w:p w14:paraId="5FEE0B50">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12.3</w:t>
      </w:r>
      <w:r>
        <w:rPr>
          <w:rFonts w:hint="eastAsia" w:ascii="宋体" w:hAnsi="宋体" w:eastAsia="宋体"/>
          <w:bCs/>
          <w:snapToGrid w:val="0"/>
          <w:color w:val="auto"/>
          <w:sz w:val="24"/>
          <w:szCs w:val="24"/>
          <w:highlight w:val="none"/>
          <w:lang w:eastAsia="zh-CN"/>
        </w:rPr>
        <w:t>方案设计阶段的工程投资控制</w:t>
      </w:r>
    </w:p>
    <w:p w14:paraId="5D27967D">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方案设计要在满足建筑功能的基础上，在造价可控方面，选择适当的方案，结合成本控制的要求，对装修材料、设备选型、其他材料进行选择。具体要求如下：</w:t>
      </w:r>
    </w:p>
    <w:p w14:paraId="55384676">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（1）对建筑群体的布置形式，要通过采用高低搭配、点条结合、前后错列等手法节约用地，在保证小区居住功能的基础上，适当集中公共设施，合理布置道路。</w:t>
      </w:r>
    </w:p>
    <w:p w14:paraId="587137F3">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（2）设计的建筑物的形状尽量接近矩形和正方形，以减少外墙的面积。</w:t>
      </w:r>
    </w:p>
    <w:p w14:paraId="43B0C765">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（3）在考虑采光与通风问题的基础上，结合造价控制，选择适当的住宅层高和净高。</w:t>
      </w:r>
    </w:p>
    <w:p w14:paraId="450702C2">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（4）设计方案优化</w:t>
      </w:r>
    </w:p>
    <w:p w14:paraId="4C2E41D0">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建筑方案的优化：在满足使用功能和经济合理的基础上，进行建筑方案的优化。在充分展示设计师理念的前提下，充分考虑功能完善、安全可靠、经济合理等住宅建筑的要求，把握好平面布置、柱网、长宽比的合理性，合理确定建筑物的层数和层高，合理分布户型、确定内墙分割，减少隔墙和装饰面，尽可能避免建筑形式异形化和色彩、材料的特殊化。</w:t>
      </w:r>
    </w:p>
    <w:p w14:paraId="7370F8FD">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2）结构工程的优化：对于住宅建筑结构的选择，要在满足结构安全的前提下，进行结构优化设计，以降低混凝土、钢筋等的单方消耗含量，进而降低造价。</w:t>
      </w:r>
    </w:p>
    <w:p w14:paraId="20191700">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设备选型：以经济实用，运行可靠，维护管理方便为原则进行设备选型。通过主要技术指标对设备选型进行限额控制，通过设备询价对设备提出可靠的价格信息，详细制定大型设备选型、招标、采购控制方法，尽可能采用性价比较优的设备。在造价控制方面重点控制好通风空调设备、电气设备、电梯设备、水处理设备、建筑智能设备。</w:t>
      </w:r>
    </w:p>
    <w:p w14:paraId="5C941687">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装饰工程：外墙装饰尽可能采用成熟可靠、经济实用、形象美观的设计方案，并进行必要的深化设计。室内二次装修工程尽量做到简洁、美观，重点是做好公共部位装修，保证适当的建设标准和档次要求，同时根据部位的形象要求适当区分不同档次。门窗工程做到与整体风格协调一致，按部位要求区分不同的材料选用档次。</w:t>
      </w:r>
    </w:p>
    <w:p w14:paraId="00C2AA51">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5）特殊专业工程：自动火灾报警系统、综合布线、视频监控系统、车辆管理系统等专业工程应进行深化设计及限额设计。</w:t>
      </w:r>
    </w:p>
    <w:p w14:paraId="2ADA42C8">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6）室外附属工程：道路工程、园林绿化工程、室外管网工程等在保证道路应用、绿化指标的前提下，尽可能减少高标准道路面积。园建工程要突出重点部位，简化非重点部位。</w:t>
      </w:r>
    </w:p>
    <w:p w14:paraId="1D811A74">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12.4</w:t>
      </w:r>
      <w:r>
        <w:rPr>
          <w:rFonts w:hint="eastAsia" w:ascii="宋体" w:hAnsi="宋体" w:eastAsia="宋体"/>
          <w:bCs/>
          <w:snapToGrid w:val="0"/>
          <w:color w:val="auto"/>
          <w:sz w:val="24"/>
          <w:szCs w:val="24"/>
          <w:highlight w:val="none"/>
          <w:lang w:eastAsia="zh-CN"/>
        </w:rPr>
        <w:t>初步设计阶段的工程投资控制</w:t>
      </w:r>
    </w:p>
    <w:p w14:paraId="0DB7DEE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应乙方要求及时提供与本合同工程有关的资料和协助。</w:t>
      </w:r>
    </w:p>
    <w:p w14:paraId="25D11308">
      <w:pPr>
        <w:adjustRightInd w:val="0"/>
        <w:snapToGrid w:val="0"/>
        <w:spacing w:line="360" w:lineRule="auto"/>
        <w:ind w:firstLine="48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2）若本合同工程在初步设计阶段进行施工招标，乙方设计人员应与造价人员密切配合，对初步设计图纸深度达不到的地方，特别是设备安装工程，乙方设计人员应写出所采用的设备规格型号以及材料的材质、规格等，以便造价人员能在现有的设计条件下，做出来的工程量清单尽量接近实际，减少工程变更。</w:t>
      </w:r>
    </w:p>
    <w:p w14:paraId="2B1F8B78">
      <w:pPr>
        <w:adjustRightInd w:val="0"/>
        <w:snapToGrid w:val="0"/>
        <w:spacing w:line="360" w:lineRule="auto"/>
        <w:ind w:firstLine="480"/>
        <w:jc w:val="both"/>
        <w:rPr>
          <w:rFonts w:hint="eastAsia" w:ascii="宋体" w:hAnsi="宋体" w:eastAsia="宋体"/>
          <w:bCs/>
          <w:snapToGrid w:val="0"/>
          <w:color w:val="auto"/>
          <w:sz w:val="24"/>
          <w:szCs w:val="24"/>
          <w:highlight w:val="none"/>
          <w:u w:val="single"/>
          <w:lang w:eastAsia="zh-CN"/>
        </w:rPr>
      </w:pPr>
    </w:p>
    <w:p w14:paraId="23EBA020">
      <w:pPr>
        <w:adjustRightInd w:val="0"/>
        <w:snapToGrid w:val="0"/>
        <w:spacing w:line="360" w:lineRule="auto"/>
        <w:jc w:val="center"/>
        <w:rPr>
          <w:rFonts w:hint="eastAsia" w:ascii="宋体" w:hAnsi="宋体" w:eastAsia="宋体"/>
          <w:b/>
          <w:bCs/>
          <w:snapToGrid w:val="0"/>
          <w:color w:val="auto"/>
          <w:sz w:val="30"/>
          <w:szCs w:val="30"/>
          <w:highlight w:val="none"/>
          <w:lang w:eastAsia="zh-CN"/>
        </w:rPr>
      </w:pPr>
      <w:r>
        <w:rPr>
          <w:rFonts w:hint="eastAsia" w:ascii="宋体" w:hAnsi="宋体" w:eastAsia="宋体"/>
          <w:b/>
          <w:bCs/>
          <w:snapToGrid w:val="0"/>
          <w:color w:val="auto"/>
          <w:sz w:val="30"/>
          <w:szCs w:val="30"/>
          <w:highlight w:val="none"/>
          <w:lang w:eastAsia="zh-CN"/>
        </w:rPr>
        <w:t>第七章  设计评审</w:t>
      </w:r>
    </w:p>
    <w:p w14:paraId="28CC153B">
      <w:pPr>
        <w:adjustRightInd w:val="0"/>
        <w:snapToGrid w:val="0"/>
        <w:spacing w:line="360" w:lineRule="auto"/>
        <w:ind w:firstLine="48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13、设计评审</w:t>
      </w:r>
    </w:p>
    <w:p w14:paraId="5AF58D68">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13.1</w:t>
      </w:r>
      <w:r>
        <w:rPr>
          <w:rFonts w:hint="eastAsia" w:ascii="宋体" w:hAnsi="宋体" w:eastAsia="宋体"/>
          <w:bCs/>
          <w:snapToGrid w:val="0"/>
          <w:color w:val="auto"/>
          <w:sz w:val="24"/>
          <w:szCs w:val="24"/>
          <w:highlight w:val="none"/>
          <w:lang w:eastAsia="zh-CN"/>
        </w:rPr>
        <w:t>对乙方设计成果文件的设计评审包括相关行政主管部门及行业主管部门的审查、审查单位（设计咨询单位）的审查、甲方或甲方组织的专家评审。</w:t>
      </w:r>
    </w:p>
    <w:p w14:paraId="0D928959">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13.2</w:t>
      </w:r>
      <w:r>
        <w:rPr>
          <w:rFonts w:hint="eastAsia" w:ascii="宋体" w:hAnsi="宋体" w:eastAsia="宋体"/>
          <w:bCs/>
          <w:snapToGrid w:val="0"/>
          <w:color w:val="auto"/>
          <w:sz w:val="24"/>
          <w:szCs w:val="24"/>
          <w:highlight w:val="none"/>
          <w:lang w:eastAsia="zh-CN"/>
        </w:rPr>
        <w:t>设计评审的依据包括：</w:t>
      </w:r>
    </w:p>
    <w:p w14:paraId="2C94B23C">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（1）国家、省、市的施工图设计审查的相关规定、标准和规范；</w:t>
      </w:r>
    </w:p>
    <w:p w14:paraId="461F621B">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（2）消防、节能、环保、抗震、卫生、人防等有关工程建设的强制性标准和规范；</w:t>
      </w:r>
    </w:p>
    <w:p w14:paraId="46201855">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（3）本工程的相关政府批文（包括但不限于立项许可文件、用地规划文件等）；</w:t>
      </w:r>
    </w:p>
    <w:p w14:paraId="00DA1FCB">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（4）本合同中与设计工作的内容、范围、管理、服务相关的约定；</w:t>
      </w:r>
    </w:p>
    <w:p w14:paraId="1931270F">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（5）甲方关于设计、图档、图文、工程等的相关管理办法及规定；</w:t>
      </w:r>
    </w:p>
    <w:p w14:paraId="5703D2A4">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（6）政府相关行政主管部门、行业主管部门对乙方设计成果文件的审批意见；</w:t>
      </w:r>
    </w:p>
    <w:p w14:paraId="001E1876">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（7）甲方在设计过程中提出的书面意见。</w:t>
      </w:r>
    </w:p>
    <w:p w14:paraId="2F4A1D00">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13.3</w:t>
      </w:r>
      <w:r>
        <w:rPr>
          <w:rFonts w:hint="eastAsia" w:ascii="宋体" w:hAnsi="宋体" w:eastAsia="宋体"/>
          <w:bCs/>
          <w:snapToGrid w:val="0"/>
          <w:color w:val="auto"/>
          <w:sz w:val="24"/>
          <w:szCs w:val="24"/>
          <w:highlight w:val="none"/>
          <w:lang w:eastAsia="zh-CN"/>
        </w:rPr>
        <w:t>乙方应根据政府相关行政主管部门、行业主管部门的审批意见无条件地修改、完善各阶段的设计成果文件，确保其满足相关的审批要求；乙方应根据审查单位（设计咨询单位）的审查意见、甲方或甲方组织的专家评审的意见对设计成果文件进行修改、完善。</w:t>
      </w:r>
    </w:p>
    <w:p w14:paraId="67EF6EC4">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13.4</w:t>
      </w:r>
      <w:r>
        <w:rPr>
          <w:rFonts w:hint="eastAsia" w:ascii="宋体" w:hAnsi="宋体" w:eastAsia="宋体"/>
          <w:bCs/>
          <w:snapToGrid w:val="0"/>
          <w:color w:val="auto"/>
          <w:sz w:val="24"/>
          <w:szCs w:val="24"/>
          <w:highlight w:val="none"/>
          <w:lang w:eastAsia="zh-CN"/>
        </w:rPr>
        <w:t>乙方对甲方组织的专家评审意见存在异议的，在不违反消防、节能、环保、抗震、卫生、人防等国家有关工程建设的强制性标准和规范的前提下，以甲方最终认定的意见为准。乙方应在设计评审的最终意见发出之后5天内完成其设计范围内设计成果文件的修改完善工作并提交甲方。</w:t>
      </w:r>
    </w:p>
    <w:p w14:paraId="182D30A3">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13.5</w:t>
      </w:r>
      <w:r>
        <w:rPr>
          <w:rFonts w:hint="eastAsia" w:ascii="宋体" w:hAnsi="宋体" w:eastAsia="宋体"/>
          <w:bCs/>
          <w:snapToGrid w:val="0"/>
          <w:color w:val="auto"/>
          <w:sz w:val="24"/>
          <w:szCs w:val="24"/>
          <w:highlight w:val="none"/>
          <w:lang w:eastAsia="zh-CN"/>
        </w:rPr>
        <w:t>如乙方未能在设计评审的最终意见发出之日起3日内积极响应或逾期未能完成相关设计成果文件的修改完善工作，乙方应按合同条款第28条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相对应的设计费计取）从本合同设计收费中扣取。</w:t>
      </w:r>
    </w:p>
    <w:p w14:paraId="5E295FC3">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13.6</w:t>
      </w:r>
      <w:r>
        <w:rPr>
          <w:rFonts w:hint="eastAsia" w:ascii="宋体" w:hAnsi="宋体" w:eastAsia="宋体"/>
          <w:bCs/>
          <w:snapToGrid w:val="0"/>
          <w:color w:val="auto"/>
          <w:sz w:val="24"/>
          <w:szCs w:val="24"/>
          <w:highlight w:val="none"/>
          <w:lang w:eastAsia="zh-CN"/>
        </w:rPr>
        <w:t>甲方根据乙方提交的各阶段的设计成果文件的设计评审意见、乙方在履行合同各阶段提供的设计服务（包括报审报建服务、招标配合服务、结算配合服务的评价）的实际情况，依照甲方制定的考核办法对乙方进行考核，并根据考核结果按照合同条款的相关约定支付设计费。</w:t>
      </w:r>
    </w:p>
    <w:p w14:paraId="5A05BFF8">
      <w:pPr>
        <w:adjustRightInd w:val="0"/>
        <w:snapToGrid w:val="0"/>
        <w:spacing w:line="360" w:lineRule="auto"/>
        <w:jc w:val="center"/>
        <w:rPr>
          <w:rFonts w:hint="eastAsia" w:ascii="宋体" w:hAnsi="宋体" w:eastAsia="宋体"/>
          <w:b/>
          <w:snapToGrid w:val="0"/>
          <w:color w:val="auto"/>
          <w:sz w:val="30"/>
          <w:szCs w:val="30"/>
          <w:highlight w:val="none"/>
          <w:lang w:eastAsia="zh-CN"/>
        </w:rPr>
      </w:pPr>
    </w:p>
    <w:p w14:paraId="6577D707">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第八章  设计收费的计取及支付</w:t>
      </w:r>
    </w:p>
    <w:p w14:paraId="47CF0312">
      <w:pPr>
        <w:tabs>
          <w:tab w:val="left" w:pos="0"/>
        </w:tabs>
        <w:adjustRightInd w:val="0"/>
        <w:snapToGrid w:val="0"/>
        <w:spacing w:line="360" w:lineRule="auto"/>
        <w:ind w:left="986" w:leftChars="229" w:hanging="482" w:hanging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14、设计收费的计取</w:t>
      </w:r>
    </w:p>
    <w:p w14:paraId="2E172EA6">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
          <w:bCs/>
          <w:snapToGrid w:val="0"/>
          <w:color w:val="auto"/>
          <w:sz w:val="24"/>
          <w:szCs w:val="24"/>
          <w:highlight w:val="none"/>
          <w:lang w:eastAsia="zh-CN"/>
        </w:rPr>
        <w:t>14.1</w:t>
      </w:r>
      <w:r>
        <w:rPr>
          <w:rFonts w:hint="eastAsia" w:ascii="宋体" w:hAnsi="宋体" w:eastAsia="宋体"/>
          <w:bCs/>
          <w:snapToGrid w:val="0"/>
          <w:color w:val="auto"/>
          <w:sz w:val="24"/>
          <w:szCs w:val="24"/>
          <w:highlight w:val="none"/>
          <w:u w:val="single"/>
          <w:lang w:eastAsia="zh-CN"/>
        </w:rPr>
        <w:t>本合同设计收费的计算方法详见合同附件3表二“勘察设计费计算依据”。</w:t>
      </w:r>
    </w:p>
    <w:p w14:paraId="0CC7EF5D">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14.2</w:t>
      </w:r>
      <w:r>
        <w:rPr>
          <w:rFonts w:hint="eastAsia" w:ascii="宋体" w:hAnsi="宋体" w:eastAsia="宋体"/>
          <w:bCs/>
          <w:snapToGrid w:val="0"/>
          <w:color w:val="auto"/>
          <w:sz w:val="24"/>
          <w:szCs w:val="24"/>
          <w:highlight w:val="none"/>
          <w:lang w:eastAsia="zh-CN"/>
        </w:rPr>
        <w:t>除非双方另有约定，本合同设计收费计取时已综合考虑各种费率变化、物价变动以及各种风险因素。</w:t>
      </w:r>
    </w:p>
    <w:p w14:paraId="58027DC8">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15、设计收费的支付</w:t>
      </w:r>
    </w:p>
    <w:p w14:paraId="355A67A8">
      <w:pPr>
        <w:spacing w:line="360" w:lineRule="auto"/>
        <w:ind w:firstLine="482" w:firstLineChars="200"/>
        <w:rPr>
          <w:rFonts w:hint="eastAsia" w:ascii="仿宋" w:hAnsi="仿宋" w:eastAsia="仿宋"/>
          <w:color w:val="auto"/>
          <w:sz w:val="24"/>
          <w:szCs w:val="24"/>
          <w:highlight w:val="none"/>
          <w:lang w:eastAsia="zh-CN"/>
        </w:rPr>
      </w:pPr>
      <w:r>
        <w:rPr>
          <w:rFonts w:hint="eastAsia" w:ascii="宋体" w:hAnsi="宋体" w:eastAsia="宋体"/>
          <w:b/>
          <w:snapToGrid w:val="0"/>
          <w:color w:val="auto"/>
          <w:sz w:val="24"/>
          <w:szCs w:val="24"/>
          <w:highlight w:val="none"/>
          <w:lang w:eastAsia="zh-CN"/>
        </w:rPr>
        <w:t>15.1</w:t>
      </w:r>
      <w:r>
        <w:rPr>
          <w:rFonts w:hint="eastAsia" w:ascii="宋体" w:hAnsi="宋体" w:eastAsia="宋体"/>
          <w:snapToGrid w:val="0"/>
          <w:color w:val="auto"/>
          <w:sz w:val="24"/>
          <w:szCs w:val="24"/>
          <w:highlight w:val="none"/>
          <w:lang w:eastAsia="zh-CN"/>
        </w:rPr>
        <w:t>甲乙双方确认，根据项目的资金状况及工作进度支付本合同设计费，在资金到位的情况下根据乙方提供的设计成果文件，分阶段支付给乙方主办方。如项目融资模式等发生变化，甲乙双方可另行签订补充协议对支付条款进行调整明确。</w:t>
      </w:r>
    </w:p>
    <w:p w14:paraId="40C0C85F">
      <w:pPr>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15.2</w:t>
      </w:r>
      <w:r>
        <w:rPr>
          <w:rFonts w:hint="eastAsia" w:ascii="宋体" w:hAnsi="宋体" w:eastAsia="宋体"/>
          <w:snapToGrid w:val="0"/>
          <w:color w:val="auto"/>
          <w:sz w:val="24"/>
          <w:szCs w:val="24"/>
          <w:highlight w:val="none"/>
          <w:lang w:eastAsia="zh-CN"/>
        </w:rPr>
        <w:t>乙方主办方按本合同约定提交履约保函后，可按甲方的财务管理制度提交申请支付文件资料，经甲方审核合格后，甲方支付</w:t>
      </w:r>
      <w:r>
        <w:rPr>
          <w:rFonts w:hint="eastAsia" w:ascii="宋体" w:hAnsi="宋体" w:eastAsia="宋体"/>
          <w:bCs/>
          <w:snapToGrid w:val="0"/>
          <w:color w:val="auto"/>
          <w:sz w:val="24"/>
          <w:szCs w:val="24"/>
          <w:highlight w:val="none"/>
          <w:lang w:eastAsia="zh-CN"/>
        </w:rPr>
        <w:t>设计费暂定价</w:t>
      </w:r>
      <w:r>
        <w:rPr>
          <w:rFonts w:hint="eastAsia" w:ascii="宋体" w:hAnsi="宋体" w:eastAsia="宋体"/>
          <w:snapToGrid w:val="0"/>
          <w:color w:val="auto"/>
          <w:sz w:val="24"/>
          <w:szCs w:val="24"/>
          <w:highlight w:val="none"/>
          <w:lang w:eastAsia="zh-CN"/>
        </w:rPr>
        <w:t>的10%作为首付款。本合同开始履行后，首付款立即抵作设计费并计入合同进度款。后续设计费支付节点及比例如下：</w:t>
      </w:r>
    </w:p>
    <w:p w14:paraId="6E9A73AF">
      <w:pPr>
        <w:tabs>
          <w:tab w:val="left" w:pos="3060"/>
        </w:tabs>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15.2.1工程部分设计费</w:t>
      </w:r>
    </w:p>
    <w:p w14:paraId="3D1F95E0">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（1）乙方提交方案设计成果文件并</w:t>
      </w:r>
      <w:r>
        <w:rPr>
          <w:rFonts w:hint="eastAsia" w:ascii="宋体" w:hAnsi="宋体" w:eastAsia="宋体"/>
          <w:snapToGrid w:val="0"/>
          <w:color w:val="auto"/>
          <w:sz w:val="24"/>
          <w:szCs w:val="24"/>
          <w:highlight w:val="none"/>
          <w:u w:val="single"/>
          <w:lang w:val="en-US" w:eastAsia="zh-CN"/>
        </w:rPr>
        <w:t>经甲方书面确认后</w:t>
      </w:r>
      <w:r>
        <w:rPr>
          <w:rFonts w:hint="eastAsia" w:ascii="宋体" w:hAnsi="宋体" w:eastAsia="宋体"/>
          <w:snapToGrid w:val="0"/>
          <w:color w:val="auto"/>
          <w:sz w:val="24"/>
          <w:szCs w:val="24"/>
          <w:highlight w:val="none"/>
          <w:u w:val="single"/>
          <w:lang w:eastAsia="zh-CN"/>
        </w:rPr>
        <w:t>，乙方按合同约定提交申请支付的文件资料，报甲方审核合格后支付至工程设计费暂定价的20%（工程设计费总额暂定价的10%的首付款全部用于抵扣本期进度款）。</w:t>
      </w:r>
    </w:p>
    <w:p w14:paraId="14914A56">
      <w:pPr>
        <w:adjustRightInd w:val="0"/>
        <w:snapToGrid w:val="0"/>
        <w:spacing w:line="360" w:lineRule="auto"/>
        <w:ind w:right="11" w:firstLine="482"/>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（2）乙方提交初步设计成果文件并获得初步设计审查通过</w:t>
      </w:r>
      <w:r>
        <w:rPr>
          <w:rFonts w:hint="eastAsia" w:ascii="宋体" w:hAnsi="宋体" w:eastAsia="宋体"/>
          <w:snapToGrid w:val="0"/>
          <w:color w:val="auto"/>
          <w:sz w:val="24"/>
          <w:szCs w:val="24"/>
          <w:highlight w:val="none"/>
          <w:u w:val="single"/>
          <w:lang w:val="en-US" w:eastAsia="zh-CN"/>
        </w:rPr>
        <w:t>并取得相关批复文件</w:t>
      </w:r>
      <w:r>
        <w:rPr>
          <w:rFonts w:hint="eastAsia" w:ascii="宋体" w:hAnsi="宋体" w:eastAsia="宋体"/>
          <w:snapToGrid w:val="0"/>
          <w:color w:val="auto"/>
          <w:sz w:val="24"/>
          <w:szCs w:val="24"/>
          <w:highlight w:val="none"/>
          <w:u w:val="single"/>
          <w:lang w:eastAsia="zh-CN"/>
        </w:rPr>
        <w:t>后，乙方按合同约定提交申请支付的文件资料，报甲方审核后支付至工程设计费暂定价的40%。</w:t>
      </w:r>
    </w:p>
    <w:p w14:paraId="6C8D199E">
      <w:pPr>
        <w:adjustRightInd w:val="0"/>
        <w:snapToGrid w:val="0"/>
        <w:spacing w:line="360" w:lineRule="auto"/>
        <w:ind w:right="11" w:firstLine="482"/>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（3）乙方提交初步设计概算成果文件并概算批复后，乙方按合同约定提交申请支付的文件资料，报甲方审核后支付至工程设计费暂定价的</w:t>
      </w:r>
      <w:r>
        <w:rPr>
          <w:rFonts w:hint="eastAsia" w:ascii="宋体" w:hAnsi="宋体" w:eastAsia="宋体"/>
          <w:snapToGrid w:val="0"/>
          <w:color w:val="auto"/>
          <w:sz w:val="24"/>
          <w:szCs w:val="24"/>
          <w:highlight w:val="none"/>
          <w:u w:val="single"/>
          <w:lang w:val="en-US" w:eastAsia="zh-CN"/>
        </w:rPr>
        <w:t>60%</w:t>
      </w:r>
      <w:r>
        <w:rPr>
          <w:rFonts w:hint="eastAsia" w:ascii="宋体" w:hAnsi="宋体" w:eastAsia="宋体"/>
          <w:snapToGrid w:val="0"/>
          <w:color w:val="auto"/>
          <w:sz w:val="24"/>
          <w:szCs w:val="24"/>
          <w:highlight w:val="none"/>
          <w:u w:val="single"/>
          <w:lang w:eastAsia="zh-CN"/>
        </w:rPr>
        <w:t>。</w:t>
      </w:r>
    </w:p>
    <w:p w14:paraId="6535D680">
      <w:pPr>
        <w:adjustRightInd w:val="0"/>
        <w:snapToGrid w:val="0"/>
        <w:spacing w:line="360" w:lineRule="auto"/>
        <w:ind w:right="11" w:firstLine="482"/>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（4）乙方提交全部成果文件并配合施工图设计单位完成全部施工图</w:t>
      </w:r>
      <w:r>
        <w:rPr>
          <w:rFonts w:hint="eastAsia" w:ascii="宋体" w:hAnsi="宋体" w:eastAsia="宋体"/>
          <w:snapToGrid w:val="0"/>
          <w:color w:val="auto"/>
          <w:sz w:val="24"/>
          <w:szCs w:val="24"/>
          <w:highlight w:val="none"/>
          <w:u w:val="single"/>
          <w:lang w:val="en-US" w:eastAsia="zh-CN"/>
        </w:rPr>
        <w:t>设计并取得施工图审查合格证</w:t>
      </w:r>
      <w:r>
        <w:rPr>
          <w:rFonts w:hint="eastAsia" w:ascii="宋体" w:hAnsi="宋体" w:eastAsia="宋体"/>
          <w:snapToGrid w:val="0"/>
          <w:color w:val="auto"/>
          <w:sz w:val="24"/>
          <w:szCs w:val="24"/>
          <w:highlight w:val="none"/>
          <w:u w:val="single"/>
          <w:lang w:eastAsia="zh-CN"/>
        </w:rPr>
        <w:t>后，乙方按合同约定提交申请支付的文件资料，报甲方审核后支付至工程设计费最终合同价的</w:t>
      </w:r>
      <w:r>
        <w:rPr>
          <w:rFonts w:hint="eastAsia" w:ascii="宋体" w:hAnsi="宋体" w:eastAsia="宋体"/>
          <w:snapToGrid w:val="0"/>
          <w:color w:val="auto"/>
          <w:sz w:val="24"/>
          <w:szCs w:val="24"/>
          <w:highlight w:val="none"/>
          <w:u w:val="single"/>
          <w:lang w:val="en-US" w:eastAsia="zh-CN"/>
        </w:rPr>
        <w:t>80</w:t>
      </w:r>
      <w:r>
        <w:rPr>
          <w:rFonts w:hint="eastAsia" w:ascii="宋体" w:hAnsi="宋体" w:eastAsia="宋体"/>
          <w:snapToGrid w:val="0"/>
          <w:color w:val="auto"/>
          <w:sz w:val="24"/>
          <w:szCs w:val="24"/>
          <w:highlight w:val="none"/>
          <w:u w:val="single"/>
          <w:lang w:eastAsia="zh-CN"/>
        </w:rPr>
        <w:t>%。</w:t>
      </w:r>
    </w:p>
    <w:p w14:paraId="195A0697">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5）待支付的剩余设计费，经甲方及项目结算终审单位审核结算价后，由甲方向乙方支付，支付金额为审核金额扣除甲方已支付金额后的差额，多退少补（最终支付金额以财政等部门审定的结算价为准）。注：以上各阶段支付乙方可根据项目具体情况分阶段申请或合并申请，但乙方应履行完毕各期相应的合同义务后方可申请，不得合并申请未履行完成部分的设计费。</w:t>
      </w:r>
    </w:p>
    <w:p w14:paraId="1EBF8ADB">
      <w:pPr>
        <w:adjustRightInd w:val="0"/>
        <w:snapToGrid w:val="0"/>
        <w:spacing w:line="360" w:lineRule="auto"/>
        <w:ind w:left="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15.3</w:t>
      </w:r>
      <w:r>
        <w:rPr>
          <w:rFonts w:hint="eastAsia" w:ascii="宋体" w:hAnsi="宋体" w:eastAsia="宋体"/>
          <w:snapToGrid w:val="0"/>
          <w:color w:val="auto"/>
          <w:sz w:val="24"/>
          <w:szCs w:val="24"/>
          <w:highlight w:val="none"/>
          <w:lang w:eastAsia="zh-CN"/>
        </w:rPr>
        <w:t>设计收费的结算</w:t>
      </w:r>
    </w:p>
    <w:p w14:paraId="3A96FA69">
      <w:pPr>
        <w:numPr>
          <w:ilvl w:val="0"/>
          <w:numId w:val="1"/>
        </w:numPr>
        <w:snapToGrid w:val="0"/>
        <w:spacing w:line="324" w:lineRule="auto"/>
        <w:ind w:firstLine="480" w:firstLineChars="200"/>
        <w:jc w:val="both"/>
        <w:rPr>
          <w:rFonts w:hint="eastAsia" w:ascii="宋体" w:hAnsi="宋体" w:eastAsia="宋体"/>
          <w:color w:val="auto"/>
          <w:kern w:val="2"/>
          <w:sz w:val="24"/>
          <w:szCs w:val="24"/>
          <w:highlight w:val="none"/>
          <w:u w:val="single"/>
          <w:lang w:eastAsia="zh-CN"/>
        </w:rPr>
      </w:pPr>
      <w:r>
        <w:rPr>
          <w:rFonts w:hint="eastAsia" w:ascii="宋体" w:hAnsi="宋体" w:eastAsia="宋体"/>
          <w:color w:val="auto"/>
          <w:kern w:val="2"/>
          <w:sz w:val="24"/>
          <w:szCs w:val="24"/>
          <w:highlight w:val="none"/>
          <w:lang w:eastAsia="zh-CN"/>
        </w:rPr>
        <w:t>按批复的概算中相应设计费核算最终结算价，</w:t>
      </w:r>
      <w:r>
        <w:rPr>
          <w:rFonts w:hint="eastAsia" w:ascii="宋体" w:hAnsi="宋体" w:eastAsia="宋体"/>
          <w:color w:val="auto"/>
          <w:kern w:val="2"/>
          <w:sz w:val="24"/>
          <w:szCs w:val="24"/>
          <w:highlight w:val="none"/>
          <w:u w:val="single"/>
          <w:lang w:eastAsia="zh-CN"/>
        </w:rPr>
        <w:t>工程设计费最终结算价=[批复概算中相应的设计费]×</w:t>
      </w:r>
      <w:r>
        <w:rPr>
          <w:rFonts w:hint="eastAsia" w:ascii="宋体" w:hAnsi="宋体" w:eastAsia="宋体" w:cs="宋体"/>
          <w:color w:val="auto"/>
          <w:kern w:val="2"/>
          <w:sz w:val="24"/>
          <w:szCs w:val="24"/>
          <w:highlight w:val="none"/>
          <w:u w:val="single"/>
          <w:lang w:eastAsia="zh-CN"/>
        </w:rPr>
        <w:t>[1-</w:t>
      </w:r>
      <w:r>
        <w:rPr>
          <w:rFonts w:hint="eastAsia" w:ascii="宋体" w:hAnsi="宋体" w:eastAsia="宋体" w:cs="宋体"/>
          <w:color w:val="auto"/>
          <w:kern w:val="2"/>
          <w:sz w:val="24"/>
          <w:szCs w:val="24"/>
          <w:highlight w:val="none"/>
          <w:u w:val="single"/>
          <w:lang w:val="en-US" w:eastAsia="zh-CN"/>
        </w:rPr>
        <w:t>25</w:t>
      </w:r>
      <w:r>
        <w:rPr>
          <w:rFonts w:hint="eastAsia" w:ascii="宋体" w:hAnsi="宋体" w:eastAsia="宋体" w:cs="宋体"/>
          <w:color w:val="auto"/>
          <w:kern w:val="2"/>
          <w:sz w:val="24"/>
          <w:szCs w:val="24"/>
          <w:highlight w:val="none"/>
          <w:u w:val="single"/>
          <w:lang w:eastAsia="zh-CN"/>
        </w:rPr>
        <w:t>%（合同约定下浮率）]</w:t>
      </w:r>
      <w:r>
        <w:rPr>
          <w:rFonts w:hint="eastAsia" w:ascii="宋体" w:hAnsi="宋体" w:eastAsia="宋体"/>
          <w:color w:val="auto"/>
          <w:kern w:val="2"/>
          <w:sz w:val="24"/>
          <w:szCs w:val="24"/>
          <w:highlight w:val="none"/>
          <w:u w:val="single"/>
          <w:lang w:eastAsia="zh-CN"/>
        </w:rPr>
        <w:t xml:space="preserve"> ×[1-  %（设计费投标下浮率）]。[注：设计费投标下浮率=（设计费最高投标限价-设计费中标价）/设计费最高投标限价×100%]</w:t>
      </w:r>
    </w:p>
    <w:p w14:paraId="5A74D498">
      <w:pPr>
        <w:numPr>
          <w:ilvl w:val="0"/>
          <w:numId w:val="1"/>
        </w:numPr>
        <w:snapToGrid w:val="0"/>
        <w:spacing w:line="324" w:lineRule="auto"/>
        <w:ind w:firstLine="480" w:firstLineChars="200"/>
        <w:jc w:val="both"/>
        <w:rPr>
          <w:rFonts w:hint="eastAsia"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lang w:eastAsia="zh-CN"/>
        </w:rPr>
        <w:t>建筑信息模型（BIM）技术应用费按中标单价×建筑面积计算。</w:t>
      </w:r>
    </w:p>
    <w:p w14:paraId="7EE2F990">
      <w:pPr>
        <w:adjustRightInd w:val="0"/>
        <w:snapToGrid w:val="0"/>
        <w:spacing w:line="360" w:lineRule="auto"/>
        <w:ind w:right="11" w:firstLine="480" w:firstLineChars="200"/>
        <w:jc w:val="both"/>
        <w:rPr>
          <w:rFonts w:hint="eastAsia" w:ascii="宋体" w:hAnsi="宋体" w:eastAsia="宋体"/>
          <w:color w:val="auto"/>
          <w:kern w:val="2"/>
          <w:sz w:val="24"/>
          <w:szCs w:val="24"/>
          <w:highlight w:val="none"/>
          <w:lang w:eastAsia="zh-CN"/>
        </w:rPr>
      </w:pPr>
      <w:r>
        <w:rPr>
          <w:rFonts w:hint="eastAsia" w:ascii="宋体" w:hAnsi="宋体" w:eastAsia="宋体"/>
          <w:snapToGrid w:val="0"/>
          <w:color w:val="auto"/>
          <w:sz w:val="24"/>
          <w:szCs w:val="24"/>
          <w:highlight w:val="none"/>
          <w:lang w:eastAsia="zh-CN"/>
        </w:rPr>
        <w:t>（3）结算时，</w:t>
      </w:r>
      <w:r>
        <w:rPr>
          <w:rFonts w:hint="eastAsia" w:ascii="宋体" w:hAnsi="宋体" w:eastAsia="宋体"/>
          <w:color w:val="auto"/>
          <w:kern w:val="2"/>
          <w:sz w:val="24"/>
          <w:szCs w:val="24"/>
          <w:highlight w:val="none"/>
          <w:lang w:eastAsia="zh-CN"/>
        </w:rPr>
        <w:t>若乙方按合同约定完成全部工作内容，</w:t>
      </w:r>
      <w:r>
        <w:rPr>
          <w:rFonts w:hint="eastAsia" w:ascii="宋体" w:hAnsi="宋体" w:eastAsia="宋体"/>
          <w:snapToGrid w:val="0"/>
          <w:color w:val="auto"/>
          <w:sz w:val="24"/>
          <w:szCs w:val="24"/>
          <w:highlight w:val="none"/>
          <w:lang w:eastAsia="zh-CN"/>
        </w:rPr>
        <w:t>并按规定提交全部技术档案资料</w:t>
      </w:r>
      <w:r>
        <w:rPr>
          <w:rFonts w:hint="eastAsia" w:ascii="宋体" w:hAnsi="宋体" w:eastAsia="宋体"/>
          <w:color w:val="auto"/>
          <w:kern w:val="2"/>
          <w:sz w:val="24"/>
          <w:szCs w:val="24"/>
          <w:highlight w:val="none"/>
          <w:lang w:eastAsia="zh-CN"/>
        </w:rPr>
        <w:t>且经甲方合同服务评价（详见附件10《设</w:t>
      </w:r>
      <w:r>
        <w:rPr>
          <w:rFonts w:hint="eastAsia" w:ascii="宋体" w:hAnsi="宋体" w:eastAsia="宋体"/>
          <w:bCs/>
          <w:snapToGrid w:val="0"/>
          <w:color w:val="auto"/>
          <w:sz w:val="24"/>
          <w:szCs w:val="24"/>
          <w:highlight w:val="none"/>
          <w:lang w:eastAsia="zh-CN"/>
        </w:rPr>
        <w:t>计工作考核评价表</w:t>
      </w:r>
      <w:r>
        <w:rPr>
          <w:rFonts w:hint="eastAsia" w:ascii="宋体" w:hAnsi="宋体" w:eastAsia="宋体"/>
          <w:color w:val="auto"/>
          <w:kern w:val="2"/>
          <w:sz w:val="24"/>
          <w:szCs w:val="24"/>
          <w:highlight w:val="none"/>
          <w:lang w:eastAsia="zh-CN"/>
        </w:rPr>
        <w:t>》）</w:t>
      </w:r>
      <w:r>
        <w:rPr>
          <w:rFonts w:hint="eastAsia" w:ascii="宋体" w:hAnsi="宋体" w:eastAsia="宋体"/>
          <w:snapToGrid w:val="0"/>
          <w:color w:val="auto"/>
          <w:kern w:val="2"/>
          <w:sz w:val="24"/>
          <w:szCs w:val="24"/>
          <w:highlight w:val="none"/>
          <w:lang w:eastAsia="zh-CN"/>
        </w:rPr>
        <w:t>得分在90分或以上的，本项目设计费按设计结算价全额支付；</w:t>
      </w:r>
      <w:r>
        <w:rPr>
          <w:rFonts w:hint="eastAsia" w:ascii="宋体" w:hAnsi="宋体" w:eastAsia="宋体"/>
          <w:color w:val="auto"/>
          <w:kern w:val="2"/>
          <w:sz w:val="24"/>
          <w:szCs w:val="24"/>
          <w:highlight w:val="none"/>
          <w:lang w:eastAsia="zh-CN"/>
        </w:rPr>
        <w:t>合同服务评价</w:t>
      </w:r>
      <w:r>
        <w:rPr>
          <w:rFonts w:hint="eastAsia" w:ascii="宋体" w:hAnsi="宋体" w:eastAsia="宋体"/>
          <w:snapToGrid w:val="0"/>
          <w:color w:val="auto"/>
          <w:kern w:val="2"/>
          <w:sz w:val="24"/>
          <w:szCs w:val="24"/>
          <w:highlight w:val="none"/>
          <w:lang w:eastAsia="zh-CN"/>
        </w:rPr>
        <w:t>得分在90分以下的，合同结算价=按全额计算的设计费结算价×[1-(90-项目评价得分)%]</w:t>
      </w:r>
      <w:r>
        <w:rPr>
          <w:rFonts w:hint="eastAsia" w:ascii="宋体" w:hAnsi="宋体" w:eastAsia="宋体"/>
          <w:color w:val="auto"/>
          <w:kern w:val="2"/>
          <w:sz w:val="24"/>
          <w:szCs w:val="24"/>
          <w:highlight w:val="none"/>
          <w:lang w:eastAsia="zh-CN"/>
        </w:rPr>
        <w:t>；若部分工作内容实际未完成则以所占工作量比例予以扣除该部分费用，最终以结算终审单位审核后的终审价为准。</w:t>
      </w:r>
    </w:p>
    <w:p w14:paraId="5D8559A2">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color w:val="auto"/>
          <w:kern w:val="2"/>
          <w:sz w:val="24"/>
          <w:szCs w:val="24"/>
          <w:highlight w:val="none"/>
          <w:lang w:eastAsia="zh-CN"/>
        </w:rPr>
        <w:t>（4）</w:t>
      </w:r>
      <w:r>
        <w:rPr>
          <w:rFonts w:hint="eastAsia" w:ascii="宋体" w:hAnsi="宋体" w:eastAsia="宋体"/>
          <w:snapToGrid w:val="0"/>
          <w:color w:val="auto"/>
          <w:sz w:val="24"/>
          <w:szCs w:val="24"/>
          <w:highlight w:val="none"/>
          <w:lang w:eastAsia="zh-CN"/>
        </w:rPr>
        <w:t>本工程概算批复之日起60日内，乙方应向甲方提交本合同的结算书及完整的结算资料；否则，甲方将自行进行本合同结算并上报，结算终审部门据此审定的金额即为本合同设计收费的结算金额。财政等结算终审单位审核完成之日起30日内，甲乙双方签订补充合同完成全款支付。</w:t>
      </w:r>
    </w:p>
    <w:p w14:paraId="6355F078">
      <w:pPr>
        <w:widowControl/>
        <w:adjustRightInd w:val="0"/>
        <w:snapToGrid w:val="0"/>
        <w:spacing w:line="360" w:lineRule="auto"/>
        <w:ind w:firstLine="48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15.4</w:t>
      </w:r>
      <w:r>
        <w:rPr>
          <w:rFonts w:hint="eastAsia" w:ascii="宋体" w:hAnsi="宋体" w:eastAsia="宋体"/>
          <w:snapToGrid w:val="0"/>
          <w:color w:val="auto"/>
          <w:sz w:val="24"/>
          <w:szCs w:val="24"/>
          <w:highlight w:val="none"/>
          <w:lang w:eastAsia="zh-CN"/>
        </w:rPr>
        <w:t>乙方分包项目的设计费已全部包含在本合同设计收费总额之内，并纳入本合同一并结算。乙方承诺：保证</w:t>
      </w:r>
      <w:r>
        <w:rPr>
          <w:rFonts w:hint="eastAsia" w:ascii="宋体" w:hAnsi="宋体" w:eastAsia="宋体"/>
          <w:bCs/>
          <w:snapToGrid w:val="0"/>
          <w:color w:val="auto"/>
          <w:sz w:val="24"/>
          <w:szCs w:val="24"/>
          <w:highlight w:val="none"/>
          <w:lang w:eastAsia="zh-CN"/>
        </w:rPr>
        <w:t>按照本合同及分包合同的约定及时向</w:t>
      </w:r>
      <w:r>
        <w:rPr>
          <w:rFonts w:hint="eastAsia" w:ascii="宋体" w:hAnsi="宋体" w:eastAsia="宋体"/>
          <w:snapToGrid w:val="0"/>
          <w:color w:val="auto"/>
          <w:sz w:val="24"/>
          <w:szCs w:val="24"/>
          <w:highlight w:val="none"/>
          <w:lang w:eastAsia="zh-CN"/>
        </w:rPr>
        <w:t>乙方</w:t>
      </w:r>
      <w:r>
        <w:rPr>
          <w:rFonts w:hint="eastAsia" w:ascii="宋体" w:hAnsi="宋体" w:eastAsia="宋体"/>
          <w:bCs/>
          <w:snapToGrid w:val="0"/>
          <w:color w:val="auto"/>
          <w:sz w:val="24"/>
          <w:szCs w:val="24"/>
          <w:highlight w:val="none"/>
          <w:lang w:eastAsia="zh-CN"/>
        </w:rPr>
        <w:t>分包单位支付设计费，甲方有权对乙方的付款情况予以监督。</w:t>
      </w:r>
    </w:p>
    <w:p w14:paraId="59D63E59">
      <w:pPr>
        <w:widowControl/>
        <w:adjustRightInd w:val="0"/>
        <w:snapToGrid w:val="0"/>
        <w:spacing w:line="360" w:lineRule="auto"/>
        <w:ind w:firstLine="482" w:firstLineChars="200"/>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15.5</w:t>
      </w:r>
      <w:r>
        <w:rPr>
          <w:rFonts w:hint="eastAsia" w:ascii="宋体" w:hAnsi="宋体" w:eastAsia="宋体"/>
          <w:snapToGrid w:val="0"/>
          <w:color w:val="auto"/>
          <w:sz w:val="24"/>
          <w:szCs w:val="24"/>
          <w:highlight w:val="none"/>
          <w:lang w:eastAsia="zh-CN"/>
        </w:rPr>
        <w:t>乙方主办方每次领取款项前须按甲方的财务管理制度办理有关手续并向甲方出具</w:t>
      </w:r>
      <w:r>
        <w:rPr>
          <w:rFonts w:hint="eastAsia" w:ascii="宋体" w:hAnsi="宋体" w:eastAsia="宋体"/>
          <w:snapToGrid w:val="0"/>
          <w:color w:val="auto"/>
          <w:sz w:val="24"/>
          <w:highlight w:val="none"/>
          <w:lang w:eastAsia="zh-CN"/>
        </w:rPr>
        <w:t>等额合法有效的发票，因乙方未及时提供符合要求的发票等原因致使甲方逾期付款的，责任由乙方承担；乙方逾期提供发票给甲方的，甲方可以顺延付款日期；乙方未提供发票给甲方的，甲方有权拒绝付款；因乙方提供的发票不规范、不合法引起税务问题的，乙方应承担向甲方赔偿的责任，包括但不限于承担相关税款、滞纳金、罚款及相关损失等。</w:t>
      </w:r>
    </w:p>
    <w:p w14:paraId="74E146AE">
      <w:pPr>
        <w:widowControl/>
        <w:adjustRightInd w:val="0"/>
        <w:snapToGrid w:val="0"/>
        <w:spacing w:line="360" w:lineRule="auto"/>
        <w:ind w:firstLine="482" w:firstLineChars="200"/>
        <w:rPr>
          <w:rFonts w:hint="eastAsia" w:ascii="宋体" w:hAnsi="宋体" w:eastAsia="宋体"/>
          <w:snapToGrid w:val="0"/>
          <w:color w:val="auto"/>
          <w:sz w:val="24"/>
          <w:szCs w:val="24"/>
          <w:highlight w:val="none"/>
          <w:u w:val="single"/>
          <w:lang w:eastAsia="zh-CN"/>
        </w:rPr>
      </w:pPr>
      <w:r>
        <w:rPr>
          <w:rFonts w:hint="eastAsia" w:ascii="宋体" w:hAnsi="宋体" w:eastAsia="宋体"/>
          <w:b/>
          <w:snapToGrid w:val="0"/>
          <w:color w:val="auto"/>
          <w:sz w:val="24"/>
          <w:szCs w:val="24"/>
          <w:highlight w:val="none"/>
          <w:lang w:eastAsia="zh-CN"/>
        </w:rPr>
        <w:t>15.6甲方所需的</w:t>
      </w:r>
      <w:r>
        <w:rPr>
          <w:rFonts w:hint="eastAsia" w:ascii="宋体" w:hAnsi="宋体" w:eastAsia="宋体"/>
          <w:snapToGrid w:val="0"/>
          <w:color w:val="auto"/>
          <w:sz w:val="24"/>
          <w:szCs w:val="24"/>
          <w:highlight w:val="none"/>
          <w:u w:val="single"/>
          <w:lang w:eastAsia="zh-CN"/>
        </w:rPr>
        <w:t>方案设计成果文件加晒费含在合同总价中，甲方不再另行支付。</w:t>
      </w:r>
      <w:r>
        <w:rPr>
          <w:rFonts w:hint="eastAsia" w:ascii="宋体" w:hAnsi="宋体" w:eastAsia="宋体"/>
          <w:b/>
          <w:snapToGrid w:val="0"/>
          <w:color w:val="auto"/>
          <w:sz w:val="24"/>
          <w:szCs w:val="24"/>
          <w:highlight w:val="none"/>
          <w:lang w:eastAsia="zh-CN"/>
        </w:rPr>
        <w:t>其他相关方</w:t>
      </w:r>
      <w:r>
        <w:rPr>
          <w:rFonts w:hint="eastAsia" w:ascii="宋体" w:hAnsi="宋体" w:eastAsia="宋体"/>
          <w:snapToGrid w:val="0"/>
          <w:color w:val="auto"/>
          <w:sz w:val="24"/>
          <w:szCs w:val="24"/>
          <w:highlight w:val="none"/>
          <w:lang w:eastAsia="zh-CN"/>
        </w:rPr>
        <w:t>需要乙方晒制的超过合同约定</w:t>
      </w:r>
      <w:r>
        <w:rPr>
          <w:rFonts w:hint="eastAsia" w:ascii="宋体" w:hAnsi="宋体" w:eastAsia="宋体"/>
          <w:snapToGrid w:val="0"/>
          <w:color w:val="auto"/>
          <w:sz w:val="24"/>
          <w:szCs w:val="24"/>
          <w:highlight w:val="none"/>
          <w:u w:val="single"/>
          <w:lang w:eastAsia="zh-CN"/>
        </w:rPr>
        <w:t>最大</w:t>
      </w:r>
      <w:r>
        <w:rPr>
          <w:rFonts w:hint="eastAsia" w:ascii="宋体" w:hAnsi="宋体" w:eastAsia="宋体"/>
          <w:snapToGrid w:val="0"/>
          <w:color w:val="auto"/>
          <w:sz w:val="24"/>
          <w:szCs w:val="24"/>
          <w:highlight w:val="none"/>
          <w:lang w:eastAsia="zh-CN"/>
        </w:rPr>
        <w:t>数量的设计成果文件，乙方按照双方约定的价格清单向相关方加收工本费；没有约定价格清单的，</w:t>
      </w:r>
      <w:r>
        <w:rPr>
          <w:rFonts w:hint="eastAsia" w:ascii="宋体" w:hAnsi="宋体" w:eastAsia="宋体"/>
          <w:snapToGrid w:val="0"/>
          <w:color w:val="auto"/>
          <w:sz w:val="24"/>
          <w:szCs w:val="24"/>
          <w:highlight w:val="none"/>
          <w:u w:val="single"/>
          <w:lang w:eastAsia="zh-CN"/>
        </w:rPr>
        <w:t>乙方</w:t>
      </w:r>
      <w:r>
        <w:rPr>
          <w:rFonts w:hint="eastAsia" w:ascii="宋体" w:hAnsi="宋体" w:eastAsia="宋体"/>
          <w:snapToGrid w:val="0"/>
          <w:color w:val="auto"/>
          <w:sz w:val="24"/>
          <w:szCs w:val="24"/>
          <w:highlight w:val="none"/>
          <w:lang w:eastAsia="zh-CN"/>
        </w:rPr>
        <w:t>按以下标准</w:t>
      </w:r>
      <w:r>
        <w:rPr>
          <w:rFonts w:hint="eastAsia" w:ascii="宋体" w:hAnsi="宋体" w:eastAsia="宋体"/>
          <w:snapToGrid w:val="0"/>
          <w:color w:val="auto"/>
          <w:sz w:val="24"/>
          <w:szCs w:val="24"/>
          <w:highlight w:val="none"/>
          <w:u w:val="single"/>
          <w:lang w:eastAsia="zh-CN"/>
        </w:rPr>
        <w:t>计收工本费</w:t>
      </w:r>
      <w:r>
        <w:rPr>
          <w:rFonts w:hint="eastAsia" w:ascii="宋体" w:hAnsi="宋体" w:eastAsia="宋体"/>
          <w:snapToGrid w:val="0"/>
          <w:color w:val="auto"/>
          <w:sz w:val="24"/>
          <w:szCs w:val="24"/>
          <w:highlight w:val="none"/>
          <w:lang w:eastAsia="zh-CN"/>
        </w:rPr>
        <w:t>：A0：4元/张；A1：2元/张；A2：1元/张；A3：0.8元/张；A4：0.5元/张。非标图纸按图面大小换算成A2图纸数量，甲方按A2图纸的费用标准支付费用。</w:t>
      </w:r>
    </w:p>
    <w:p w14:paraId="6F6EA58C">
      <w:pPr>
        <w:pStyle w:val="27"/>
        <w:spacing w:after="0" w:line="360" w:lineRule="auto"/>
        <w:ind w:left="0" w:leftChars="0" w:firstLine="660" w:firstLineChars="275"/>
        <w:rPr>
          <w:rFonts w:hint="eastAsia" w:ascii="宋体" w:hAnsi="宋体" w:eastAsia="宋体"/>
          <w:snapToGrid w:val="0"/>
          <w:color w:val="auto"/>
          <w:sz w:val="24"/>
          <w:highlight w:val="none"/>
          <w:u w:val="single"/>
          <w:lang w:eastAsia="zh-CN"/>
        </w:rPr>
      </w:pPr>
    </w:p>
    <w:p w14:paraId="5AB316F5">
      <w:pPr>
        <w:pStyle w:val="27"/>
        <w:adjustRightInd w:val="0"/>
        <w:snapToGrid w:val="0"/>
        <w:spacing w:after="0" w:line="360" w:lineRule="auto"/>
        <w:ind w:left="660" w:leftChars="300" w:firstLine="0" w:firstLineChars="0"/>
        <w:jc w:val="center"/>
        <w:rPr>
          <w:rFonts w:ascii="Webdings" w:hAnsi="Webdings" w:eastAsia="宋体" w:cs="Webdings"/>
          <w:b/>
          <w:snapToGrid w:val="0"/>
          <w:color w:val="auto"/>
          <w:sz w:val="30"/>
          <w:szCs w:val="30"/>
          <w:highlight w:val="none"/>
          <w:lang w:eastAsia="zh-CN"/>
        </w:rPr>
      </w:pPr>
    </w:p>
    <w:p w14:paraId="573F9885">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第九章  勘  察</w:t>
      </w:r>
    </w:p>
    <w:p w14:paraId="739AFBA7">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16、勘察范围</w:t>
      </w:r>
    </w:p>
    <w:p w14:paraId="6A8185A0">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16.1</w:t>
      </w:r>
      <w:r>
        <w:rPr>
          <w:rFonts w:hint="eastAsia" w:ascii="宋体" w:hAnsi="宋体" w:eastAsia="宋体"/>
          <w:snapToGrid w:val="0"/>
          <w:color w:val="auto"/>
          <w:sz w:val="24"/>
          <w:szCs w:val="24"/>
          <w:highlight w:val="none"/>
          <w:lang w:eastAsia="zh-CN"/>
        </w:rPr>
        <w:t>勘察依据</w:t>
      </w:r>
    </w:p>
    <w:p w14:paraId="664A85D1">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（1）中华人民共和国现行有关的法律、行政法规、司法解释、部门规章、相关的工程勘察技术规范、规定及标准，以及广东省、广州市现行有关的地方性法规、相关的工程勘察技术规范、规定及标准；</w:t>
      </w:r>
    </w:p>
    <w:p w14:paraId="674D4CC8">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（2）甲方提供的勘察任务书；</w:t>
      </w:r>
    </w:p>
    <w:p w14:paraId="53E851C1">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（3）本工程勘察许可等批文（复印件）；</w:t>
      </w:r>
    </w:p>
    <w:p w14:paraId="440D9A50">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（4）甲方提供由规划部门认可的用地红线和地形图；</w:t>
      </w:r>
    </w:p>
    <w:p w14:paraId="5C273B88">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本工程的基础资料，包括用地红线坐标（表）、现状地形图、场地标高、市政设施图的资料（绿化、道路、管线、建构筑物等）、勘察范围内地下管线图（包括电力、电讯电缆、煤气、自来水、污水等各种管道）以及人防设施、洞室等具体位置分布图；</w:t>
      </w:r>
    </w:p>
    <w:p w14:paraId="754DCEFF">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（6）勘察范围的建筑总平面布置图、勘察技术要求、技术资料；</w:t>
      </w:r>
    </w:p>
    <w:p w14:paraId="36C61A9F">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（7）甲方关于设计、图档、图文、工程等相关管理办法；</w:t>
      </w:r>
    </w:p>
    <w:p w14:paraId="6BA45C43">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（8）甲乙双方签署的合同及其附件和补充文件；</w:t>
      </w:r>
    </w:p>
    <w:p w14:paraId="28C15E0C">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（9）设计和建设过程中的政府审批意见，政府或甲方委托或组织的评审机构（会议）提出的或甲方发出的阶段性书面意见，双方来往的各类书面文件、会议纪要等；</w:t>
      </w:r>
    </w:p>
    <w:p w14:paraId="17660207">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（10）中标通知书或甲方的勘察任务委托书。</w:t>
      </w:r>
    </w:p>
    <w:p w14:paraId="14445739">
      <w:pPr>
        <w:pStyle w:val="27"/>
        <w:spacing w:after="0"/>
        <w:ind w:left="0" w:leftChars="0" w:firstLine="480"/>
        <w:rPr>
          <w:color w:val="auto"/>
          <w:highlight w:val="none"/>
          <w:lang w:eastAsia="zh-CN"/>
        </w:rPr>
      </w:pPr>
      <w:r>
        <w:rPr>
          <w:rFonts w:hint="eastAsia" w:ascii="宋体" w:hAnsi="宋体" w:eastAsia="宋体"/>
          <w:snapToGrid w:val="0"/>
          <w:color w:val="auto"/>
          <w:sz w:val="24"/>
          <w:highlight w:val="none"/>
          <w:lang w:eastAsia="zh-CN"/>
        </w:rPr>
        <w:t>（11）国家、省、市、区不时颁布的、适用于本项目的其他规范、标准等。</w:t>
      </w:r>
    </w:p>
    <w:p w14:paraId="2687F89F">
      <w:pPr>
        <w:widowControl/>
        <w:adjustRightInd w:val="0"/>
        <w:snapToGrid w:val="0"/>
        <w:spacing w:line="360" w:lineRule="auto"/>
        <w:ind w:firstLine="482" w:firstLineChars="200"/>
        <w:rPr>
          <w:rFonts w:hint="eastAsia" w:ascii="宋体" w:hAnsi="宋体" w:eastAsia="宋体"/>
          <w:snapToGrid w:val="0"/>
          <w:color w:val="auto"/>
          <w:sz w:val="24"/>
          <w:szCs w:val="24"/>
          <w:highlight w:val="none"/>
          <w:u w:val="single"/>
          <w:lang w:eastAsia="zh-CN"/>
        </w:rPr>
      </w:pPr>
      <w:r>
        <w:rPr>
          <w:rFonts w:hint="eastAsia" w:ascii="宋体" w:hAnsi="宋体" w:eastAsia="宋体"/>
          <w:b/>
          <w:snapToGrid w:val="0"/>
          <w:color w:val="auto"/>
          <w:sz w:val="24"/>
          <w:szCs w:val="24"/>
          <w:highlight w:val="none"/>
          <w:lang w:eastAsia="zh-CN"/>
        </w:rPr>
        <w:t>16.2</w:t>
      </w:r>
      <w:bookmarkStart w:id="11" w:name="_Toc363571572"/>
      <w:bookmarkStart w:id="12" w:name="_Toc6156"/>
      <w:r>
        <w:rPr>
          <w:rFonts w:hint="eastAsia" w:ascii="宋体" w:hAnsi="宋体" w:eastAsia="宋体"/>
          <w:snapToGrid w:val="0"/>
          <w:color w:val="auto"/>
          <w:sz w:val="24"/>
          <w:szCs w:val="24"/>
          <w:highlight w:val="none"/>
          <w:u w:val="single"/>
          <w:lang w:eastAsia="zh-CN"/>
        </w:rPr>
        <w:t>工程勘察要求</w:t>
      </w:r>
      <w:bookmarkEnd w:id="11"/>
      <w:bookmarkEnd w:id="12"/>
    </w:p>
    <w:p w14:paraId="495F70C2">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各阶段的勘察工作除遵照勘察设计合同、项目建议书、现行法律法规和规范标准、政府有关部门的规定和审批意见等有关规定等外，还需要做到招标人提出的下列设计要求（包括并不限于）。</w:t>
      </w:r>
    </w:p>
    <w:p w14:paraId="627E9EE7">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w:t>
      </w:r>
      <w:r>
        <w:rPr>
          <w:rFonts w:hint="eastAsia" w:ascii="宋体" w:hAnsi="宋体" w:eastAsia="宋体"/>
          <w:color w:val="auto"/>
          <w:sz w:val="24"/>
          <w:highlight w:val="none"/>
          <w:u w:val="single"/>
          <w:lang w:val="en-US" w:eastAsia="zh-CN"/>
        </w:rPr>
        <w:t>1</w:t>
      </w:r>
      <w:r>
        <w:rPr>
          <w:rFonts w:hint="eastAsia" w:ascii="宋体" w:hAnsi="宋体" w:eastAsia="宋体"/>
          <w:color w:val="auto"/>
          <w:sz w:val="24"/>
          <w:highlight w:val="none"/>
          <w:u w:val="single"/>
          <w:lang w:eastAsia="zh-CN"/>
        </w:rPr>
        <w:t>）地质勘察阶段包括初勘、详勘阶段及超前钻，各阶段地质勘察内容与要求执行《岩土工程勘察规范》（GB50021-2001）及国家现行有关标准、规范，建设单位勘察管理办法的规定。</w:t>
      </w:r>
    </w:p>
    <w:p w14:paraId="2EE3BD45">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w:t>
      </w:r>
      <w:r>
        <w:rPr>
          <w:rFonts w:hint="eastAsia" w:ascii="宋体" w:hAnsi="宋体" w:eastAsia="宋体"/>
          <w:color w:val="auto"/>
          <w:sz w:val="24"/>
          <w:highlight w:val="none"/>
          <w:u w:val="single"/>
          <w:lang w:val="en-US" w:eastAsia="zh-CN"/>
        </w:rPr>
        <w:t>2</w:t>
      </w:r>
      <w:r>
        <w:rPr>
          <w:rFonts w:hint="eastAsia" w:ascii="宋体" w:hAnsi="宋体" w:eastAsia="宋体"/>
          <w:color w:val="auto"/>
          <w:sz w:val="24"/>
          <w:highlight w:val="none"/>
          <w:u w:val="single"/>
          <w:lang w:eastAsia="zh-CN"/>
        </w:rPr>
        <w:t>）设计单位需对勘察成果予以分析，提出是否需要验证的建议和意见。</w:t>
      </w:r>
    </w:p>
    <w:p w14:paraId="59DBE200">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w:t>
      </w:r>
      <w:r>
        <w:rPr>
          <w:rFonts w:hint="eastAsia" w:ascii="宋体" w:hAnsi="宋体" w:eastAsia="宋体"/>
          <w:color w:val="auto"/>
          <w:sz w:val="24"/>
          <w:highlight w:val="none"/>
          <w:u w:val="single"/>
          <w:lang w:val="en-US" w:eastAsia="zh-CN"/>
        </w:rPr>
        <w:t>3</w:t>
      </w:r>
      <w:r>
        <w:rPr>
          <w:rFonts w:hint="eastAsia" w:ascii="宋体" w:hAnsi="宋体" w:eastAsia="宋体"/>
          <w:color w:val="auto"/>
          <w:sz w:val="24"/>
          <w:highlight w:val="none"/>
          <w:u w:val="single"/>
          <w:lang w:eastAsia="zh-CN"/>
        </w:rPr>
        <w:t>）针对项目场地采用的勘察技术方案（包括勘察手段、方法、工艺及原位测试、土工试验等），提出本次勘察工作的难点及建议。</w:t>
      </w:r>
    </w:p>
    <w:p w14:paraId="3AAA667D">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w:t>
      </w:r>
      <w:r>
        <w:rPr>
          <w:rFonts w:hint="eastAsia" w:ascii="宋体" w:hAnsi="宋体" w:eastAsia="宋体"/>
          <w:color w:val="auto"/>
          <w:sz w:val="24"/>
          <w:highlight w:val="none"/>
          <w:u w:val="single"/>
          <w:lang w:val="en-US" w:eastAsia="zh-CN"/>
        </w:rPr>
        <w:t>4</w:t>
      </w:r>
      <w:r>
        <w:rPr>
          <w:rFonts w:hint="eastAsia" w:ascii="宋体" w:hAnsi="宋体" w:eastAsia="宋体"/>
          <w:color w:val="auto"/>
          <w:sz w:val="24"/>
          <w:highlight w:val="none"/>
          <w:u w:val="single"/>
          <w:lang w:eastAsia="zh-CN"/>
        </w:rPr>
        <w:t>）满足设计工期要求，如果延误工期，严格按照合同专用条款的约定承担违约责任。</w:t>
      </w:r>
    </w:p>
    <w:p w14:paraId="1C80DE8C">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w:t>
      </w:r>
      <w:r>
        <w:rPr>
          <w:rFonts w:hint="eastAsia" w:ascii="宋体" w:hAnsi="宋体" w:eastAsia="宋体"/>
          <w:color w:val="auto"/>
          <w:sz w:val="24"/>
          <w:highlight w:val="none"/>
          <w:u w:val="single"/>
          <w:lang w:val="en-US" w:eastAsia="zh-CN"/>
        </w:rPr>
        <w:t>5</w:t>
      </w:r>
      <w:r>
        <w:rPr>
          <w:rFonts w:hint="eastAsia" w:ascii="宋体" w:hAnsi="宋体" w:eastAsia="宋体"/>
          <w:color w:val="auto"/>
          <w:sz w:val="24"/>
          <w:highlight w:val="none"/>
          <w:u w:val="single"/>
          <w:lang w:eastAsia="zh-CN"/>
        </w:rPr>
        <w:t>）勘察设计单位应当按照《广东省建设工程勘察设计管理条例》和相关标准开展勘察设计工作，应当建立和健全勘察设计质量保证体系，建立完善的勘察报告和设计文件的内部审查制度，加强勘察设计全过程的质量控制，明确各阶段的责任人。</w:t>
      </w:r>
    </w:p>
    <w:p w14:paraId="63D634B3">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lang w:eastAsia="zh-CN"/>
        </w:rPr>
        <w:t xml:space="preserve">）本次勘察任务以包干的形式完成，对于勘察过程中出现的相关问题由勘察单位主导解决，包括不限于借用场地勘探，相关费用已包含在综合单价中。 </w:t>
      </w:r>
    </w:p>
    <w:p w14:paraId="12C36823">
      <w:pPr>
        <w:adjustRightInd w:val="0"/>
        <w:snapToGrid w:val="0"/>
        <w:spacing w:line="360" w:lineRule="auto"/>
        <w:ind w:firstLine="480" w:firstLineChars="200"/>
        <w:rPr>
          <w:rFonts w:hint="eastAsia" w:ascii="宋体" w:hAnsi="宋体"/>
          <w:color w:val="auto"/>
          <w:sz w:val="24"/>
          <w:highlight w:val="none"/>
          <w:u w:val="single"/>
          <w:lang w:eastAsia="zh-CN"/>
        </w:rPr>
      </w:pPr>
      <w:r>
        <w:rPr>
          <w:rFonts w:hint="eastAsia" w:ascii="宋体" w:hAnsi="宋体" w:eastAsia="宋体"/>
          <w:color w:val="auto"/>
          <w:sz w:val="24"/>
          <w:highlight w:val="none"/>
          <w:u w:val="single"/>
          <w:lang w:eastAsia="zh-CN"/>
        </w:rPr>
        <w:t>（</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lang w:eastAsia="zh-CN"/>
        </w:rPr>
        <w:t>）</w:t>
      </w:r>
      <w:r>
        <w:rPr>
          <w:rFonts w:hint="eastAsia" w:ascii="宋体" w:hAnsi="宋体"/>
          <w:color w:val="auto"/>
          <w:sz w:val="24"/>
          <w:highlight w:val="none"/>
          <w:u w:val="single"/>
          <w:lang w:eastAsia="zh-CN"/>
        </w:rPr>
        <w:t>外地（广州市以外）勘察人，应在广州市设立该项目的办公地点，并保证驻工地项目勘察代表及两名以上地质工程师自中标后在该办公地点办公，直至勘察服务结束为止。</w:t>
      </w:r>
    </w:p>
    <w:p w14:paraId="0F7DC804">
      <w:pPr>
        <w:widowControl/>
        <w:adjustRightInd w:val="0"/>
        <w:snapToGrid w:val="0"/>
        <w:spacing w:line="360" w:lineRule="auto"/>
        <w:ind w:firstLine="480" w:firstLineChars="200"/>
        <w:rPr>
          <w:rFonts w:hint="eastAsia" w:ascii="宋体" w:hAnsi="宋体" w:eastAsia="宋体"/>
          <w:snapToGrid w:val="0"/>
          <w:color w:val="auto"/>
          <w:sz w:val="24"/>
          <w:szCs w:val="24"/>
          <w:highlight w:val="none"/>
          <w:u w:val="single"/>
          <w:lang w:eastAsia="zh-CN"/>
        </w:rPr>
      </w:pPr>
    </w:p>
    <w:p w14:paraId="753AC315">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17、勘察人员</w:t>
      </w:r>
    </w:p>
    <w:p w14:paraId="4F2A304C">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17.1</w:t>
      </w:r>
      <w:r>
        <w:rPr>
          <w:rFonts w:hint="eastAsia" w:ascii="宋体" w:hAnsi="宋体" w:eastAsia="宋体"/>
          <w:snapToGrid w:val="0"/>
          <w:color w:val="auto"/>
          <w:sz w:val="24"/>
          <w:szCs w:val="24"/>
          <w:highlight w:val="none"/>
          <w:lang w:eastAsia="zh-CN"/>
        </w:rPr>
        <w:t>为确保本工程的勘察设计质量，在本合同履行期内，在明确分工各负其责的基础上，乙方为本工程派出的勘察专业负责人、勘察驻场服务人员的职务、资历、资格须满足招标文件及本合同约定。</w:t>
      </w:r>
    </w:p>
    <w:p w14:paraId="5698A39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17.2</w:t>
      </w:r>
      <w:r>
        <w:rPr>
          <w:rFonts w:hint="eastAsia" w:ascii="宋体" w:hAnsi="宋体" w:eastAsia="宋体"/>
          <w:snapToGrid w:val="0"/>
          <w:color w:val="auto"/>
          <w:sz w:val="24"/>
          <w:szCs w:val="24"/>
          <w:highlight w:val="none"/>
          <w:lang w:eastAsia="zh-CN"/>
        </w:rPr>
        <w:t>勘察单位应根据勘察任务建立项目组，从组织上保证投入的人力、物力能满足勘察开展的需要，保证不同勘察时段勘察工作的连续性和外部条件接口衔接的连贯性。</w:t>
      </w:r>
    </w:p>
    <w:p w14:paraId="2EC443C5">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17.3</w:t>
      </w:r>
      <w:r>
        <w:rPr>
          <w:rFonts w:hint="eastAsia" w:ascii="宋体" w:hAnsi="宋体" w:eastAsia="宋体"/>
          <w:snapToGrid w:val="0"/>
          <w:color w:val="auto"/>
          <w:sz w:val="24"/>
          <w:szCs w:val="24"/>
          <w:highlight w:val="none"/>
          <w:lang w:eastAsia="zh-CN"/>
        </w:rPr>
        <w:t>乙方如为境外机构，应自行配备专业翻译一名。</w:t>
      </w:r>
    </w:p>
    <w:p w14:paraId="7E4CD358">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17.4</w:t>
      </w:r>
      <w:r>
        <w:rPr>
          <w:rFonts w:hint="eastAsia" w:ascii="宋体" w:hAnsi="宋体" w:eastAsia="宋体"/>
          <w:snapToGrid w:val="0"/>
          <w:color w:val="auto"/>
          <w:sz w:val="24"/>
          <w:szCs w:val="24"/>
          <w:highlight w:val="none"/>
          <w:lang w:eastAsia="zh-CN"/>
        </w:rPr>
        <w:t>乙方承诺投入负责具体勘察工作的人员，在履行本合同期间，非经过甲方同意，不得更换或再参与本合同项目以外的其他工作。</w:t>
      </w:r>
    </w:p>
    <w:p w14:paraId="292FFE9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17.5</w:t>
      </w:r>
      <w:r>
        <w:rPr>
          <w:rFonts w:hint="eastAsia" w:ascii="宋体" w:hAnsi="宋体" w:eastAsia="宋体"/>
          <w:snapToGrid w:val="0"/>
          <w:color w:val="auto"/>
          <w:sz w:val="24"/>
          <w:szCs w:val="24"/>
          <w:highlight w:val="none"/>
          <w:lang w:eastAsia="zh-CN"/>
        </w:rPr>
        <w:t>甲方认为乙方派出的勘察专业负责人、驻场勘察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之日起擅自离岗。</w:t>
      </w:r>
    </w:p>
    <w:p w14:paraId="7953AB5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17.6</w:t>
      </w:r>
      <w:r>
        <w:rPr>
          <w:rFonts w:hint="eastAsia" w:ascii="宋体" w:hAnsi="宋体" w:eastAsia="宋体"/>
          <w:snapToGrid w:val="0"/>
          <w:color w:val="auto"/>
          <w:sz w:val="24"/>
          <w:szCs w:val="24"/>
          <w:highlight w:val="none"/>
          <w:lang w:eastAsia="zh-CN"/>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14:paraId="763C2262">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18、勘察成果文件的提交</w:t>
      </w:r>
    </w:p>
    <w:p w14:paraId="1ADAA97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18.1</w:t>
      </w:r>
      <w:r>
        <w:rPr>
          <w:rFonts w:hint="eastAsia" w:ascii="宋体" w:hAnsi="宋体" w:eastAsia="宋体"/>
          <w:snapToGrid w:val="0"/>
          <w:color w:val="auto"/>
          <w:sz w:val="24"/>
          <w:szCs w:val="24"/>
          <w:highlight w:val="none"/>
          <w:lang w:eastAsia="zh-CN"/>
        </w:rPr>
        <w:t>乙方负责向甲方提交勘察成果资料30套，光盘电子文件2套；如甲方要求乙方提供的勘察成果文件超过合同约定套数的，乙方可按每套300元的标准另行收取工本费。</w:t>
      </w:r>
    </w:p>
    <w:p w14:paraId="1F149B4F">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18.3</w:t>
      </w:r>
      <w:r>
        <w:rPr>
          <w:rFonts w:hint="eastAsia" w:ascii="宋体" w:hAnsi="宋体" w:eastAsia="宋体"/>
          <w:snapToGrid w:val="0"/>
          <w:color w:val="auto"/>
          <w:sz w:val="24"/>
          <w:szCs w:val="24"/>
          <w:highlight w:val="none"/>
          <w:lang w:eastAsia="zh-CN"/>
        </w:rPr>
        <w:t>乙方提交勘察成果文件的时间</w:t>
      </w:r>
      <w:r>
        <w:rPr>
          <w:rFonts w:hint="eastAsia" w:ascii="宋体" w:hAnsi="宋体" w:eastAsia="宋体" w:cs="宋体"/>
          <w:color w:val="auto"/>
          <w:sz w:val="24"/>
          <w:szCs w:val="21"/>
          <w:highlight w:val="none"/>
          <w:lang w:eastAsia="zh-CN"/>
        </w:rPr>
        <w:t>由甲方依据合同协议书第3.2款的约定确定</w:t>
      </w:r>
      <w:r>
        <w:rPr>
          <w:rFonts w:hint="eastAsia" w:ascii="宋体" w:hAnsi="宋体" w:eastAsia="宋体"/>
          <w:snapToGrid w:val="0"/>
          <w:color w:val="auto"/>
          <w:sz w:val="24"/>
          <w:szCs w:val="24"/>
          <w:highlight w:val="none"/>
          <w:lang w:eastAsia="zh-CN"/>
        </w:rPr>
        <w:t>；相关勘察成果文件的质量须一次性通过甲方或甲方委托的第三方根据合同约定标准进行的审核。</w:t>
      </w:r>
    </w:p>
    <w:p w14:paraId="61A94576">
      <w:pPr>
        <w:widowControl/>
        <w:adjustRightInd w:val="0"/>
        <w:snapToGrid w:val="0"/>
        <w:spacing w:line="360" w:lineRule="auto"/>
        <w:ind w:firstLine="482" w:firstLineChars="200"/>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18.3</w:t>
      </w:r>
      <w:r>
        <w:rPr>
          <w:rFonts w:hint="eastAsia" w:ascii="宋体" w:hAnsi="宋体" w:eastAsia="宋体"/>
          <w:snapToGrid w:val="0"/>
          <w:color w:val="auto"/>
          <w:sz w:val="24"/>
          <w:szCs w:val="24"/>
          <w:highlight w:val="none"/>
          <w:lang w:eastAsia="zh-CN"/>
        </w:rPr>
        <w:t>乙方必须按照甲方的要求及时提交</w:t>
      </w:r>
      <w:r>
        <w:rPr>
          <w:rFonts w:hint="eastAsia" w:ascii="宋体" w:hAnsi="宋体" w:eastAsia="宋体"/>
          <w:bCs/>
          <w:snapToGrid w:val="0"/>
          <w:color w:val="auto"/>
          <w:sz w:val="24"/>
          <w:szCs w:val="24"/>
          <w:highlight w:val="none"/>
          <w:lang w:eastAsia="zh-CN"/>
        </w:rPr>
        <w:t>勘察中间资料，以满足甲方开展有关工作的需要，相关费用已包含在本合同约定的勘察费中。</w:t>
      </w:r>
    </w:p>
    <w:p w14:paraId="64E1DE31">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18.4</w:t>
      </w:r>
      <w:r>
        <w:rPr>
          <w:rFonts w:hint="eastAsia" w:eastAsia="宋体"/>
          <w:snapToGrid w:val="0"/>
          <w:color w:val="auto"/>
          <w:sz w:val="24"/>
          <w:szCs w:val="24"/>
          <w:highlight w:val="none"/>
          <w:lang w:eastAsia="zh-CN"/>
        </w:rPr>
        <w:t>乙方勘察成果文件的提交时间以符合合同约定质量的勘察成果文件的提交时间为准。</w:t>
      </w:r>
    </w:p>
    <w:p w14:paraId="77E0FA9A">
      <w:pPr>
        <w:adjustRightInd w:val="0"/>
        <w:snapToGrid w:val="0"/>
        <w:spacing w:line="360" w:lineRule="auto"/>
        <w:ind w:firstLine="472" w:firstLineChars="196"/>
        <w:jc w:val="both"/>
        <w:rPr>
          <w:rFonts w:hint="eastAsia" w:ascii="宋体" w:hAnsi="宋体" w:eastAsia="宋体"/>
          <w:b/>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19、</w:t>
      </w:r>
      <w:r>
        <w:rPr>
          <w:rFonts w:hint="eastAsia" w:ascii="宋体" w:hAnsi="宋体" w:eastAsia="宋体"/>
          <w:b/>
          <w:snapToGrid w:val="0"/>
          <w:color w:val="auto"/>
          <w:sz w:val="24"/>
          <w:szCs w:val="24"/>
          <w:highlight w:val="none"/>
          <w:lang w:eastAsia="zh-CN"/>
        </w:rPr>
        <w:t>勘察的质量要求</w:t>
      </w:r>
    </w:p>
    <w:p w14:paraId="29E32C4C">
      <w:pPr>
        <w:tabs>
          <w:tab w:val="left" w:pos="540"/>
        </w:tabs>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19.1</w:t>
      </w:r>
      <w:r>
        <w:rPr>
          <w:rFonts w:hint="eastAsia" w:ascii="宋体" w:hAnsi="宋体" w:eastAsia="宋体"/>
          <w:snapToGrid w:val="0"/>
          <w:color w:val="auto"/>
          <w:sz w:val="24"/>
          <w:szCs w:val="24"/>
          <w:highlight w:val="none"/>
          <w:lang w:eastAsia="zh-CN"/>
        </w:rPr>
        <w:t>乙方在开展勘察工作前，应向甲方提交勘察工作纲要（含布孔图、地下管线资料、管线安全保护方案等），并按经过甲方审核批准的工作纲要开展勘察工作。勘察过程中，根据工程的岩土工程条件（或工作现场地形地貌、地质和水文地质条件）及技术规范要求，向甲方提出增减工作量或修改勘察工作的意见，并办理正式变更手续。如本项目位于溶岩地区，勘察人应充分考虑相应的勘察手段和费用。</w:t>
      </w:r>
    </w:p>
    <w:p w14:paraId="3CC7D73F">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19.2</w:t>
      </w:r>
      <w:r>
        <w:rPr>
          <w:rFonts w:hint="eastAsia" w:ascii="宋体" w:hAnsi="宋体" w:eastAsia="宋体"/>
          <w:bCs/>
          <w:snapToGrid w:val="0"/>
          <w:color w:val="auto"/>
          <w:sz w:val="24"/>
          <w:szCs w:val="24"/>
          <w:highlight w:val="none"/>
          <w:lang w:eastAsia="zh-CN"/>
        </w:rPr>
        <w:t>乙方应按国家技术规范、标准、规程和本合同约定的勘察范围及技术要求实施勘察工作，按本合同约定的时间提交质量合格的勘察成果文件并对其负责。</w:t>
      </w:r>
    </w:p>
    <w:p w14:paraId="54C05D1F">
      <w:pPr>
        <w:adjustRightInd w:val="0"/>
        <w:snapToGrid w:val="0"/>
        <w:spacing w:line="360" w:lineRule="auto"/>
        <w:ind w:firstLine="479" w:firstLineChars="199"/>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19.3</w:t>
      </w:r>
      <w:r>
        <w:rPr>
          <w:rFonts w:hint="eastAsia" w:ascii="宋体" w:hAnsi="宋体" w:eastAsia="宋体"/>
          <w:snapToGrid w:val="0"/>
          <w:color w:val="auto"/>
          <w:sz w:val="24"/>
          <w:szCs w:val="24"/>
          <w:highlight w:val="none"/>
          <w:lang w:eastAsia="zh-CN"/>
        </w:rPr>
        <w:t>乙方应在勘察成果文件中明确列出本工程勘察涉及到的详细的勘察规范、规定及标准（名称、编号与版本）。</w:t>
      </w:r>
    </w:p>
    <w:p w14:paraId="1C09CDB6">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19.4</w:t>
      </w:r>
      <w:r>
        <w:rPr>
          <w:rFonts w:hint="eastAsia" w:ascii="宋体" w:hAnsi="宋体" w:eastAsia="宋体"/>
          <w:snapToGrid w:val="0"/>
          <w:color w:val="auto"/>
          <w:sz w:val="24"/>
          <w:szCs w:val="24"/>
          <w:highlight w:val="none"/>
          <w:lang w:eastAsia="zh-CN"/>
        </w:rPr>
        <w:t>乙方实际完成的勘察工作量及勘察成果文件</w:t>
      </w:r>
      <w:r>
        <w:rPr>
          <w:rFonts w:hint="eastAsia" w:ascii="宋体" w:hAnsi="宋体" w:eastAsia="宋体"/>
          <w:bCs/>
          <w:snapToGrid w:val="0"/>
          <w:color w:val="auto"/>
          <w:sz w:val="24"/>
          <w:szCs w:val="24"/>
          <w:highlight w:val="none"/>
          <w:lang w:eastAsia="zh-CN"/>
        </w:rPr>
        <w:t>由审查单位（或设计咨询单位）负责审核</w:t>
      </w:r>
      <w:r>
        <w:rPr>
          <w:rFonts w:hint="eastAsia" w:ascii="宋体" w:hAnsi="宋体" w:eastAsia="宋体"/>
          <w:snapToGrid w:val="0"/>
          <w:color w:val="auto"/>
          <w:sz w:val="24"/>
          <w:szCs w:val="24"/>
          <w:highlight w:val="none"/>
          <w:lang w:eastAsia="zh-CN"/>
        </w:rPr>
        <w:t>，并须经甲方或甲方委托的第三方确认后才能作为结算依据，对于超过设计要求的勘察深度的工作量不计算；</w:t>
      </w:r>
      <w:r>
        <w:rPr>
          <w:rFonts w:hint="eastAsia" w:ascii="宋体" w:hAnsi="宋体" w:eastAsia="宋体"/>
          <w:bCs/>
          <w:snapToGrid w:val="0"/>
          <w:color w:val="auto"/>
          <w:sz w:val="24"/>
          <w:szCs w:val="24"/>
          <w:highlight w:val="none"/>
          <w:lang w:eastAsia="zh-CN"/>
        </w:rPr>
        <w:t>乙方应确保其提交的勘察成果文件是完整、准确及有效的，且能通过审查单位（或设计咨询单位）根据相关规范、规定进行的审核。</w:t>
      </w:r>
    </w:p>
    <w:p w14:paraId="5F47B85F">
      <w:pPr>
        <w:adjustRightInd w:val="0"/>
        <w:snapToGrid w:val="0"/>
        <w:spacing w:line="360" w:lineRule="auto"/>
        <w:ind w:right="11"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19.5</w:t>
      </w:r>
      <w:r>
        <w:rPr>
          <w:rFonts w:hint="eastAsia" w:ascii="宋体" w:hAnsi="宋体" w:eastAsia="宋体"/>
          <w:snapToGrid w:val="0"/>
          <w:color w:val="auto"/>
          <w:sz w:val="24"/>
          <w:szCs w:val="24"/>
          <w:highlight w:val="none"/>
          <w:lang w:eastAsia="zh-CN"/>
        </w:rPr>
        <w:t>乙方提交的勘察成果必须经过实地勘察获得，不得采用推断或借鉴，禁止虚假；</w:t>
      </w:r>
      <w:r>
        <w:rPr>
          <w:rFonts w:hint="eastAsia" w:ascii="宋体" w:hAnsi="宋体" w:eastAsia="宋体"/>
          <w:bCs/>
          <w:snapToGrid w:val="0"/>
          <w:color w:val="auto"/>
          <w:sz w:val="24"/>
          <w:szCs w:val="24"/>
          <w:highlight w:val="none"/>
          <w:lang w:eastAsia="zh-CN"/>
        </w:rPr>
        <w:t>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14:paraId="55B85C78">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19.6</w:t>
      </w:r>
      <w:r>
        <w:rPr>
          <w:rFonts w:hint="eastAsia" w:ascii="宋体" w:hAnsi="宋体" w:eastAsia="宋体"/>
          <w:bCs/>
          <w:snapToGrid w:val="0"/>
          <w:color w:val="auto"/>
          <w:sz w:val="24"/>
          <w:szCs w:val="24"/>
          <w:highlight w:val="none"/>
          <w:lang w:eastAsia="zh-CN"/>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14:paraId="40817BE7">
      <w:pPr>
        <w:tabs>
          <w:tab w:val="left" w:pos="540"/>
        </w:tabs>
        <w:adjustRightInd w:val="0"/>
        <w:snapToGrid w:val="0"/>
        <w:spacing w:line="360" w:lineRule="auto"/>
        <w:ind w:firstLine="482" w:firstLineChars="200"/>
        <w:rPr>
          <w:rFonts w:hint="eastAsia" w:ascii="宋体" w:hAnsi="宋体"/>
          <w:color w:val="auto"/>
          <w:sz w:val="24"/>
          <w:highlight w:val="none"/>
          <w:u w:val="single"/>
          <w:lang w:eastAsia="zh-CN"/>
        </w:rPr>
      </w:pPr>
      <w:r>
        <w:rPr>
          <w:rFonts w:hint="eastAsia" w:ascii="宋体" w:hAnsi="宋体" w:eastAsia="宋体"/>
          <w:b/>
          <w:snapToGrid w:val="0"/>
          <w:color w:val="auto"/>
          <w:sz w:val="24"/>
          <w:szCs w:val="24"/>
          <w:highlight w:val="none"/>
          <w:lang w:eastAsia="zh-CN"/>
        </w:rPr>
        <w:t>19.7</w:t>
      </w:r>
      <w:r>
        <w:rPr>
          <w:rFonts w:hint="eastAsia" w:ascii="宋体" w:hAnsi="宋体"/>
          <w:color w:val="auto"/>
          <w:sz w:val="24"/>
          <w:highlight w:val="none"/>
          <w:u w:val="single"/>
          <w:lang w:eastAsia="zh-CN"/>
        </w:rPr>
        <w:t>勘察人应接受本项目施工图审查、设计咨询、勘察监理等单位按照相关勘察咨询法规和发包人赋予的权利所进行的咨询工作。</w:t>
      </w:r>
    </w:p>
    <w:p w14:paraId="6566B875">
      <w:pPr>
        <w:adjustRightInd w:val="0"/>
        <w:snapToGrid w:val="0"/>
        <w:spacing w:line="360" w:lineRule="auto"/>
        <w:ind w:firstLine="482" w:firstLineChars="200"/>
        <w:rPr>
          <w:rFonts w:hint="eastAsia" w:ascii="宋体" w:hAnsi="宋体" w:eastAsia="宋体"/>
          <w:bCs/>
          <w:snapToGrid w:val="0"/>
          <w:color w:val="auto"/>
          <w:sz w:val="24"/>
          <w:szCs w:val="24"/>
          <w:highlight w:val="none"/>
          <w:lang w:eastAsia="zh-CN"/>
        </w:rPr>
      </w:pPr>
      <w:r>
        <w:rPr>
          <w:rFonts w:hint="eastAsia" w:ascii="宋体" w:hAnsi="宋体" w:eastAsia="宋体"/>
          <w:b/>
          <w:bCs/>
          <w:color w:val="auto"/>
          <w:sz w:val="24"/>
          <w:highlight w:val="none"/>
          <w:u w:val="single"/>
          <w:lang w:eastAsia="zh-CN"/>
        </w:rPr>
        <w:t>19.8</w:t>
      </w:r>
      <w:r>
        <w:rPr>
          <w:rFonts w:hint="eastAsia" w:ascii="宋体" w:hAnsi="宋体"/>
          <w:color w:val="auto"/>
          <w:sz w:val="24"/>
          <w:highlight w:val="none"/>
          <w:u w:val="single"/>
          <w:lang w:eastAsia="zh-CN"/>
        </w:rPr>
        <w:t xml:space="preserve"> 勘察人不得将全部勘察工作转包给第三人，亦不得将主体工程的勘察工作分包，且合同分包量不得超过合同价的30%。若勘察人需分包部分工程勘察工作时，分包人的确定应经发包人同意。勘察人应对其分包出去的勘察工作的成果以及分包人的任何工作和行为负全部责任。若发包人要求，勘察人应提交分包合同副本。</w:t>
      </w:r>
    </w:p>
    <w:p w14:paraId="58CBE092">
      <w:pPr>
        <w:tabs>
          <w:tab w:val="left" w:pos="0"/>
        </w:tabs>
        <w:adjustRightInd w:val="0"/>
        <w:snapToGrid w:val="0"/>
        <w:spacing w:line="360" w:lineRule="auto"/>
        <w:ind w:left="986" w:leftChars="229" w:hanging="482" w:hanging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20、勘察费计取及支付</w:t>
      </w:r>
    </w:p>
    <w:p w14:paraId="78BA74E7">
      <w:pPr>
        <w:tabs>
          <w:tab w:val="left" w:pos="0"/>
        </w:tabs>
        <w:adjustRightInd w:val="0"/>
        <w:snapToGrid w:val="0"/>
        <w:spacing w:line="360" w:lineRule="auto"/>
        <w:ind w:left="986" w:leftChars="229" w:hanging="482" w:hanging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20.1</w:t>
      </w:r>
      <w:r>
        <w:rPr>
          <w:rFonts w:hint="eastAsia" w:ascii="宋体" w:hAnsi="宋体" w:eastAsia="宋体"/>
          <w:bCs/>
          <w:snapToGrid w:val="0"/>
          <w:color w:val="auto"/>
          <w:sz w:val="24"/>
          <w:szCs w:val="24"/>
          <w:highlight w:val="none"/>
          <w:lang w:eastAsia="zh-CN"/>
        </w:rPr>
        <w:t>基本原则</w:t>
      </w:r>
    </w:p>
    <w:p w14:paraId="0B4B89E6">
      <w:pPr>
        <w:tabs>
          <w:tab w:val="left" w:pos="0"/>
        </w:tabs>
        <w:adjustRightInd w:val="0"/>
        <w:snapToGrid w:val="0"/>
        <w:spacing w:line="360" w:lineRule="auto"/>
        <w:ind w:left="1" w:firstLine="477" w:firstLineChars="199"/>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除非双方另有约定，本合同勘察费计取时乙方已综合预测并考虑各种费率变化、物价变动以及各种风险的费用等全部不确定事项，未考虑的报价项目、开支及费用等均应视为已包含，乙方不得以任何理由要求增加勘察费。</w:t>
      </w:r>
    </w:p>
    <w:p w14:paraId="2B3A1605">
      <w:pPr>
        <w:tabs>
          <w:tab w:val="left" w:pos="0"/>
        </w:tabs>
        <w:adjustRightInd w:val="0"/>
        <w:snapToGrid w:val="0"/>
        <w:spacing w:line="360" w:lineRule="auto"/>
        <w:ind w:left="2" w:firstLine="477" w:firstLineChars="199"/>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本合同勘察费为完成本合同约定的所有勘察工作内容及要求的全部费用，包括收集已有资料、现场踏勘、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按合同条款第22.2款约定计取的勘察费已包含实施上述所有勘察工作内容的费用。</w:t>
      </w:r>
    </w:p>
    <w:p w14:paraId="7E6E14E9">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20.2勘察费的支付</w:t>
      </w:r>
    </w:p>
    <w:p w14:paraId="77472809">
      <w:pPr>
        <w:pStyle w:val="27"/>
        <w:spacing w:after="0"/>
        <w:ind w:left="440" w:firstLine="482"/>
        <w:rPr>
          <w:rFonts w:hint="eastAsia" w:ascii="宋体" w:hAnsi="宋体" w:eastAsia="宋体"/>
          <w:b/>
          <w:bCs/>
          <w:snapToGrid w:val="0"/>
          <w:color w:val="auto"/>
          <w:sz w:val="24"/>
          <w:highlight w:val="none"/>
          <w:lang w:eastAsia="zh-CN"/>
        </w:rPr>
      </w:pPr>
      <w:r>
        <w:rPr>
          <w:rFonts w:hint="eastAsia" w:ascii="宋体" w:hAnsi="宋体" w:eastAsia="宋体"/>
          <w:b/>
          <w:bCs/>
          <w:snapToGrid w:val="0"/>
          <w:color w:val="auto"/>
          <w:sz w:val="24"/>
          <w:highlight w:val="none"/>
          <w:lang w:eastAsia="zh-CN"/>
        </w:rPr>
        <w:t>20.2.1工程勘察（不含超前钻）费的支付</w:t>
      </w:r>
    </w:p>
    <w:p w14:paraId="70E4969E">
      <w:pPr>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（1）乙方提交符合本合同约定的</w:t>
      </w:r>
      <w:r>
        <w:rPr>
          <w:rFonts w:hint="eastAsia" w:ascii="宋体" w:hAnsi="宋体" w:eastAsia="宋体"/>
          <w:b/>
          <w:bCs/>
          <w:snapToGrid w:val="0"/>
          <w:color w:val="auto"/>
          <w:sz w:val="24"/>
          <w:szCs w:val="24"/>
          <w:highlight w:val="none"/>
          <w:lang w:eastAsia="zh-CN"/>
        </w:rPr>
        <w:t>工程勘察（不含超前钻）</w:t>
      </w:r>
      <w:r>
        <w:rPr>
          <w:rFonts w:hint="eastAsia" w:ascii="宋体" w:hAnsi="宋体" w:eastAsia="宋体"/>
          <w:snapToGrid w:val="0"/>
          <w:color w:val="auto"/>
          <w:sz w:val="24"/>
          <w:szCs w:val="24"/>
          <w:highlight w:val="none"/>
          <w:lang w:eastAsia="zh-CN"/>
        </w:rPr>
        <w:t>成果文件并通过甲方或甲方委托的第三方审查，且实际乙方实施勘察工作的实际工程量得到甲方及甲方委托的第三方确认后，乙方主办方按合同要求提交申请支付的文件资料，由甲方分阶段支付给乙方主办方。</w:t>
      </w:r>
    </w:p>
    <w:p w14:paraId="6F717737">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1)本合同签订生效且勘察大纲通过甲方审批后支付</w:t>
      </w:r>
      <w:r>
        <w:rPr>
          <w:rFonts w:hint="eastAsia" w:ascii="宋体" w:hAnsi="宋体" w:eastAsia="宋体"/>
          <w:b/>
          <w:bCs/>
          <w:snapToGrid w:val="0"/>
          <w:color w:val="auto"/>
          <w:sz w:val="24"/>
          <w:szCs w:val="24"/>
          <w:highlight w:val="none"/>
          <w:lang w:eastAsia="zh-CN"/>
        </w:rPr>
        <w:t>工程勘察（不含超前钻）</w:t>
      </w:r>
      <w:r>
        <w:rPr>
          <w:rFonts w:hint="eastAsia" w:ascii="宋体" w:hAnsi="宋体" w:eastAsia="宋体" w:cs="宋体"/>
          <w:color w:val="auto"/>
          <w:kern w:val="2"/>
          <w:sz w:val="24"/>
          <w:szCs w:val="24"/>
          <w:highlight w:val="none"/>
          <w:lang w:eastAsia="zh-CN"/>
        </w:rPr>
        <w:t>费总额暂定价的10％作为首付款，计</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元（大写：</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w:t>
      </w:r>
    </w:p>
    <w:p w14:paraId="1CBAF031">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2)乙方完成工程勘察</w:t>
      </w:r>
      <w:r>
        <w:rPr>
          <w:rFonts w:hint="eastAsia" w:ascii="宋体" w:hAnsi="宋体" w:eastAsia="宋体"/>
          <w:b/>
          <w:bCs/>
          <w:snapToGrid w:val="0"/>
          <w:color w:val="auto"/>
          <w:sz w:val="24"/>
          <w:highlight w:val="none"/>
          <w:lang w:eastAsia="zh-CN"/>
        </w:rPr>
        <w:t>（不含超前钻）</w:t>
      </w:r>
      <w:r>
        <w:rPr>
          <w:rFonts w:hint="eastAsia" w:ascii="宋体" w:hAnsi="宋体" w:eastAsia="宋体" w:cs="宋体"/>
          <w:color w:val="auto"/>
          <w:kern w:val="2"/>
          <w:sz w:val="24"/>
          <w:szCs w:val="24"/>
          <w:highlight w:val="none"/>
          <w:lang w:eastAsia="zh-CN"/>
        </w:rPr>
        <w:t>且勘察报告通过发包人或相关部门审批后，发包人根据项目资金到位等实际情况支付至工程勘察费</w:t>
      </w:r>
      <w:r>
        <w:rPr>
          <w:rFonts w:hint="eastAsia" w:ascii="宋体" w:hAnsi="宋体" w:eastAsia="宋体"/>
          <w:b/>
          <w:bCs/>
          <w:snapToGrid w:val="0"/>
          <w:color w:val="auto"/>
          <w:sz w:val="24"/>
          <w:highlight w:val="none"/>
          <w:lang w:eastAsia="zh-CN"/>
        </w:rPr>
        <w:t>（不含超前钻）</w:t>
      </w:r>
      <w:r>
        <w:rPr>
          <w:rFonts w:hint="eastAsia" w:ascii="宋体" w:hAnsi="宋体" w:eastAsia="宋体" w:cs="宋体"/>
          <w:color w:val="auto"/>
          <w:kern w:val="2"/>
          <w:sz w:val="24"/>
          <w:szCs w:val="24"/>
          <w:highlight w:val="none"/>
          <w:lang w:eastAsia="zh-CN"/>
        </w:rPr>
        <w:t>暂定合同价的60%（含首付款）；</w:t>
      </w:r>
    </w:p>
    <w:p w14:paraId="0666BE7F">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 工程勘察</w:t>
      </w:r>
      <w:r>
        <w:rPr>
          <w:rFonts w:hint="eastAsia" w:ascii="宋体" w:hAnsi="宋体" w:eastAsia="宋体"/>
          <w:b/>
          <w:bCs/>
          <w:snapToGrid w:val="0"/>
          <w:color w:val="auto"/>
          <w:sz w:val="24"/>
          <w:highlight w:val="none"/>
          <w:lang w:eastAsia="zh-CN"/>
        </w:rPr>
        <w:t>（不含超前钻）</w:t>
      </w:r>
      <w:r>
        <w:rPr>
          <w:rFonts w:hint="eastAsia" w:ascii="宋体" w:hAnsi="宋体" w:eastAsia="宋体" w:cs="宋体"/>
          <w:color w:val="auto"/>
          <w:kern w:val="2"/>
          <w:sz w:val="24"/>
          <w:szCs w:val="24"/>
          <w:highlight w:val="none"/>
          <w:lang w:eastAsia="zh-CN"/>
        </w:rPr>
        <w:t>工作全部完成，提交勘察成果文件并经发包人（如发包人有委托第三方审查的，须经第三方审查通过）完成审核确认后，</w:t>
      </w:r>
      <w:r>
        <w:rPr>
          <w:rFonts w:hint="eastAsia" w:ascii="宋体" w:hAnsi="宋体" w:eastAsia="宋体" w:cs="宋体"/>
          <w:color w:val="auto"/>
          <w:kern w:val="2"/>
          <w:sz w:val="24"/>
          <w:szCs w:val="24"/>
          <w:highlight w:val="none"/>
          <w:lang w:val="en-US" w:eastAsia="zh-CN"/>
        </w:rPr>
        <w:t>乙方提交调整工程</w:t>
      </w:r>
      <w:r>
        <w:rPr>
          <w:rFonts w:hint="eastAsia" w:ascii="宋体" w:hAnsi="宋体" w:eastAsia="宋体" w:cs="宋体"/>
          <w:color w:val="auto"/>
          <w:kern w:val="2"/>
          <w:sz w:val="24"/>
          <w:szCs w:val="24"/>
          <w:highlight w:val="none"/>
          <w:lang w:eastAsia="zh-CN"/>
        </w:rPr>
        <w:t>勘察</w:t>
      </w:r>
      <w:r>
        <w:rPr>
          <w:rFonts w:hint="eastAsia" w:ascii="宋体" w:hAnsi="宋体" w:eastAsia="宋体" w:cs="宋体"/>
          <w:color w:val="auto"/>
          <w:kern w:val="2"/>
          <w:sz w:val="24"/>
          <w:szCs w:val="24"/>
          <w:highlight w:val="none"/>
          <w:lang w:val="en-US" w:eastAsia="zh-CN"/>
        </w:rPr>
        <w:t>费用的文件经甲方确认后</w:t>
      </w:r>
      <w:r>
        <w:rPr>
          <w:rFonts w:hint="eastAsia" w:ascii="宋体" w:hAnsi="宋体" w:eastAsia="宋体" w:cs="宋体"/>
          <w:color w:val="auto"/>
          <w:kern w:val="2"/>
          <w:sz w:val="24"/>
          <w:szCs w:val="24"/>
          <w:highlight w:val="none"/>
          <w:lang w:eastAsia="zh-CN"/>
        </w:rPr>
        <w:t>，支付至</w:t>
      </w:r>
      <w:r>
        <w:rPr>
          <w:rFonts w:hint="eastAsia" w:ascii="宋体" w:hAnsi="宋体" w:eastAsia="宋体" w:cs="宋体"/>
          <w:color w:val="auto"/>
          <w:kern w:val="2"/>
          <w:sz w:val="24"/>
          <w:szCs w:val="24"/>
          <w:highlight w:val="none"/>
          <w:lang w:val="en-US" w:eastAsia="zh-CN"/>
        </w:rPr>
        <w:t>经甲方确认金额</w:t>
      </w:r>
      <w:r>
        <w:rPr>
          <w:rFonts w:hint="eastAsia" w:ascii="宋体" w:hAnsi="宋体" w:eastAsia="宋体" w:cs="宋体"/>
          <w:color w:val="auto"/>
          <w:kern w:val="2"/>
          <w:sz w:val="24"/>
          <w:szCs w:val="24"/>
          <w:highlight w:val="none"/>
          <w:lang w:eastAsia="zh-CN"/>
        </w:rPr>
        <w:t>费用</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lang w:eastAsia="zh-CN"/>
        </w:rPr>
        <w:t>80%（含首付款）；</w:t>
      </w:r>
    </w:p>
    <w:p w14:paraId="46065270">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4）勘察人提交完整结算资料，并经委托人及项目结算终审单位审定合同结算价后支付合同结算价的</w:t>
      </w:r>
      <w:r>
        <w:rPr>
          <w:rFonts w:hint="eastAsia" w:ascii="宋体" w:hAnsi="宋体" w:eastAsia="宋体" w:cs="宋体"/>
          <w:color w:val="auto"/>
          <w:kern w:val="2"/>
          <w:sz w:val="24"/>
          <w:szCs w:val="24"/>
          <w:highlight w:val="none"/>
          <w:lang w:val="en-US" w:eastAsia="zh-CN"/>
        </w:rPr>
        <w:t>95%。</w:t>
      </w:r>
      <w:r>
        <w:rPr>
          <w:rFonts w:hint="eastAsia" w:ascii="宋体" w:hAnsi="宋体" w:eastAsia="宋体" w:cs="宋体"/>
          <w:color w:val="auto"/>
          <w:kern w:val="2"/>
          <w:sz w:val="24"/>
          <w:szCs w:val="24"/>
          <w:highlight w:val="none"/>
          <w:lang w:eastAsia="zh-CN"/>
        </w:rPr>
        <w:t>剩余5%，在项目竣工后且乙方提交勘察结算资料后办理完成付清。结算价尾款支付金额为最终结算价扣除委托人已支付金额后的差额，多退少补。如计算得出结算尾款支付余额为负数的，勘察人应在收到委托人书面通知之日起30日内返还多收的款项；否则，委托人有权向勘察人追索，勘察人除应足额返还多收的款项外，还应每天按多收款项总金额的2‰向委托人支付违约金。</w:t>
      </w:r>
    </w:p>
    <w:p w14:paraId="326A8608">
      <w:pPr>
        <w:pStyle w:val="27"/>
        <w:spacing w:after="0"/>
        <w:ind w:left="440" w:firstLine="482"/>
        <w:rPr>
          <w:rFonts w:hint="eastAsia" w:ascii="宋体" w:hAnsi="宋体" w:eastAsia="宋体"/>
          <w:b/>
          <w:bCs/>
          <w:snapToGrid w:val="0"/>
          <w:color w:val="auto"/>
          <w:sz w:val="24"/>
          <w:highlight w:val="none"/>
          <w:lang w:eastAsia="zh-CN"/>
        </w:rPr>
      </w:pPr>
      <w:r>
        <w:rPr>
          <w:rFonts w:hint="eastAsia" w:ascii="宋体" w:hAnsi="宋体" w:eastAsia="宋体"/>
          <w:b/>
          <w:bCs/>
          <w:snapToGrid w:val="0"/>
          <w:color w:val="auto"/>
          <w:sz w:val="24"/>
          <w:highlight w:val="none"/>
          <w:lang w:eastAsia="zh-CN"/>
        </w:rPr>
        <w:t>20.2.2超前钻勘察费的支付</w:t>
      </w:r>
    </w:p>
    <w:p w14:paraId="7649005E">
      <w:pPr>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（1）乙方提交符合本合同约定的</w:t>
      </w:r>
      <w:r>
        <w:rPr>
          <w:rFonts w:hint="eastAsia" w:ascii="宋体" w:hAnsi="宋体" w:eastAsia="宋体"/>
          <w:b/>
          <w:bCs/>
          <w:snapToGrid w:val="0"/>
          <w:color w:val="auto"/>
          <w:sz w:val="24"/>
          <w:szCs w:val="24"/>
          <w:highlight w:val="none"/>
          <w:lang w:eastAsia="zh-CN"/>
        </w:rPr>
        <w:t>超前钻</w:t>
      </w:r>
      <w:r>
        <w:rPr>
          <w:rFonts w:hint="eastAsia" w:ascii="宋体" w:hAnsi="宋体" w:eastAsia="宋体"/>
          <w:snapToGrid w:val="0"/>
          <w:color w:val="auto"/>
          <w:sz w:val="24"/>
          <w:szCs w:val="24"/>
          <w:highlight w:val="none"/>
          <w:lang w:eastAsia="zh-CN"/>
        </w:rPr>
        <w:t>成果文件并通过甲方或甲方委托的第三方审查，且实际乙方实施超前钻工作的工程量得到甲方及甲方委托的第三方确认后，乙方按合同要求提交申请支付的文件资料，由甲方分阶段支付给乙方。</w:t>
      </w:r>
    </w:p>
    <w:p w14:paraId="05B61707">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1)本合同签订生效且勘察大纲通过甲方审批后支付</w:t>
      </w:r>
      <w:r>
        <w:rPr>
          <w:rFonts w:hint="eastAsia" w:ascii="宋体" w:hAnsi="宋体" w:eastAsia="宋体"/>
          <w:b/>
          <w:bCs/>
          <w:snapToGrid w:val="0"/>
          <w:color w:val="auto"/>
          <w:sz w:val="24"/>
          <w:szCs w:val="24"/>
          <w:highlight w:val="none"/>
          <w:lang w:eastAsia="zh-CN"/>
        </w:rPr>
        <w:t>超前钻费</w:t>
      </w:r>
      <w:r>
        <w:rPr>
          <w:rFonts w:hint="eastAsia" w:ascii="宋体" w:hAnsi="宋体" w:eastAsia="宋体" w:cs="宋体"/>
          <w:color w:val="auto"/>
          <w:kern w:val="2"/>
          <w:sz w:val="24"/>
          <w:szCs w:val="24"/>
          <w:highlight w:val="none"/>
          <w:lang w:eastAsia="zh-CN"/>
        </w:rPr>
        <w:t>总额暂定价的10％作为首付款，计</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元（大写：</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w:t>
      </w:r>
    </w:p>
    <w:p w14:paraId="3FC17DFE">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2)乙方完成</w:t>
      </w:r>
      <w:r>
        <w:rPr>
          <w:rFonts w:hint="eastAsia" w:ascii="宋体" w:hAnsi="宋体" w:eastAsia="宋体"/>
          <w:b/>
          <w:bCs/>
          <w:snapToGrid w:val="0"/>
          <w:color w:val="auto"/>
          <w:sz w:val="24"/>
          <w:szCs w:val="24"/>
          <w:highlight w:val="none"/>
          <w:lang w:eastAsia="zh-CN"/>
        </w:rPr>
        <w:t>超前钻</w:t>
      </w:r>
      <w:r>
        <w:rPr>
          <w:rFonts w:hint="eastAsia" w:ascii="宋体" w:hAnsi="宋体" w:eastAsia="宋体" w:cs="宋体"/>
          <w:color w:val="auto"/>
          <w:kern w:val="2"/>
          <w:sz w:val="24"/>
          <w:szCs w:val="24"/>
          <w:highlight w:val="none"/>
          <w:lang w:eastAsia="zh-CN"/>
        </w:rPr>
        <w:t>并将</w:t>
      </w:r>
      <w:r>
        <w:rPr>
          <w:rFonts w:hint="eastAsia" w:ascii="宋体" w:hAnsi="宋体" w:eastAsia="宋体"/>
          <w:b/>
          <w:bCs/>
          <w:snapToGrid w:val="0"/>
          <w:color w:val="auto"/>
          <w:sz w:val="24"/>
          <w:szCs w:val="24"/>
          <w:highlight w:val="none"/>
          <w:lang w:eastAsia="zh-CN"/>
        </w:rPr>
        <w:t>超前钻</w:t>
      </w:r>
      <w:r>
        <w:rPr>
          <w:rFonts w:hint="eastAsia" w:ascii="宋体" w:hAnsi="宋体" w:eastAsia="宋体" w:cs="宋体"/>
          <w:color w:val="auto"/>
          <w:kern w:val="2"/>
          <w:sz w:val="24"/>
          <w:szCs w:val="24"/>
          <w:highlight w:val="none"/>
          <w:lang w:eastAsia="zh-CN"/>
        </w:rPr>
        <w:t>报告通过甲方审批后，支付</w:t>
      </w:r>
      <w:r>
        <w:rPr>
          <w:rFonts w:hint="eastAsia" w:ascii="宋体" w:hAnsi="宋体" w:eastAsia="宋体"/>
          <w:b/>
          <w:bCs/>
          <w:snapToGrid w:val="0"/>
          <w:color w:val="auto"/>
          <w:sz w:val="24"/>
          <w:szCs w:val="24"/>
          <w:highlight w:val="none"/>
          <w:lang w:eastAsia="zh-CN"/>
        </w:rPr>
        <w:t>超前钻勘察工作</w:t>
      </w:r>
      <w:r>
        <w:rPr>
          <w:rFonts w:hint="eastAsia" w:ascii="宋体" w:hAnsi="宋体" w:eastAsia="宋体" w:cs="宋体"/>
          <w:color w:val="auto"/>
          <w:kern w:val="2"/>
          <w:sz w:val="24"/>
          <w:szCs w:val="24"/>
          <w:highlight w:val="none"/>
          <w:lang w:eastAsia="zh-CN"/>
        </w:rPr>
        <w:t>量的60%（不超过</w:t>
      </w:r>
      <w:r>
        <w:rPr>
          <w:rFonts w:hint="eastAsia" w:ascii="宋体" w:hAnsi="宋体" w:eastAsia="宋体"/>
          <w:b/>
          <w:bCs/>
          <w:snapToGrid w:val="0"/>
          <w:color w:val="auto"/>
          <w:sz w:val="24"/>
          <w:szCs w:val="24"/>
          <w:highlight w:val="none"/>
          <w:lang w:eastAsia="zh-CN"/>
        </w:rPr>
        <w:t>超前钻</w:t>
      </w:r>
      <w:r>
        <w:rPr>
          <w:rFonts w:hint="eastAsia" w:ascii="宋体" w:hAnsi="宋体" w:eastAsia="宋体" w:cs="宋体"/>
          <w:color w:val="auto"/>
          <w:kern w:val="2"/>
          <w:sz w:val="24"/>
          <w:szCs w:val="24"/>
          <w:highlight w:val="none"/>
          <w:lang w:eastAsia="zh-CN"/>
        </w:rPr>
        <w:t>费总额暂定价的60%，含首付款）；</w:t>
      </w:r>
    </w:p>
    <w:p w14:paraId="19F5301F">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w:t>
      </w:r>
      <w:r>
        <w:rPr>
          <w:rFonts w:hint="eastAsia" w:ascii="宋体" w:hAnsi="宋体" w:eastAsia="宋体"/>
          <w:b/>
          <w:bCs/>
          <w:snapToGrid w:val="0"/>
          <w:color w:val="auto"/>
          <w:sz w:val="24"/>
          <w:highlight w:val="none"/>
          <w:lang w:eastAsia="zh-CN"/>
        </w:rPr>
        <w:t>超前钻</w:t>
      </w:r>
      <w:r>
        <w:rPr>
          <w:rFonts w:hint="eastAsia" w:ascii="宋体" w:hAnsi="宋体" w:eastAsia="宋体" w:cs="宋体"/>
          <w:color w:val="auto"/>
          <w:kern w:val="2"/>
          <w:sz w:val="24"/>
          <w:szCs w:val="24"/>
          <w:highlight w:val="none"/>
          <w:lang w:eastAsia="zh-CN"/>
        </w:rPr>
        <w:t>工作全部完成，提交勘察成果文件并经发包人（如发包人有委托第三方审查的，须经第三方审查通过）完成审核确认后，支付至经甲方确认金额费用的80%（含首付款）；</w:t>
      </w:r>
    </w:p>
    <w:p w14:paraId="2B52796E">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4）勘察人提交完整结算资料，并经委托人及项目结算终审单位审定合同结算价后支付合同结算价的</w:t>
      </w:r>
      <w:r>
        <w:rPr>
          <w:rFonts w:hint="eastAsia" w:ascii="宋体" w:hAnsi="宋体" w:eastAsia="宋体" w:cs="宋体"/>
          <w:color w:val="auto"/>
          <w:kern w:val="2"/>
          <w:sz w:val="24"/>
          <w:szCs w:val="24"/>
          <w:highlight w:val="none"/>
          <w:lang w:val="en-US" w:eastAsia="zh-CN"/>
        </w:rPr>
        <w:t>95%。</w:t>
      </w:r>
      <w:r>
        <w:rPr>
          <w:rFonts w:hint="eastAsia" w:ascii="宋体" w:hAnsi="宋体" w:eastAsia="宋体" w:cs="宋体"/>
          <w:color w:val="auto"/>
          <w:kern w:val="2"/>
          <w:sz w:val="24"/>
          <w:szCs w:val="24"/>
          <w:highlight w:val="none"/>
          <w:lang w:eastAsia="zh-CN"/>
        </w:rPr>
        <w:t>剩余5%，在项目竣工后且乙方提交勘察结算资料后办理完成付清。结算价尾款支付金额为最终结算价扣除委托人已支付金额后的差额，多退少补。如计算得出结算尾款支付余额为负数的，勘察人应在收到委托人书面通知之日起30日内返还多收的款项；否则，委托人有权向勘察人追索，勘察人除应足额返还多收的款项外，还应每天按多收款项总金额的2‰向委托人支付违约金。</w:t>
      </w:r>
    </w:p>
    <w:p w14:paraId="642DAB4E">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结算时，按经审核确认的实际完成工作量乘以合同约定的综合单价核算合同结算价，由委托人对勘察人的工作质量情况进行考评（详见附件9《勘察单位综合考评评价表》），若评价得分在90分或以上的，则最终结算价为合同结算价全额；若评价得分在90分以下的，则最终结算价=合同结算价全额×[1-(90-项目评价得分)%]（最终结算价以项目合同结算终审部门最终审核价为准）。</w:t>
      </w:r>
    </w:p>
    <w:p w14:paraId="619B5091">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20.3</w:t>
      </w:r>
      <w:r>
        <w:rPr>
          <w:rFonts w:hint="eastAsia" w:ascii="宋体" w:hAnsi="宋体" w:eastAsia="宋体"/>
          <w:bCs/>
          <w:snapToGrid w:val="0"/>
          <w:color w:val="auto"/>
          <w:sz w:val="24"/>
          <w:szCs w:val="24"/>
          <w:highlight w:val="none"/>
          <w:lang w:eastAsia="zh-CN"/>
        </w:rPr>
        <w:t xml:space="preserve">勘察费的结算方式按下列约定执行： </w:t>
      </w:r>
    </w:p>
    <w:p w14:paraId="7050092E">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（1）按照甲乙双方确认的实际</w:t>
      </w:r>
      <w:r>
        <w:rPr>
          <w:rFonts w:hint="eastAsia" w:cs="宋体"/>
          <w:color w:val="auto"/>
          <w:sz w:val="24"/>
          <w:szCs w:val="21"/>
          <w:highlight w:val="none"/>
          <w:lang w:val="zh-CN" w:eastAsia="zh-CN"/>
        </w:rPr>
        <w:t>工程勘察（不含超前钻）</w:t>
      </w:r>
      <w:r>
        <w:rPr>
          <w:rFonts w:hint="eastAsia" w:ascii="宋体" w:hAnsi="宋体" w:eastAsia="宋体" w:cs="宋体"/>
          <w:color w:val="auto"/>
          <w:sz w:val="24"/>
          <w:szCs w:val="21"/>
          <w:highlight w:val="none"/>
          <w:lang w:val="zh-CN" w:eastAsia="zh-CN"/>
        </w:rPr>
        <w:t>及</w:t>
      </w:r>
      <w:r>
        <w:rPr>
          <w:rFonts w:hint="eastAsia" w:cs="宋体"/>
          <w:color w:val="auto"/>
          <w:sz w:val="24"/>
          <w:szCs w:val="21"/>
          <w:highlight w:val="none"/>
          <w:lang w:val="zh-CN" w:eastAsia="zh-CN"/>
        </w:rPr>
        <w:t>超前钻</w:t>
      </w:r>
      <w:r>
        <w:rPr>
          <w:rFonts w:hint="eastAsia" w:ascii="宋体" w:hAnsi="宋体" w:eastAsia="宋体"/>
          <w:bCs/>
          <w:snapToGrid w:val="0"/>
          <w:color w:val="auto"/>
          <w:sz w:val="24"/>
          <w:szCs w:val="24"/>
          <w:highlight w:val="none"/>
          <w:lang w:eastAsia="zh-CN"/>
        </w:rPr>
        <w:t>工程量乘以合同约定的综合包干单价核算合同结算价，实际工程量是指按照工程勘察规范、规程、合同的规定及勘察作业实际情况完成且经甲方及甲方委托的第三方共同确认的工作量。</w:t>
      </w:r>
    </w:p>
    <w:p w14:paraId="1AEB90DC">
      <w:pPr>
        <w:widowControl/>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w:t>
      </w:r>
      <w:r>
        <w:rPr>
          <w:rFonts w:hint="eastAsia" w:hAnsi="宋体" w:eastAsia="宋体"/>
          <w:color w:val="auto"/>
          <w:kern w:val="2"/>
          <w:sz w:val="24"/>
          <w:szCs w:val="24"/>
          <w:highlight w:val="none"/>
          <w:lang w:eastAsia="zh-CN"/>
        </w:rPr>
        <w:t>经发包人合同服务评价（详见附件10《</w:t>
      </w:r>
      <w:r>
        <w:rPr>
          <w:rFonts w:hint="eastAsia" w:ascii="宋体" w:hAnsi="宋体" w:eastAsia="宋体"/>
          <w:bCs/>
          <w:snapToGrid w:val="0"/>
          <w:color w:val="auto"/>
          <w:sz w:val="24"/>
          <w:szCs w:val="24"/>
          <w:highlight w:val="none"/>
          <w:lang w:eastAsia="zh-CN"/>
        </w:rPr>
        <w:t>勘察工作考核评价表</w:t>
      </w:r>
      <w:r>
        <w:rPr>
          <w:rFonts w:hint="eastAsia" w:hAnsi="宋体" w:eastAsia="宋体"/>
          <w:color w:val="auto"/>
          <w:kern w:val="2"/>
          <w:sz w:val="24"/>
          <w:szCs w:val="24"/>
          <w:highlight w:val="none"/>
          <w:lang w:eastAsia="zh-CN"/>
        </w:rPr>
        <w:t>》）</w:t>
      </w:r>
      <w:r>
        <w:rPr>
          <w:rFonts w:hint="eastAsia" w:hAnsi="宋体" w:eastAsia="宋体"/>
          <w:snapToGrid w:val="0"/>
          <w:color w:val="auto"/>
          <w:kern w:val="2"/>
          <w:sz w:val="24"/>
          <w:szCs w:val="24"/>
          <w:highlight w:val="none"/>
          <w:lang w:eastAsia="zh-CN"/>
        </w:rPr>
        <w:t>得分在90分或以上的，本项目勘察费全额支付；</w:t>
      </w:r>
      <w:r>
        <w:rPr>
          <w:rFonts w:hint="eastAsia" w:hAnsi="宋体" w:eastAsia="宋体"/>
          <w:color w:val="auto"/>
          <w:kern w:val="2"/>
          <w:sz w:val="24"/>
          <w:szCs w:val="24"/>
          <w:highlight w:val="none"/>
          <w:lang w:eastAsia="zh-CN"/>
        </w:rPr>
        <w:t>合同服务评价</w:t>
      </w:r>
      <w:r>
        <w:rPr>
          <w:rFonts w:hint="eastAsia" w:hAnsi="宋体" w:eastAsia="宋体"/>
          <w:snapToGrid w:val="0"/>
          <w:color w:val="auto"/>
          <w:kern w:val="2"/>
          <w:sz w:val="24"/>
          <w:szCs w:val="24"/>
          <w:highlight w:val="none"/>
          <w:lang w:eastAsia="zh-CN"/>
        </w:rPr>
        <w:t>得分在90分以下的，合同结算价=按全额计算的结算价×[1-(90-项目评价得分)%]</w:t>
      </w:r>
      <w:r>
        <w:rPr>
          <w:rFonts w:hint="eastAsia" w:hAnsi="宋体" w:eastAsia="宋体"/>
          <w:color w:val="auto"/>
          <w:kern w:val="2"/>
          <w:sz w:val="24"/>
          <w:szCs w:val="24"/>
          <w:highlight w:val="none"/>
          <w:lang w:eastAsia="zh-CN"/>
        </w:rPr>
        <w:t>；最终结算价以市财政局或项目结算终审单位最终审核价为准。</w:t>
      </w:r>
    </w:p>
    <w:p w14:paraId="6CCBA49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 其他事项</w:t>
      </w:r>
    </w:p>
    <w:p w14:paraId="0EFC29E2">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20.4.1勘察人在每次申请付款前，应按发包人同意的格式填写付款申请表，付款申请表应包括以下内容：</w:t>
      </w:r>
    </w:p>
    <w:p w14:paraId="55DD01BE">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（1）根据合同约定，勘察人提交的勘察工作成果经发包人及委托第三方（如有）审核通过后，可以申请的勘察费；</w:t>
      </w:r>
    </w:p>
    <w:p w14:paraId="140962E7">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（2）根据合同约定的勘察费调整金额；</w:t>
      </w:r>
    </w:p>
    <w:p w14:paraId="056C7C3E">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（3）扣除按合同约定应由勘察人付给发包人的金额（包括但不限于违约金、赔偿金等）。</w:t>
      </w:r>
    </w:p>
    <w:p w14:paraId="2FBDF403">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20.4.2发包人每次付款前，勘察人均需按发包人财务管理制度办理书面支付申请手续，并提供等额合法有效的增值税专用发票，否则发包人有权顺延支付合同款项且不构成违约，勘察人仍须按照本合同约定履行义务。</w:t>
      </w:r>
    </w:p>
    <w:p w14:paraId="618A3F6E">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20.4.3因勘察人提供的发票不规范、不合法引发的税务及其他一切法律责任由勘察人承担，且勘察人还应向发包人承担赔偿责任，包括但不限于承担相关税款、滞纳金、罚款及赔偿相关损失等。</w:t>
      </w:r>
    </w:p>
    <w:p w14:paraId="654F9217">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20.4.4若发包人支付本合同项下款项需向政府部门申请拨付，则各阶段支付条件还应包括发包人向相关政府部门申请款项获得批准且得到拨付，付款时间应相应根据拨付时间顺延。勘察人不可撤销地承诺，若政府部门审定、拨付本合同项下相关费用时间超过上述约定支付期限的，勘察人无权以任何理由要求发包人承担任何违约责任，且勘察人仍须按照本合同约定履行义务。</w:t>
      </w:r>
    </w:p>
    <w:p w14:paraId="323164D6">
      <w:pPr>
        <w:pStyle w:val="27"/>
        <w:spacing w:after="0"/>
        <w:ind w:left="0" w:leftChars="0" w:firstLine="480"/>
        <w:rPr>
          <w:rFonts w:eastAsia="等线"/>
          <w:color w:val="auto"/>
          <w:highlight w:val="none"/>
          <w:lang w:eastAsia="zh-CN"/>
        </w:rPr>
      </w:pPr>
      <w:r>
        <w:rPr>
          <w:rFonts w:hint="eastAsia" w:ascii="宋体" w:hAnsi="宋体" w:eastAsia="宋体"/>
          <w:snapToGrid w:val="0"/>
          <w:color w:val="auto"/>
          <w:sz w:val="24"/>
          <w:highlight w:val="none"/>
          <w:lang w:eastAsia="zh-CN"/>
        </w:rPr>
        <w:t>20.4.5 如遇国家税收政策调整，按照国家政策、结合本合同不含税价相应执行。</w:t>
      </w:r>
    </w:p>
    <w:p w14:paraId="302026BC">
      <w:pPr>
        <w:widowControl/>
        <w:adjustRightInd w:val="0"/>
        <w:snapToGrid w:val="0"/>
        <w:spacing w:line="360" w:lineRule="auto"/>
        <w:ind w:firstLine="480" w:firstLineChars="200"/>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lang w:eastAsia="zh-CN"/>
        </w:rPr>
        <w:t>20.4.6甲方所需的</w:t>
      </w:r>
      <w:r>
        <w:rPr>
          <w:rFonts w:hint="eastAsia" w:ascii="宋体" w:hAnsi="宋体" w:eastAsia="宋体"/>
          <w:snapToGrid w:val="0"/>
          <w:color w:val="auto"/>
          <w:sz w:val="24"/>
          <w:szCs w:val="24"/>
          <w:highlight w:val="none"/>
          <w:u w:val="single"/>
          <w:lang w:eastAsia="zh-CN"/>
        </w:rPr>
        <w:t>勘察成果文件加晒费含在合同总价中，甲方不再另行支付</w:t>
      </w:r>
      <w:r>
        <w:rPr>
          <w:rFonts w:hint="eastAsia" w:ascii="宋体" w:hAnsi="宋体" w:eastAsia="宋体"/>
          <w:snapToGrid w:val="0"/>
          <w:color w:val="auto"/>
          <w:sz w:val="24"/>
          <w:szCs w:val="24"/>
          <w:highlight w:val="none"/>
          <w:lang w:eastAsia="zh-CN"/>
        </w:rPr>
        <w:t>。</w:t>
      </w:r>
      <w:r>
        <w:rPr>
          <w:rFonts w:hint="eastAsia" w:ascii="宋体" w:hAnsi="宋体" w:eastAsia="宋体"/>
          <w:b/>
          <w:snapToGrid w:val="0"/>
          <w:color w:val="auto"/>
          <w:sz w:val="24"/>
          <w:szCs w:val="24"/>
          <w:highlight w:val="none"/>
          <w:lang w:eastAsia="zh-CN"/>
        </w:rPr>
        <w:t>其他相关方</w:t>
      </w:r>
      <w:r>
        <w:rPr>
          <w:rFonts w:hint="eastAsia" w:ascii="宋体" w:hAnsi="宋体" w:eastAsia="宋体"/>
          <w:snapToGrid w:val="0"/>
          <w:color w:val="auto"/>
          <w:sz w:val="24"/>
          <w:szCs w:val="24"/>
          <w:highlight w:val="none"/>
          <w:lang w:eastAsia="zh-CN"/>
        </w:rPr>
        <w:t>需要乙方晒制的超过合同约定</w:t>
      </w:r>
      <w:r>
        <w:rPr>
          <w:rFonts w:hint="eastAsia" w:ascii="宋体" w:hAnsi="宋体" w:eastAsia="宋体"/>
          <w:snapToGrid w:val="0"/>
          <w:color w:val="auto"/>
          <w:sz w:val="24"/>
          <w:szCs w:val="24"/>
          <w:highlight w:val="none"/>
          <w:u w:val="single"/>
          <w:lang w:eastAsia="zh-CN"/>
        </w:rPr>
        <w:t>最大</w:t>
      </w:r>
      <w:r>
        <w:rPr>
          <w:rFonts w:hint="eastAsia" w:ascii="宋体" w:hAnsi="宋体" w:eastAsia="宋体"/>
          <w:snapToGrid w:val="0"/>
          <w:color w:val="auto"/>
          <w:sz w:val="24"/>
          <w:szCs w:val="24"/>
          <w:highlight w:val="none"/>
          <w:lang w:eastAsia="zh-CN"/>
        </w:rPr>
        <w:t>数量的勘察成果文件，乙方按照双方约定的价格清单向相关方加收工本费；没有约定价格清单的，</w:t>
      </w:r>
      <w:r>
        <w:rPr>
          <w:rFonts w:hint="eastAsia" w:ascii="宋体" w:hAnsi="宋体" w:eastAsia="宋体"/>
          <w:snapToGrid w:val="0"/>
          <w:color w:val="auto"/>
          <w:sz w:val="24"/>
          <w:szCs w:val="24"/>
          <w:highlight w:val="none"/>
          <w:u w:val="single"/>
          <w:lang w:eastAsia="zh-CN"/>
        </w:rPr>
        <w:t>乙方</w:t>
      </w:r>
      <w:r>
        <w:rPr>
          <w:rFonts w:hint="eastAsia" w:ascii="宋体" w:hAnsi="宋体" w:eastAsia="宋体"/>
          <w:snapToGrid w:val="0"/>
          <w:color w:val="auto"/>
          <w:sz w:val="24"/>
          <w:szCs w:val="24"/>
          <w:highlight w:val="none"/>
          <w:lang w:eastAsia="zh-CN"/>
        </w:rPr>
        <w:t>按以下标准</w:t>
      </w:r>
      <w:r>
        <w:rPr>
          <w:rFonts w:hint="eastAsia" w:ascii="宋体" w:hAnsi="宋体" w:eastAsia="宋体"/>
          <w:snapToGrid w:val="0"/>
          <w:color w:val="auto"/>
          <w:sz w:val="24"/>
          <w:szCs w:val="24"/>
          <w:highlight w:val="none"/>
          <w:u w:val="single"/>
          <w:lang w:eastAsia="zh-CN"/>
        </w:rPr>
        <w:t>计收工本费</w:t>
      </w:r>
      <w:r>
        <w:rPr>
          <w:rFonts w:hint="eastAsia" w:ascii="宋体" w:hAnsi="宋体" w:eastAsia="宋体"/>
          <w:snapToGrid w:val="0"/>
          <w:color w:val="auto"/>
          <w:sz w:val="24"/>
          <w:szCs w:val="24"/>
          <w:highlight w:val="none"/>
          <w:lang w:eastAsia="zh-CN"/>
        </w:rPr>
        <w:t>：A0：4元/张；A1：2元/张；A2：1元/张；A3：0.8元/张；A4：0.5元/张。非标图纸按图面大小换算成A2图纸数量，甲方按A2图纸的费用标准支付费用。</w:t>
      </w:r>
    </w:p>
    <w:p w14:paraId="61A13D64">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p>
    <w:p w14:paraId="5570DE5E">
      <w:pPr>
        <w:adjustRightInd w:val="0"/>
        <w:snapToGrid w:val="0"/>
        <w:spacing w:line="360" w:lineRule="auto"/>
        <w:ind w:firstLine="602" w:firstLineChars="200"/>
        <w:jc w:val="center"/>
        <w:rPr>
          <w:rFonts w:hint="eastAsia" w:ascii="宋体" w:hAnsi="宋体" w:eastAsia="宋体"/>
          <w:b/>
          <w:snapToGrid w:val="0"/>
          <w:color w:val="auto"/>
          <w:sz w:val="30"/>
          <w:szCs w:val="30"/>
          <w:highlight w:val="none"/>
          <w:lang w:eastAsia="zh-CN"/>
        </w:rPr>
      </w:pPr>
    </w:p>
    <w:p w14:paraId="54BCD064">
      <w:pPr>
        <w:adjustRightInd w:val="0"/>
        <w:snapToGrid w:val="0"/>
        <w:spacing w:line="360" w:lineRule="auto"/>
        <w:ind w:firstLine="602" w:firstLineChars="200"/>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第十章  综合考评</w:t>
      </w:r>
    </w:p>
    <w:p w14:paraId="0035A51E">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21、综合考评</w:t>
      </w:r>
    </w:p>
    <w:p w14:paraId="446219BD">
      <w:pPr>
        <w:adjustRightInd w:val="0"/>
        <w:snapToGrid w:val="0"/>
        <w:spacing w:line="360" w:lineRule="auto"/>
        <w:ind w:firstLine="360" w:firstLineChars="1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鉴于本工程的重要性，为确保本工程质量，甲方将对参与本合同项目建设的勘察设计、施工、监理等单位进行综合考评，并根据综合考评的结果和甲方的相关规定执行。综合考评每年进行一次。</w:t>
      </w:r>
    </w:p>
    <w:p w14:paraId="4C338BFF">
      <w:pPr>
        <w:adjustRightInd w:val="0"/>
        <w:snapToGrid w:val="0"/>
        <w:spacing w:line="360" w:lineRule="auto"/>
        <w:ind w:firstLine="360" w:firstLineChars="150"/>
        <w:jc w:val="both"/>
        <w:rPr>
          <w:rFonts w:hint="eastAsia" w:ascii="宋体" w:hAnsi="宋体" w:eastAsia="宋体"/>
          <w:bCs/>
          <w:snapToGrid w:val="0"/>
          <w:color w:val="auto"/>
          <w:sz w:val="24"/>
          <w:szCs w:val="30"/>
          <w:highlight w:val="none"/>
          <w:lang w:eastAsia="zh-CN"/>
        </w:rPr>
      </w:pPr>
    </w:p>
    <w:p w14:paraId="2D5922FB">
      <w:pPr>
        <w:adjustRightInd w:val="0"/>
        <w:snapToGrid w:val="0"/>
        <w:spacing w:line="360" w:lineRule="auto"/>
        <w:jc w:val="center"/>
        <w:outlineLvl w:val="9"/>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第十一章  甲方驻场代表和设计咨询工程师</w:t>
      </w:r>
    </w:p>
    <w:p w14:paraId="127E649B">
      <w:pPr>
        <w:tabs>
          <w:tab w:val="left" w:pos="0"/>
        </w:tabs>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22、甲方驻场代表和设计咨询工程师</w:t>
      </w:r>
    </w:p>
    <w:p w14:paraId="494A8C1E">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22.1甲方驻场代表</w:t>
      </w:r>
    </w:p>
    <w:p w14:paraId="7345949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（1）甲方派出的驻项目现场行使本合同约定职权的代表，在本合同中称甲方驻场代表，其姓名、职务、职权由甲方书面通知乙方。</w:t>
      </w:r>
    </w:p>
    <w:p w14:paraId="7970F3C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甲方可在认为必要时撤回对甲方驻场代表的委派，委派和撤回均应提前7天以书面形式通知乙方。如需更换甲方驻场代表，甲方应至少提前7天以书面形式通知乙方，后任继续行使合同文件约定的前任职权，履行前任的义务，认同并不修改前任已经签署的文件和发出的指令及承诺。</w:t>
      </w:r>
    </w:p>
    <w:p w14:paraId="1E575FD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甲方驻场代表在甲方授权范围内向乙方发出的任何书面形式的函件，与甲方发出的函件具有同等效力。甲方驻场代表的指令、通知应由其本人签字后，以书面形式交给乙方设计负责人，乙方设计负责人应立即在回执上签署姓名和收到时间，指令、通知同时生效。</w:t>
      </w:r>
    </w:p>
    <w:p w14:paraId="33B3B564">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（4）乙方对甲方驻场代表向其发出的任何书面形式的函件有疑问时，可将此函件提交甲方，甲方应进行解释。</w:t>
      </w:r>
    </w:p>
    <w:p w14:paraId="204DCBB6">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（5）乙方认为甲方指令不合理，应在收到指令后48小时内向甲方提出请求修改指令的书面报告，甲方在收到乙方报告后48小时内作出修改指令或继续执行原指令的决定，并以书面形式通知乙方。</w:t>
      </w:r>
    </w:p>
    <w:p w14:paraId="51A7E21A">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（6）甲方驻场代表是甲方的履约代表，乙方发出的任何书面形式的文件经甲方驻场代表签收后即视为已送达甲方。</w:t>
      </w:r>
    </w:p>
    <w:p w14:paraId="326149CA">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22.2设计咨询工程师（如有）</w:t>
      </w:r>
    </w:p>
    <w:p w14:paraId="543B1B4C">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基于本工程的复杂性，甲方将聘请专业设计咨询单位对本项目的设计过程实施设计咨询。该单位派驻本项目的代表称为设计咨询工程师。甲方将本合同中约定的自身权利和责任的某一部分委派给设计咨询工程师执行。在实施设计咨询前，甲方须将委托的设计咨询单位名称、设计咨询内容、设计咨询权限、设计咨询工程师的姓名、职务、职权等以书面形式通知乙方。</w:t>
      </w:r>
    </w:p>
    <w:p w14:paraId="626BF869">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设计咨询工程师依据设计咨询单位与甲方签订的《设计咨询（管理）合同》或甲方的书面授权行使职权。乙方对设计咨询工程师的指令应当执行，但当设计咨询工程师的指令与甲方的指令相冲突时，应执行甲方的指令。</w:t>
      </w:r>
    </w:p>
    <w:p w14:paraId="778018A4">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p>
    <w:p w14:paraId="09D6CA53">
      <w:pPr>
        <w:adjustRightInd w:val="0"/>
        <w:snapToGrid w:val="0"/>
        <w:spacing w:line="360" w:lineRule="auto"/>
        <w:jc w:val="center"/>
        <w:rPr>
          <w:rFonts w:hint="eastAsia" w:ascii="宋体" w:hAnsi="宋体" w:eastAsia="宋体"/>
          <w:b/>
          <w:snapToGrid w:val="0"/>
          <w:color w:val="auto"/>
          <w:sz w:val="30"/>
          <w:szCs w:val="30"/>
          <w:highlight w:val="none"/>
          <w:lang w:eastAsia="zh-CN"/>
        </w:rPr>
      </w:pPr>
      <w:bookmarkStart w:id="13" w:name="_Toc81895168"/>
      <w:bookmarkStart w:id="14" w:name="_Toc81802526"/>
      <w:r>
        <w:rPr>
          <w:rFonts w:hint="eastAsia" w:ascii="宋体" w:hAnsi="宋体" w:eastAsia="宋体"/>
          <w:b/>
          <w:snapToGrid w:val="0"/>
          <w:color w:val="auto"/>
          <w:sz w:val="30"/>
          <w:szCs w:val="30"/>
          <w:highlight w:val="none"/>
          <w:lang w:eastAsia="zh-CN"/>
        </w:rPr>
        <w:t>第十二章  甲乙双方的权利和义务</w:t>
      </w:r>
      <w:bookmarkEnd w:id="13"/>
      <w:bookmarkEnd w:id="14"/>
    </w:p>
    <w:p w14:paraId="4D0AD5B0">
      <w:pPr>
        <w:adjustRightInd w:val="0"/>
        <w:snapToGrid w:val="0"/>
        <w:spacing w:line="360" w:lineRule="auto"/>
        <w:ind w:firstLine="472" w:firstLineChars="196"/>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23、甲方的权利和义务</w:t>
      </w:r>
    </w:p>
    <w:p w14:paraId="0D5F89D5">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23.1甲方的权利</w:t>
      </w:r>
    </w:p>
    <w:p w14:paraId="3DF4688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（1）享有乙方提交的勘察、设计成果文件的版权和全部使用权。</w:t>
      </w:r>
    </w:p>
    <w:p w14:paraId="118C89B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在勘察设计进度、勘察设计质量、指派人员、提供服务、协作等方面义务的履行不符合本合同约定时，甲方享有追究乙方违约责任、要求赔偿损失、直至解除合同等权利；同时，甲方还有权将乙方存在的上述违约事实公诸于众和向有关部门反映情况。</w:t>
      </w:r>
    </w:p>
    <w:p w14:paraId="3E2D21C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（3）甲方有权聘请具有相应资质等级的单位作为本工程的勘察、设计咨询单位，乙方应接受该单位按照相关勘察、设计法律法规及规定和甲方赋予的权利所进行的咨询工作。</w:t>
      </w:r>
    </w:p>
    <w:p w14:paraId="4306B1A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（4）勘察、设计变更的审批权，勘察、设计进度的监督权。</w:t>
      </w:r>
    </w:p>
    <w:p w14:paraId="03D1EBD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（5）其他依据合同和法律法规规定属于甲方的权利。</w:t>
      </w:r>
    </w:p>
    <w:p w14:paraId="278AC89F">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23.2甲方的义务</w:t>
      </w:r>
    </w:p>
    <w:p w14:paraId="2D824DAB">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（1）按本合同约定及时向乙方提供有关资料及文件，甲方后续可对相关资料和要求进行补充、更正等。甲方提供的资料及文件具体如下：</w:t>
      </w:r>
    </w:p>
    <w:p w14:paraId="52D62842">
      <w:pPr>
        <w:adjustRightInd w:val="0"/>
        <w:snapToGrid w:val="0"/>
        <w:spacing w:line="360" w:lineRule="auto"/>
        <w:ind w:firstLine="720" w:firstLineChars="3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1）方案设计阶段提供的资料</w:t>
      </w:r>
    </w:p>
    <w:p w14:paraId="4F5C40A4">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① 设计任务书；</w:t>
      </w:r>
    </w:p>
    <w:p w14:paraId="147FA71B">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② 立项批复文件；</w:t>
      </w:r>
    </w:p>
    <w:p w14:paraId="2892657A">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③ 规划建设主管部门对本合同约定项目的规划设计要点；</w:t>
      </w:r>
    </w:p>
    <w:p w14:paraId="13159686">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④ 由规划部门认可的用地红线；</w:t>
      </w:r>
    </w:p>
    <w:p w14:paraId="35375950">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⑤ 本合同约定项目的基础资料，包括用地红线坐标（表）等；</w:t>
      </w:r>
    </w:p>
    <w:p w14:paraId="69718FD8">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⑥ 甲方关于设计、图档、图文、工程等相关管理办法；</w:t>
      </w:r>
    </w:p>
    <w:p w14:paraId="63974057">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⑦ 评标委员会的意见、甲方提出的修改意见和版权属于甲方的其他投标方案。</w:t>
      </w:r>
    </w:p>
    <w:p w14:paraId="04FE238C">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2）初步设计阶段提供的资料</w:t>
      </w:r>
    </w:p>
    <w:p w14:paraId="6505EA5E">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① 甲方对于设计方案的修改意见；</w:t>
      </w:r>
    </w:p>
    <w:p w14:paraId="0EEF9A42">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② 政府部门、职能部门的审批意见；</w:t>
      </w:r>
    </w:p>
    <w:p w14:paraId="50EDC027">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③ 政府或甲方委托（或组织）的评审机构（会议）提出的阶段性书面意见；</w:t>
      </w:r>
    </w:p>
    <w:p w14:paraId="4854C716">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④ 双方来往的各类书面文件、会议纪要等。</w:t>
      </w:r>
    </w:p>
    <w:p w14:paraId="1B24B3AE">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3）提供与勘察相关的文件、资料</w:t>
      </w:r>
    </w:p>
    <w:p w14:paraId="3A2FAFE8">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① 勘察任务书；</w:t>
      </w:r>
    </w:p>
    <w:p w14:paraId="5D01694A">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② 本工程勘察许可等批文（复印件）；</w:t>
      </w:r>
    </w:p>
    <w:p w14:paraId="3098B569">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③ 本合同约定项目的基础资料，包括用地红线坐标（表）等。</w:t>
      </w:r>
    </w:p>
    <w:p w14:paraId="5C9194F2">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④ 勘察范围的建筑总平面布置图（如有），勘察技术要求、技术资料；</w:t>
      </w:r>
    </w:p>
    <w:p w14:paraId="2DBB1EE0">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⑤ 甲方关于设计、图档、图文、工程等相关管理办法；</w:t>
      </w:r>
    </w:p>
    <w:p w14:paraId="3D120A74">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⑥ 设计和建设过程中的政府审批意见，政府或甲方委托（或组织）的评审机构（会议）提出的或甲方发出的阶段性书面意见，双方来往的各类书面文件、会议纪要等。</w:t>
      </w:r>
    </w:p>
    <w:p w14:paraId="4E16030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（2）按本合同约定按时支付勘察、设计费。</w:t>
      </w:r>
    </w:p>
    <w:p w14:paraId="0206150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（3）甲方变更委托勘察、设计项目、规模、条件或所提交资料作较大修改，以致造成乙方勘察、设计返工时，双方应酌情签订补充协议。</w:t>
      </w:r>
    </w:p>
    <w:p w14:paraId="4FA489F6">
      <w:pPr>
        <w:adjustRightInd w:val="0"/>
        <w:snapToGrid w:val="0"/>
        <w:spacing w:line="360" w:lineRule="auto"/>
        <w:ind w:firstLine="480" w:firstLineChars="200"/>
        <w:jc w:val="both"/>
        <w:rPr>
          <w:rFonts w:hint="eastAsia" w:ascii="宋体" w:hAnsi="宋体" w:eastAsia="宋体"/>
          <w:strike/>
          <w:snapToGrid w:val="0"/>
          <w:color w:val="auto"/>
          <w:sz w:val="24"/>
          <w:szCs w:val="24"/>
          <w:highlight w:val="none"/>
          <w:lang w:eastAsia="zh-CN"/>
        </w:rPr>
      </w:pPr>
    </w:p>
    <w:p w14:paraId="59905F9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（4）按本合同约定的勘察、设计进度和阶段及时将乙方提交的所有勘察、设计文件转送相关部门审批，并根据时间表的规定将必要的审批件交付乙方，以便乙方及时完成补充、修改。</w:t>
      </w:r>
    </w:p>
    <w:p w14:paraId="4127ADF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（5）甲方要求乙方比合同约定时间提前交付勘察、设计文件时，须征得乙方同意，并不得严重背离合理勘察、设计周期。</w:t>
      </w:r>
    </w:p>
    <w:p w14:paraId="5272DB4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（6）甲方及审查单位（或设计咨询单位）在收到乙方有关勘察、设计问题的函件后，应在5个工作日内给予书面答复，每次勘察、设计会议纪要应在该次会议结束后两日内书面交付乙方。</w:t>
      </w:r>
    </w:p>
    <w:p w14:paraId="68483674">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24、乙方的权利和义务</w:t>
      </w:r>
    </w:p>
    <w:p w14:paraId="45300D01">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24.1乙方的权利</w:t>
      </w:r>
    </w:p>
    <w:p w14:paraId="63A2730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（1）根据合同约定收取勘察费、设计费。</w:t>
      </w:r>
    </w:p>
    <w:p w14:paraId="336800A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（2）拥有勘察、设计成果文件的署名权。</w:t>
      </w:r>
    </w:p>
    <w:p w14:paraId="3387245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（3）设计方案、图纸未审批之前，在不影响工期及合同约定的提交成果文件的时间的情况下，有权提出修改方案、图纸的建议。</w:t>
      </w:r>
    </w:p>
    <w:p w14:paraId="009E488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（4）有权依据甲方的意图和本工程勘察、设计工作进展情况指令各专业勘察、设计单位按时、按质、按量完成本合同专项工程的勘察、设计工作。</w:t>
      </w:r>
    </w:p>
    <w:p w14:paraId="1C809606">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24.2乙方的义务</w:t>
      </w:r>
    </w:p>
    <w:p w14:paraId="3565F1F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乙方除按照本合同约定完成勘察、设计工作外，乙方的义务还包括但不限于：</w:t>
      </w:r>
    </w:p>
    <w:p w14:paraId="0D1E7F4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在勘察、设计及施工过程中，乙方应充分尊重和理解甲方、代表甲方的审查单位（或设计咨询单位）对勘察、设计提出的书面意见与要求，如无充分的否定理由应尽快予以处理和实施。对合同没有约定的部分和没有描述的部分，双方应另行协商。</w:t>
      </w:r>
    </w:p>
    <w:p w14:paraId="05EEAB9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（2）在勘察、设计各阶段，乙方应根据甲方或有权审批部门的意见，及时修改、完善勘察、设计文件，负责完成由于勘察、设计失误未获有权审核部门批准而出现的反复修改的工作。</w:t>
      </w:r>
    </w:p>
    <w:p w14:paraId="5362739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（3）乙方不享有对勘察、设计文件的留置权，由乙方或其分包单位完成的勘察、设计文件应依据本合同约定的时间提交给甲方的，不论乙方与其分包单位有何种约定或分工，均不得拒绝或拖延向甲方提交。</w:t>
      </w:r>
    </w:p>
    <w:p w14:paraId="74ADF54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（4）乙方应加强对勘察、设计和管理服务人员职业操守的教育，恪守职业道德守则，并严格遵守下列规定：</w:t>
      </w:r>
    </w:p>
    <w:p w14:paraId="126235A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1）严防重产值、轻质量倾向，确保公众人身及财产安全；</w:t>
      </w:r>
    </w:p>
    <w:p w14:paraId="72AC434B">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2）禁止向甲方及施工单位推销材料、设备，或以倾向性、排他性设计变相推销；</w:t>
      </w:r>
    </w:p>
    <w:p w14:paraId="017F950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3）禁止与材料、设备供应商串通，设计中选用价高质次的材料、设备；</w:t>
      </w:r>
    </w:p>
    <w:p w14:paraId="3F987A2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4）禁止与材料、设备供应商串通，在材料、设备的监造或调试过程中对不合格材料、设备产品进行包庇或以次充好，提高产品验收级别；</w:t>
      </w:r>
    </w:p>
    <w:p w14:paraId="6EB1BE5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5）禁止与施工单位串通，对不合格材料、设备、产品、工程进行包庇及验收；</w:t>
      </w:r>
    </w:p>
    <w:p w14:paraId="048E620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6）禁止与施工单位串通，对材料用量、工程量进行虚假签认；</w:t>
      </w:r>
    </w:p>
    <w:p w14:paraId="6DF6E10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7）禁止与施工单位串通，不合理提高施工难度及增加材料用量，以增大施工费用，获取不正当收益。</w:t>
      </w:r>
    </w:p>
    <w:p w14:paraId="5E1D99A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凡违背以上规定者，一经查实，甲方有权向有关部门反映情况，追究乙方及有关责任人相关责任，要求赔偿相关损失，并将上述违反职业道德的行为通过新闻媒体公诸于众，情节严重者移交司法机关追究法律责任。</w:t>
      </w:r>
    </w:p>
    <w:p w14:paraId="3AA4D110">
      <w:pPr>
        <w:pStyle w:val="27"/>
        <w:adjustRightInd w:val="0"/>
        <w:snapToGrid w:val="0"/>
        <w:spacing w:after="0" w:line="360" w:lineRule="auto"/>
        <w:ind w:left="440" w:firstLine="0" w:firstLineChars="0"/>
        <w:jc w:val="both"/>
        <w:rPr>
          <w:rFonts w:hint="eastAsia" w:ascii="宋体" w:hAnsi="宋体" w:eastAsia="宋体"/>
          <w:bCs/>
          <w:snapToGrid w:val="0"/>
          <w:color w:val="auto"/>
          <w:sz w:val="24"/>
          <w:highlight w:val="none"/>
          <w:lang w:eastAsia="zh-CN"/>
        </w:rPr>
      </w:pPr>
      <w:r>
        <w:rPr>
          <w:rFonts w:hint="eastAsia" w:ascii="宋体" w:hAnsi="宋体" w:eastAsia="宋体"/>
          <w:snapToGrid w:val="0"/>
          <w:color w:val="auto"/>
          <w:sz w:val="24"/>
          <w:highlight w:val="none"/>
          <w:lang w:eastAsia="zh-CN"/>
        </w:rPr>
        <w:t>（5）</w:t>
      </w:r>
      <w:r>
        <w:rPr>
          <w:rFonts w:hint="eastAsia" w:ascii="宋体" w:hAnsi="宋体" w:eastAsia="宋体" w:cs="微软雅黑"/>
          <w:bCs/>
          <w:snapToGrid w:val="0"/>
          <w:color w:val="auto"/>
          <w:sz w:val="24"/>
          <w:highlight w:val="none"/>
          <w:lang w:eastAsia="zh-CN"/>
        </w:rPr>
        <w:t>乙方所提供的一切资料、成果应通过合法途径获得，若因乙方侵犯第三方权利给甲方或适用该等资料</w:t>
      </w:r>
      <w:r>
        <w:rPr>
          <w:rFonts w:hint="eastAsia" w:ascii="宋体" w:hAnsi="宋体" w:eastAsia="宋体"/>
          <w:bCs/>
          <w:snapToGrid w:val="0"/>
          <w:color w:val="auto"/>
          <w:sz w:val="24"/>
          <w:highlight w:val="none"/>
          <w:lang w:eastAsia="zh-CN"/>
        </w:rPr>
        <w:t>/</w:t>
      </w:r>
      <w:r>
        <w:rPr>
          <w:rFonts w:hint="eastAsia" w:ascii="宋体" w:hAnsi="宋体" w:eastAsia="宋体" w:cs="微软雅黑"/>
          <w:bCs/>
          <w:snapToGrid w:val="0"/>
          <w:color w:val="auto"/>
          <w:sz w:val="24"/>
          <w:highlight w:val="none"/>
          <w:lang w:eastAsia="zh-CN"/>
        </w:rPr>
        <w:t>成果的本项目相关方造成损失的，乙方应承担全部赔偿责任。</w:t>
      </w:r>
    </w:p>
    <w:p w14:paraId="38CCB57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（6）其他依据法律规定和本合同约定应由乙方履行的义务。</w:t>
      </w:r>
    </w:p>
    <w:p w14:paraId="1CC8BAB9">
      <w:pPr>
        <w:adjustRightInd w:val="0"/>
        <w:snapToGrid w:val="0"/>
        <w:spacing w:line="360" w:lineRule="auto"/>
        <w:jc w:val="both"/>
        <w:rPr>
          <w:rFonts w:hint="eastAsia" w:ascii="宋体" w:hAnsi="宋体" w:eastAsia="宋体"/>
          <w:b/>
          <w:snapToGrid w:val="0"/>
          <w:color w:val="auto"/>
          <w:sz w:val="30"/>
          <w:szCs w:val="30"/>
          <w:highlight w:val="none"/>
          <w:lang w:eastAsia="zh-CN"/>
        </w:rPr>
      </w:pPr>
    </w:p>
    <w:p w14:paraId="66742B3D">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第十三章  违约责任</w:t>
      </w:r>
    </w:p>
    <w:p w14:paraId="42564F32">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25、甲方的违约责任</w:t>
      </w:r>
    </w:p>
    <w:p w14:paraId="0AD10416">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25.1</w:t>
      </w:r>
      <w:r>
        <w:rPr>
          <w:rFonts w:hint="eastAsia" w:ascii="宋体" w:hAnsi="宋体" w:eastAsia="宋体"/>
          <w:snapToGrid w:val="0"/>
          <w:color w:val="auto"/>
          <w:sz w:val="24"/>
          <w:szCs w:val="24"/>
          <w:highlight w:val="none"/>
          <w:lang w:eastAsia="zh-CN"/>
        </w:rPr>
        <w:t>本合同生效后，甲方无正当理由不按合同约定支付首付款的，乙方有权提出延长勘察、设计工期。</w:t>
      </w:r>
    </w:p>
    <w:p w14:paraId="28060A8D">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25.2</w:t>
      </w:r>
      <w:r>
        <w:rPr>
          <w:rFonts w:hint="eastAsia" w:ascii="宋体" w:hAnsi="宋体" w:eastAsia="宋体"/>
          <w:snapToGrid w:val="0"/>
          <w:color w:val="auto"/>
          <w:sz w:val="24"/>
          <w:szCs w:val="24"/>
          <w:highlight w:val="none"/>
          <w:lang w:eastAsia="zh-CN"/>
        </w:rPr>
        <w:t>甲方无正当理由不按合同约定支付勘察、设计进度款的，除应支付本合同约定的勘察、设计进度款外，还应按全国银行间同业拆借中心发布的同期贷款市场报价利率(LPR)向乙方计付该进度款拖欠期间的利息。</w:t>
      </w:r>
    </w:p>
    <w:p w14:paraId="72A3429D">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25.3</w:t>
      </w:r>
      <w:r>
        <w:rPr>
          <w:rFonts w:hint="eastAsia" w:ascii="宋体" w:hAnsi="宋体" w:eastAsia="宋体"/>
          <w:snapToGrid w:val="0"/>
          <w:color w:val="auto"/>
          <w:sz w:val="24"/>
          <w:szCs w:val="24"/>
          <w:highlight w:val="none"/>
          <w:lang w:eastAsia="zh-CN"/>
        </w:rPr>
        <w:t>甲方无正当理由不支付乙方勘察、设计竣工结算款的，除应支付乙方勘察、设计竣工结算款外，还应按全国银行间同业拆借中心发布的同期贷款市场报价利率(LPR)向乙方计付该竣工结算款拖欠期间的利息。</w:t>
      </w:r>
    </w:p>
    <w:p w14:paraId="2468B6C9">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25.4</w:t>
      </w:r>
      <w:r>
        <w:rPr>
          <w:rFonts w:hint="eastAsia" w:ascii="宋体" w:hAnsi="宋体" w:eastAsia="宋体"/>
          <w:snapToGrid w:val="0"/>
          <w:color w:val="auto"/>
          <w:sz w:val="24"/>
          <w:szCs w:val="24"/>
          <w:highlight w:val="none"/>
          <w:lang w:eastAsia="zh-CN"/>
        </w:rPr>
        <w:t>甲方违约给乙方造成损失的，在乙方能够提交足够证据并经查证属实的情况下，甲方应赔偿其直接经济损失。</w:t>
      </w:r>
    </w:p>
    <w:p w14:paraId="777B94B0">
      <w:pPr>
        <w:pStyle w:val="6"/>
        <w:adjustRightInd w:val="0"/>
        <w:snapToGrid w:val="0"/>
        <w:spacing w:line="360" w:lineRule="auto"/>
        <w:ind w:firstLine="482" w:firstLineChars="200"/>
        <w:rPr>
          <w:rFonts w:eastAsia="宋体"/>
          <w:snapToGrid w:val="0"/>
          <w:color w:val="auto"/>
          <w:highlight w:val="none"/>
          <w:lang w:eastAsia="zh-CN"/>
        </w:rPr>
      </w:pPr>
      <w:r>
        <w:rPr>
          <w:rFonts w:hint="eastAsia" w:ascii="宋体" w:hAnsi="宋体" w:eastAsia="宋体"/>
          <w:b/>
          <w:snapToGrid w:val="0"/>
          <w:color w:val="auto"/>
          <w:sz w:val="24"/>
          <w:szCs w:val="24"/>
          <w:highlight w:val="none"/>
          <w:lang w:eastAsia="zh-CN"/>
        </w:rPr>
        <w:t xml:space="preserve">25.5 </w:t>
      </w:r>
      <w:r>
        <w:rPr>
          <w:rFonts w:hint="eastAsia" w:eastAsia="宋体"/>
          <w:snapToGrid w:val="0"/>
          <w:color w:val="auto"/>
          <w:highlight w:val="none"/>
          <w:lang w:eastAsia="zh-CN"/>
        </w:rPr>
        <w:t>本</w:t>
      </w:r>
      <w:r>
        <w:rPr>
          <w:rFonts w:hint="eastAsia" w:ascii="宋体" w:hAnsi="宋体" w:eastAsia="宋体"/>
          <w:snapToGrid w:val="0"/>
          <w:color w:val="auto"/>
          <w:sz w:val="24"/>
          <w:szCs w:val="24"/>
          <w:highlight w:val="none"/>
          <w:lang w:eastAsia="zh-CN"/>
        </w:rPr>
        <w:t>合同项下款项需向相关政府部门申请拨付，各阶段支付条件除上述约定外，还应包括甲方向相关政府部分申请款项并获得批准且得到拨付，且付款时间应根据相应拨付时间顺延。乙方不可撤销地承诺，因政府财政支付问题导致的本合同项下勘察、设计费用的逾期支付，不属违约情形，乙方无权以任何理由要求甲方承担任何违约赔偿责任。</w:t>
      </w:r>
    </w:p>
    <w:p w14:paraId="3C754674">
      <w:pPr>
        <w:adjustRightInd w:val="0"/>
        <w:snapToGrid w:val="0"/>
        <w:spacing w:line="360" w:lineRule="auto"/>
        <w:ind w:firstLine="472" w:firstLineChars="196"/>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26、乙方的违约责任</w:t>
      </w:r>
    </w:p>
    <w:p w14:paraId="0D8B448F">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26.1</w:t>
      </w:r>
      <w:r>
        <w:rPr>
          <w:rFonts w:hint="eastAsia" w:ascii="宋体" w:hAnsi="宋体" w:eastAsia="宋体"/>
          <w:snapToGrid w:val="0"/>
          <w:color w:val="auto"/>
          <w:sz w:val="24"/>
          <w:szCs w:val="24"/>
          <w:highlight w:val="none"/>
          <w:lang w:eastAsia="zh-CN"/>
        </w:rPr>
        <w:t>乙方承担违约责任的方式包括但不限于：</w:t>
      </w:r>
    </w:p>
    <w:p w14:paraId="62ED4A0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（1）一般违约责任。乙方每次违反本合同的约定须承担一般违约责任时，必须向甲方交纳违约金1000元</w:t>
      </w:r>
      <w:r>
        <w:rPr>
          <w:rFonts w:hint="eastAsia" w:ascii="宋体" w:hAnsi="宋体" w:eastAsia="宋体"/>
          <w:bCs/>
          <w:snapToGrid w:val="0"/>
          <w:color w:val="auto"/>
          <w:sz w:val="24"/>
          <w:szCs w:val="24"/>
          <w:highlight w:val="none"/>
          <w:lang w:eastAsia="zh-CN"/>
        </w:rPr>
        <w:t>/次</w:t>
      </w:r>
      <w:r>
        <w:rPr>
          <w:rFonts w:hint="eastAsia" w:ascii="宋体" w:hAnsi="宋体" w:eastAsia="宋体"/>
          <w:snapToGrid w:val="0"/>
          <w:color w:val="auto"/>
          <w:sz w:val="24"/>
          <w:szCs w:val="24"/>
          <w:highlight w:val="none"/>
          <w:lang w:eastAsia="zh-CN"/>
        </w:rPr>
        <w:t>。</w:t>
      </w:r>
    </w:p>
    <w:p w14:paraId="327FDF7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（2）严重违约责任。乙方每次违反本合同的约定须承担严重违约责任时，必须向甲方交纳违约金3000元/次。</w:t>
      </w:r>
    </w:p>
    <w:p w14:paraId="19AF1F7A">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（3）赔偿损失。</w:t>
      </w:r>
      <w:r>
        <w:rPr>
          <w:rFonts w:hint="eastAsia" w:ascii="宋体" w:hAnsi="宋体" w:eastAsia="宋体"/>
          <w:bCs/>
          <w:snapToGrid w:val="0"/>
          <w:color w:val="auto"/>
          <w:sz w:val="24"/>
          <w:szCs w:val="24"/>
          <w:highlight w:val="none"/>
          <w:lang w:eastAsia="zh-CN"/>
        </w:rPr>
        <w:t>因乙方原因造成甲方经济损失的，乙方应赔偿甲方的经济损失</w:t>
      </w:r>
      <w:r>
        <w:rPr>
          <w:rFonts w:hint="eastAsia" w:ascii="宋体" w:hAnsi="宋体" w:eastAsia="宋体"/>
          <w:snapToGrid w:val="0"/>
          <w:color w:val="auto"/>
          <w:sz w:val="24"/>
          <w:szCs w:val="24"/>
          <w:highlight w:val="none"/>
          <w:lang w:eastAsia="zh-CN"/>
        </w:rPr>
        <w:t>。</w:t>
      </w:r>
    </w:p>
    <w:p w14:paraId="2A05A11E">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（4）部分解除合同。</w:t>
      </w:r>
      <w:r>
        <w:rPr>
          <w:rFonts w:hint="eastAsia" w:ascii="宋体" w:hAnsi="宋体" w:eastAsia="宋体"/>
          <w:bCs/>
          <w:snapToGrid w:val="0"/>
          <w:color w:val="auto"/>
          <w:sz w:val="24"/>
          <w:szCs w:val="24"/>
          <w:highlight w:val="none"/>
          <w:lang w:eastAsia="zh-CN"/>
        </w:rPr>
        <w:t>当乙方违反本合同的约定达到部分解除合同的条件或发生法律规定的其他可解除情形时，甲方有权向乙方发出部分解除合同的书面通知，该通知在送达乙方时立即生效。</w:t>
      </w:r>
      <w:r>
        <w:rPr>
          <w:rFonts w:hint="eastAsia" w:ascii="宋体" w:hAnsi="宋体" w:eastAsia="宋体"/>
          <w:snapToGrid w:val="0"/>
          <w:color w:val="auto"/>
          <w:sz w:val="24"/>
          <w:szCs w:val="24"/>
          <w:highlight w:val="none"/>
          <w:lang w:eastAsia="zh-CN"/>
        </w:rPr>
        <w:t>乙方应在该通知生效之日起五天内向甲方支付本合同价款5%的违约金，违约金不足以弥补甲方全部损失的，乙方还应予以赔偿</w:t>
      </w:r>
      <w:r>
        <w:rPr>
          <w:rFonts w:hint="eastAsia" w:ascii="宋体" w:hAnsi="宋体" w:eastAsia="宋体"/>
          <w:bCs/>
          <w:snapToGrid w:val="0"/>
          <w:color w:val="auto"/>
          <w:sz w:val="24"/>
          <w:szCs w:val="24"/>
          <w:highlight w:val="none"/>
          <w:lang w:eastAsia="zh-CN"/>
        </w:rPr>
        <w:t>。同时，</w:t>
      </w:r>
      <w:r>
        <w:rPr>
          <w:rFonts w:hint="eastAsia" w:ascii="宋体" w:hAnsi="宋体" w:eastAsia="宋体"/>
          <w:snapToGrid w:val="0"/>
          <w:color w:val="auto"/>
          <w:sz w:val="24"/>
          <w:szCs w:val="24"/>
          <w:highlight w:val="none"/>
          <w:lang w:eastAsia="zh-CN"/>
        </w:rPr>
        <w:t>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他方面的损失，乙方必须按甲方的要求赔偿。</w:t>
      </w:r>
    </w:p>
    <w:p w14:paraId="01D25F77">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（5）解除合同。</w:t>
      </w:r>
      <w:r>
        <w:rPr>
          <w:rFonts w:hint="eastAsia" w:ascii="宋体" w:hAnsi="宋体" w:eastAsia="宋体"/>
          <w:bCs/>
          <w:snapToGrid w:val="0"/>
          <w:color w:val="auto"/>
          <w:sz w:val="24"/>
          <w:szCs w:val="24"/>
          <w:highlight w:val="none"/>
          <w:lang w:eastAsia="zh-CN"/>
        </w:rPr>
        <w:t>当乙方违反本合同的约定符合解除合同的条件或发生法律规定的其他可解除情形时，甲方有权向乙方发出解除合同的书面通知，该通知在送达乙方时立即生效。</w:t>
      </w:r>
      <w:r>
        <w:rPr>
          <w:rFonts w:hint="eastAsia" w:ascii="宋体" w:hAnsi="宋体" w:eastAsia="宋体"/>
          <w:snapToGrid w:val="0"/>
          <w:color w:val="auto"/>
          <w:sz w:val="24"/>
          <w:szCs w:val="24"/>
          <w:highlight w:val="none"/>
          <w:lang w:eastAsia="zh-CN"/>
        </w:rPr>
        <w:t>乙方应在该通知生效之日起五天内向甲方支付本合同价款5%的违约金，违约金不足以弥补给甲方造成损失的，乙方应赔偿甲方的全部损失。</w:t>
      </w:r>
      <w:r>
        <w:rPr>
          <w:rFonts w:hint="eastAsia" w:ascii="宋体" w:hAnsi="宋体" w:eastAsia="宋体"/>
          <w:bCs/>
          <w:snapToGrid w:val="0"/>
          <w:color w:val="auto"/>
          <w:sz w:val="24"/>
          <w:szCs w:val="24"/>
          <w:highlight w:val="none"/>
          <w:lang w:eastAsia="zh-CN"/>
        </w:rPr>
        <w:t>同时，</w:t>
      </w:r>
      <w:r>
        <w:rPr>
          <w:rFonts w:hint="eastAsia" w:ascii="宋体" w:hAnsi="宋体" w:eastAsia="宋体"/>
          <w:snapToGrid w:val="0"/>
          <w:color w:val="auto"/>
          <w:sz w:val="24"/>
          <w:szCs w:val="24"/>
          <w:highlight w:val="none"/>
          <w:lang w:eastAsia="zh-CN"/>
        </w:rPr>
        <w:t>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他方面的损失，甲方有权要求乙方赔偿。</w:t>
      </w:r>
    </w:p>
    <w:p w14:paraId="26C043A2">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（6）乙方按本合同约定应缴纳的违约金和赔偿金应分别计算。违约金累计总额不超过本合同结算价款的25%，如违约金不足以弥补给甲方造成的损失的，乙方还应赔偿甲方的损失。</w:t>
      </w:r>
    </w:p>
    <w:p w14:paraId="572DBC80">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26.2</w:t>
      </w:r>
      <w:r>
        <w:rPr>
          <w:rFonts w:hint="eastAsia" w:ascii="宋体" w:hAnsi="宋体" w:eastAsia="宋体"/>
          <w:bCs/>
          <w:snapToGrid w:val="0"/>
          <w:color w:val="auto"/>
          <w:sz w:val="24"/>
          <w:szCs w:val="24"/>
          <w:highlight w:val="none"/>
          <w:lang w:eastAsia="zh-CN"/>
        </w:rPr>
        <w:t>在本合同有效期内，乙方承担一般违约责任累计达3次的，另行追加严重违约责任1次；累计承担严重违约责任达3次的，甲方有权单方面部分解除合同或解除合同并不承担任何违约责任。</w:t>
      </w:r>
    </w:p>
    <w:p w14:paraId="124BB5A8">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26.3</w:t>
      </w:r>
      <w:r>
        <w:rPr>
          <w:rFonts w:hint="eastAsia" w:ascii="宋体" w:hAnsi="宋体" w:eastAsia="宋体"/>
          <w:snapToGrid w:val="0"/>
          <w:color w:val="auto"/>
          <w:sz w:val="24"/>
          <w:szCs w:val="24"/>
          <w:highlight w:val="none"/>
          <w:lang w:eastAsia="zh-CN"/>
        </w:rPr>
        <w:t>乙方违约需向甲方支付违约金、赔偿金时，按合同条款第29条约定的索赔方式执行。必要时，甲方有权书面通知乙方交纳，乙方必须在甲方规定的时间内主动交纳。</w:t>
      </w:r>
    </w:p>
    <w:p w14:paraId="440AFF43">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26.4</w:t>
      </w:r>
      <w:r>
        <w:rPr>
          <w:rFonts w:hint="eastAsia" w:ascii="宋体" w:hAnsi="宋体" w:eastAsia="宋体"/>
          <w:snapToGrid w:val="0"/>
          <w:color w:val="auto"/>
          <w:sz w:val="24"/>
          <w:szCs w:val="24"/>
          <w:highlight w:val="none"/>
          <w:lang w:eastAsia="zh-CN"/>
        </w:rPr>
        <w:t>本合同解除后，乙方已经完成的勘察、设计成果文件全部归甲方所有，甲方有权与其他勘察、设计单位签订勘察、设计合同，其他勘察、设计单位有权在乙方已经完成的勘察、设计成果文件的基础上继续勘察、设计，乙方不得有异议，并不得向甲方或者其他勘察、设计单位索取任何费用。</w:t>
      </w:r>
    </w:p>
    <w:p w14:paraId="755934C0">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26.5</w:t>
      </w:r>
      <w:r>
        <w:rPr>
          <w:rFonts w:hint="eastAsia" w:ascii="宋体" w:hAnsi="宋体" w:eastAsia="宋体"/>
          <w:snapToGrid w:val="0"/>
          <w:color w:val="auto"/>
          <w:sz w:val="24"/>
          <w:szCs w:val="24"/>
          <w:highlight w:val="none"/>
          <w:lang w:eastAsia="zh-CN"/>
        </w:rPr>
        <w:t>勘察、设计管理、服务方面的违约责任</w:t>
      </w:r>
    </w:p>
    <w:p w14:paraId="3556EF2B">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在本工程勘察、设计招投标或履行合同过程中贿赂甲方人员或项目有关主管人员的，视为不正当竞争并承担严重违约责任1次。情节特别严重的，甲方有权单方面解除合同。涉嫌犯罪的，移交司法部门处理。</w:t>
      </w:r>
    </w:p>
    <w:p w14:paraId="3C3D516E">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（2）乙方单方面终止或解除本合同的，应参照合同条款第28.1（5）款所约定的标准承担违约责任并向甲方赔偿损失。</w:t>
      </w:r>
    </w:p>
    <w:p w14:paraId="3E0A116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未能按合同约定投入人员或投入人员没有按时到位的人员为一般勘察、设计人员的，每出现1人次，乙方承担一般违约责任1次；如该没有投入或者没有按时到位的人员为勘察、设计专业负责人员的，每出现1人次，乙方承担严重违约责任1次。乙方要求更换人员的，按合同条款第28.5（6）款的约定执行。乙方在甲方规定的宽限期内仍未将人员投入到位的，甲方有权另请他人接替其工作，另请他人的费用从应支付给乙方的勘察、设计费中扣减，乙方不得提出任何异议。</w:t>
      </w:r>
    </w:p>
    <w:p w14:paraId="29CCA3A1">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纳入甲方统一管理的勘察、设计服务人员（含现场服务人员）不遵守甲方管理制度或者工作不称职的，必须在甲方规定的时间内予以更换。到期不更换的，视为乙方未能按合同约定投入人员，参照合同条款第28.5（3）款的约定执行。</w:t>
      </w:r>
    </w:p>
    <w:p w14:paraId="1F2603EA">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hint="eastAsia" w:ascii="宋体" w:hAnsi="宋体" w:eastAsia="宋体"/>
          <w:snapToGrid w:val="0"/>
          <w:color w:val="auto"/>
          <w:sz w:val="24"/>
          <w:szCs w:val="24"/>
          <w:highlight w:val="none"/>
          <w:lang w:val="en-US" w:eastAsia="zh-CN"/>
        </w:rPr>
        <w:t>5</w:t>
      </w:r>
      <w:r>
        <w:rPr>
          <w:rFonts w:hint="eastAsia" w:ascii="宋体" w:hAnsi="宋体" w:eastAsia="宋体"/>
          <w:snapToGrid w:val="0"/>
          <w:color w:val="auto"/>
          <w:sz w:val="24"/>
          <w:szCs w:val="24"/>
          <w:highlight w:val="none"/>
          <w:lang w:eastAsia="zh-CN"/>
        </w:rPr>
        <w:t>）在本合同履行期内乙方要求更换人员的，按以下约定处理：</w:t>
      </w:r>
    </w:p>
    <w:p w14:paraId="47CDADDE">
      <w:pPr>
        <w:widowControl/>
        <w:adjustRightInd w:val="0"/>
        <w:snapToGrid w:val="0"/>
        <w:spacing w:line="360" w:lineRule="auto"/>
        <w:ind w:firstLine="720" w:firstLineChars="3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w:t>
      </w:r>
      <w:r>
        <w:rPr>
          <w:rFonts w:hint="eastAsia" w:ascii="宋体" w:hAnsi="宋体" w:eastAsia="宋体"/>
          <w:snapToGrid w:val="0"/>
          <w:color w:val="auto"/>
          <w:sz w:val="24"/>
          <w:szCs w:val="24"/>
          <w:highlight w:val="none"/>
          <w:lang w:val="en-US" w:eastAsia="zh-CN"/>
        </w:rPr>
        <w:t>未</w:t>
      </w:r>
      <w:r>
        <w:rPr>
          <w:rFonts w:hint="eastAsia" w:ascii="宋体" w:hAnsi="宋体" w:eastAsia="宋体"/>
          <w:snapToGrid w:val="0"/>
          <w:color w:val="auto"/>
          <w:sz w:val="24"/>
          <w:szCs w:val="24"/>
          <w:highlight w:val="none"/>
          <w:lang w:eastAsia="zh-CN"/>
        </w:rPr>
        <w:t>经甲方同意的，更换勘察、设计负责人须向甲方支付违约金</w:t>
      </w:r>
      <w:r>
        <w:rPr>
          <w:rFonts w:hint="eastAsia" w:ascii="宋体" w:hAnsi="宋体" w:eastAsia="宋体"/>
          <w:snapToGrid w:val="0"/>
          <w:color w:val="auto"/>
          <w:sz w:val="24"/>
          <w:szCs w:val="24"/>
          <w:highlight w:val="none"/>
          <w:lang w:val="en-US" w:eastAsia="zh-CN"/>
        </w:rPr>
        <w:t>1</w:t>
      </w:r>
      <w:r>
        <w:rPr>
          <w:rFonts w:hint="eastAsia" w:ascii="宋体" w:hAnsi="宋体" w:eastAsia="宋体"/>
          <w:snapToGrid w:val="0"/>
          <w:color w:val="auto"/>
          <w:sz w:val="24"/>
          <w:szCs w:val="24"/>
          <w:highlight w:val="none"/>
          <w:lang w:eastAsia="zh-CN"/>
        </w:rPr>
        <w:t>万元/人次；</w:t>
      </w:r>
    </w:p>
    <w:p w14:paraId="51FB2179">
      <w:pPr>
        <w:widowControl/>
        <w:adjustRightInd w:val="0"/>
        <w:snapToGrid w:val="0"/>
        <w:spacing w:line="360" w:lineRule="auto"/>
        <w:ind w:firstLine="720" w:firstLineChars="3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val="en-US" w:eastAsia="zh-CN"/>
        </w:rPr>
        <w:t>2</w:t>
      </w:r>
      <w:r>
        <w:rPr>
          <w:rFonts w:hint="eastAsia" w:ascii="宋体" w:hAnsi="宋体" w:eastAsia="宋体"/>
          <w:snapToGrid w:val="0"/>
          <w:color w:val="auto"/>
          <w:sz w:val="24"/>
          <w:szCs w:val="24"/>
          <w:highlight w:val="none"/>
          <w:lang w:eastAsia="zh-CN"/>
        </w:rPr>
        <w:t>）因不可抗力事件（如重病、重伤、失踪、死亡等）造成勘察设计人员岗位空缺的，乙方必须在出现空缺之日起五日内按照投标文件承诺的标准予以补充，但无须向甲方支付违约金。逾期未予补充或补充人员不符合投标文件承诺标准的，视作乙方未能按照合同约定投入勘察设计人员，参照合同条款第28.5（3）款的约定执行。</w:t>
      </w:r>
    </w:p>
    <w:p w14:paraId="1BF7C6B3">
      <w:pPr>
        <w:adjustRightInd w:val="0"/>
        <w:snapToGrid w:val="0"/>
        <w:spacing w:line="360" w:lineRule="auto"/>
        <w:ind w:right="11" w:firstLine="700" w:firstLineChars="292"/>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val="en-US" w:eastAsia="zh-CN"/>
        </w:rPr>
        <w:t>3</w:t>
      </w:r>
      <w:r>
        <w:rPr>
          <w:rFonts w:hint="eastAsia" w:ascii="宋体" w:hAnsi="宋体" w:eastAsia="宋体"/>
          <w:snapToGrid w:val="0"/>
          <w:color w:val="auto"/>
          <w:sz w:val="24"/>
          <w:szCs w:val="24"/>
          <w:highlight w:val="none"/>
          <w:lang w:eastAsia="zh-CN"/>
        </w:rPr>
        <w:t>）甲方要求乙方以实际工作能力较高的人员调换实际工作能力较低的现场人员，或者乙方主动要求以实际工作能力较高的人员调换实际工作能力较低的现场人员并经甲方批准且经实践证实的，乙方可不承担违约责任。</w:t>
      </w:r>
    </w:p>
    <w:p w14:paraId="2A940301">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hint="eastAsia" w:ascii="宋体" w:hAnsi="宋体" w:eastAsia="宋体"/>
          <w:snapToGrid w:val="0"/>
          <w:color w:val="auto"/>
          <w:sz w:val="24"/>
          <w:szCs w:val="24"/>
          <w:highlight w:val="none"/>
          <w:lang w:val="en-US" w:eastAsia="zh-CN"/>
        </w:rPr>
        <w:t>4</w:t>
      </w:r>
      <w:r>
        <w:rPr>
          <w:rFonts w:hint="eastAsia" w:ascii="宋体" w:hAnsi="宋体" w:eastAsia="宋体"/>
          <w:snapToGrid w:val="0"/>
          <w:color w:val="auto"/>
          <w:sz w:val="24"/>
          <w:szCs w:val="24"/>
          <w:highlight w:val="none"/>
          <w:lang w:eastAsia="zh-CN"/>
        </w:rPr>
        <w:t>）乙方应支持、服从甲方的管理工作，对甲方或设计咨询单位的指令和书面通知，若无正当理由又未提前报告、得到认可，而公开或变相拒不执行的，第一次承担一般违约责任1次；第二次及以后，每发生一次承担严重违约责任1次，</w:t>
      </w:r>
      <w:r>
        <w:rPr>
          <w:rFonts w:hint="eastAsia" w:ascii="宋体" w:hAnsi="宋体" w:eastAsia="宋体"/>
          <w:bCs/>
          <w:snapToGrid w:val="0"/>
          <w:color w:val="auto"/>
          <w:sz w:val="24"/>
          <w:szCs w:val="24"/>
          <w:highlight w:val="none"/>
          <w:lang w:eastAsia="zh-CN"/>
        </w:rPr>
        <w:t>情节特别严重的，甲方有权部分解除合同或解除合同</w:t>
      </w:r>
      <w:r>
        <w:rPr>
          <w:rFonts w:hint="eastAsia" w:ascii="宋体" w:hAnsi="宋体" w:eastAsia="宋体"/>
          <w:snapToGrid w:val="0"/>
          <w:color w:val="auto"/>
          <w:sz w:val="24"/>
          <w:szCs w:val="24"/>
          <w:highlight w:val="none"/>
          <w:lang w:eastAsia="zh-CN"/>
        </w:rPr>
        <w:t>。给甲方造成损失的，乙方应赔偿甲方的全部损失。</w:t>
      </w:r>
    </w:p>
    <w:p w14:paraId="27294727">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hint="eastAsia" w:ascii="宋体" w:hAnsi="宋体" w:eastAsia="宋体"/>
          <w:snapToGrid w:val="0"/>
          <w:color w:val="auto"/>
          <w:sz w:val="24"/>
          <w:szCs w:val="24"/>
          <w:highlight w:val="none"/>
          <w:lang w:val="en-US" w:eastAsia="zh-CN"/>
        </w:rPr>
        <w:t>5</w:t>
      </w:r>
      <w:r>
        <w:rPr>
          <w:rFonts w:hint="eastAsia" w:ascii="宋体" w:hAnsi="宋体" w:eastAsia="宋体"/>
          <w:snapToGrid w:val="0"/>
          <w:color w:val="auto"/>
          <w:sz w:val="24"/>
          <w:szCs w:val="24"/>
          <w:highlight w:val="none"/>
          <w:lang w:eastAsia="zh-CN"/>
        </w:rPr>
        <w:t>）乙方未遵守甲方依据合同条款总则第二条约定所制订的各项制度、规定的，由乙方按所触犯制度、规定的有关规定承担责任。所触犯制度、规定没有明确规定的，视为不服从甲方的管理工作，参照合同条款第28.5（7）款的约定处理。</w:t>
      </w:r>
    </w:p>
    <w:p w14:paraId="6F6FF31B">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hint="eastAsia" w:ascii="宋体" w:hAnsi="宋体" w:eastAsia="宋体"/>
          <w:snapToGrid w:val="0"/>
          <w:color w:val="auto"/>
          <w:sz w:val="24"/>
          <w:szCs w:val="24"/>
          <w:highlight w:val="none"/>
          <w:lang w:val="en-US" w:eastAsia="zh-CN"/>
        </w:rPr>
        <w:t>6</w:t>
      </w:r>
      <w:r>
        <w:rPr>
          <w:rFonts w:hint="eastAsia" w:ascii="宋体" w:hAnsi="宋体" w:eastAsia="宋体"/>
          <w:snapToGrid w:val="0"/>
          <w:color w:val="auto"/>
          <w:sz w:val="24"/>
          <w:szCs w:val="24"/>
          <w:highlight w:val="none"/>
          <w:lang w:eastAsia="zh-CN"/>
        </w:rPr>
        <w:t>）乙方未按合同约定做好配合协调工作，经设计咨询单位或甲方发出限期改正通知之日起3天内，乙方仍未能整改至令设计咨询单位或甲方满意的，视为不服从甲方的管理工作，参照合同条款第28.5（7）款的约定处理。</w:t>
      </w:r>
    </w:p>
    <w:p w14:paraId="6940EDE4">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hint="eastAsia" w:ascii="宋体" w:hAnsi="宋体" w:eastAsia="宋体"/>
          <w:snapToGrid w:val="0"/>
          <w:color w:val="auto"/>
          <w:sz w:val="24"/>
          <w:szCs w:val="24"/>
          <w:highlight w:val="none"/>
          <w:lang w:val="en-US" w:eastAsia="zh-CN"/>
        </w:rPr>
        <w:t>7</w:t>
      </w:r>
      <w:r>
        <w:rPr>
          <w:rFonts w:hint="eastAsia" w:ascii="宋体" w:hAnsi="宋体" w:eastAsia="宋体"/>
          <w:snapToGrid w:val="0"/>
          <w:color w:val="auto"/>
          <w:sz w:val="24"/>
          <w:szCs w:val="24"/>
          <w:highlight w:val="none"/>
          <w:lang w:eastAsia="zh-CN"/>
        </w:rPr>
        <w:t>）对于甲方通知乙方（包括乙方分包单位）参加的会议（包括但不限于进场会、现场问题处理会议、工程验收会议、结算问题处理会议、质保期工作的相关会议等），被通知人员（包括但不限于乙方法定代表人、经报甲方批准同意的乙方法定代表人授权人、项目负责人等）未经甲方书面同意自行缺席的，每缺席一人次，乙方承担1次一般违约责任。</w:t>
      </w:r>
    </w:p>
    <w:p w14:paraId="4FB5DA8F">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hint="eastAsia" w:ascii="宋体" w:hAnsi="宋体" w:eastAsia="宋体"/>
          <w:snapToGrid w:val="0"/>
          <w:color w:val="auto"/>
          <w:sz w:val="24"/>
          <w:szCs w:val="24"/>
          <w:highlight w:val="none"/>
          <w:lang w:val="en-US" w:eastAsia="zh-CN"/>
        </w:rPr>
        <w:t>8</w:t>
      </w:r>
      <w:r>
        <w:rPr>
          <w:rFonts w:hint="eastAsia" w:ascii="宋体" w:hAnsi="宋体" w:eastAsia="宋体"/>
          <w:snapToGrid w:val="0"/>
          <w:color w:val="auto"/>
          <w:sz w:val="24"/>
          <w:szCs w:val="24"/>
          <w:highlight w:val="none"/>
          <w:lang w:eastAsia="zh-CN"/>
        </w:rPr>
        <w:t>）乙方未能按合同约定及时提供招标配合服务，或其招标配合服务未能达到合同约定的要求，或其提供的服务不能达到令甲方满意的程度的，导致甲方的招标工作不能按时顺利进行的，每经甲方确认1次，乙方承担一般违约责任1次。</w:t>
      </w:r>
    </w:p>
    <w:p w14:paraId="4B3E84D2">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hint="eastAsia" w:ascii="宋体" w:hAnsi="宋体" w:eastAsia="宋体"/>
          <w:snapToGrid w:val="0"/>
          <w:color w:val="auto"/>
          <w:sz w:val="24"/>
          <w:szCs w:val="24"/>
          <w:highlight w:val="none"/>
          <w:lang w:val="en-US" w:eastAsia="zh-CN"/>
        </w:rPr>
        <w:t>9</w:t>
      </w:r>
      <w:r>
        <w:rPr>
          <w:rFonts w:hint="eastAsia" w:ascii="宋体" w:hAnsi="宋体" w:eastAsia="宋体"/>
          <w:snapToGrid w:val="0"/>
          <w:color w:val="auto"/>
          <w:sz w:val="24"/>
          <w:szCs w:val="24"/>
          <w:highlight w:val="none"/>
          <w:lang w:eastAsia="zh-CN"/>
        </w:rPr>
        <w:t>）因乙方未按时按质地提供合同条款第7条、第18条约定的各项勘察、设计服务，导致本工程建安费用增加的，乙方按应以下公式计算向甲方支付违约金：</w:t>
      </w:r>
    </w:p>
    <w:p w14:paraId="0BD6C967">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违约金=A×（B/C）×2</w:t>
      </w:r>
    </w:p>
    <w:p w14:paraId="052A0159">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其中：A-实际增加的建安工程费；</w:t>
      </w:r>
    </w:p>
    <w:p w14:paraId="61AA8873">
      <w:pPr>
        <w:adjustRightInd w:val="0"/>
        <w:snapToGrid w:val="0"/>
        <w:spacing w:line="360" w:lineRule="auto"/>
        <w:ind w:firstLine="1200" w:firstLineChars="5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B-本合同设计收费（包括工程设计收费及其他设计收费）总额；</w:t>
      </w:r>
    </w:p>
    <w:p w14:paraId="2246E120">
      <w:pPr>
        <w:adjustRightInd w:val="0"/>
        <w:snapToGrid w:val="0"/>
        <w:spacing w:line="360" w:lineRule="auto"/>
        <w:ind w:firstLine="1200" w:firstLineChars="5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C-本工程审定工程设计概算建安工程费总额。</w:t>
      </w:r>
    </w:p>
    <w:p w14:paraId="0EFA9A99">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hint="eastAsia" w:ascii="宋体" w:hAnsi="宋体" w:eastAsia="宋体"/>
          <w:snapToGrid w:val="0"/>
          <w:color w:val="auto"/>
          <w:sz w:val="24"/>
          <w:szCs w:val="24"/>
          <w:highlight w:val="none"/>
          <w:lang w:val="en-US" w:eastAsia="zh-CN"/>
        </w:rPr>
        <w:t>10</w:t>
      </w:r>
      <w:r>
        <w:rPr>
          <w:rFonts w:hint="eastAsia" w:ascii="宋体" w:hAnsi="宋体" w:eastAsia="宋体"/>
          <w:snapToGrid w:val="0"/>
          <w:color w:val="auto"/>
          <w:sz w:val="24"/>
          <w:szCs w:val="24"/>
          <w:highlight w:val="none"/>
          <w:lang w:eastAsia="zh-CN"/>
        </w:rPr>
        <w:t>）如乙方违反合同协议书第7条、第8条的约定，未在相关信息发生变化时及时将变更情况书面通知甲方的，经甲方每确认1次，乙方承担1次一般违约责任。</w:t>
      </w:r>
    </w:p>
    <w:p w14:paraId="022ECEDC">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26.6</w:t>
      </w:r>
      <w:r>
        <w:rPr>
          <w:rFonts w:hint="eastAsia" w:ascii="宋体" w:hAnsi="宋体" w:eastAsia="宋体"/>
          <w:snapToGrid w:val="0"/>
          <w:color w:val="auto"/>
          <w:sz w:val="24"/>
          <w:szCs w:val="24"/>
          <w:highlight w:val="none"/>
          <w:lang w:eastAsia="zh-CN"/>
        </w:rPr>
        <w:t>勘察、设计成果文件方面的违约责任</w:t>
      </w:r>
    </w:p>
    <w:p w14:paraId="673CA32B">
      <w:pPr>
        <w:widowControl/>
        <w:adjustRightInd w:val="0"/>
        <w:snapToGrid w:val="0"/>
        <w:spacing w:line="360" w:lineRule="auto"/>
        <w:ind w:firstLine="360" w:firstLineChars="15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未能按本合同约定的时间或甲方审核同意的勘察、设计进度各类计划的要求提交相应阶段的勘察、设计成果文件，逾期3天以内（或累计达5天以上10天以内）的，乙方按1万元/天向甲方支付违约金，违约金不足以弥补甲方损失的，乙方还须同时向甲方赔偿全部损失；逾期3天以上（或累计达10天以上）的，乙方按3万元/天向甲方支付违约金，违约金不足以弥补甲方损失的，乙方还须同时向甲方赔偿全部损失。</w:t>
      </w:r>
    </w:p>
    <w:p w14:paraId="4E25E388">
      <w:pPr>
        <w:widowControl/>
        <w:adjustRightInd w:val="0"/>
        <w:snapToGrid w:val="0"/>
        <w:spacing w:line="360" w:lineRule="auto"/>
        <w:ind w:firstLine="360" w:firstLineChars="15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本合同履行期间，乙方的勘察、设计质量不符合合同约定或者勘察、设计成果文件出现遗漏、错误的，乙方应在甲方规定的期限内对勘察、设计成果文件及时进行补充、修改、完善；因此造成勘察、设计成果文件逾期交付的，按合同条款第28.6（1）款的约定处理。</w:t>
      </w:r>
    </w:p>
    <w:p w14:paraId="4AE6FD6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（3）乙方提交的设计成果文件如有违反国家相关强制性规定的，经政府有关部门确认，每发生1处，乙方承担严重违约责任1次。</w:t>
      </w:r>
    </w:p>
    <w:p w14:paraId="5CD0AB7D">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甲方或审查单位（或设计咨询单位）或甲方委托的第三方对设计变更进行审核，发现乙方违反合同约定对设计变更随意进行合并、分拆的，第一次违反时，乙方承担一般违约责任1次；第二次及以后，每违反一次，乙方承担严重违约责任1次。</w:t>
      </w:r>
    </w:p>
    <w:p w14:paraId="4B75C871">
      <w:pPr>
        <w:adjustRightInd w:val="0"/>
        <w:snapToGrid w:val="0"/>
        <w:spacing w:line="360" w:lineRule="auto"/>
        <w:ind w:firstLine="480" w:firstLineChars="200"/>
        <w:jc w:val="both"/>
        <w:rPr>
          <w:rFonts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w:t>
      </w:r>
      <w:r>
        <w:rPr>
          <w:rFonts w:hint="eastAsia" w:eastAsia="宋体"/>
          <w:snapToGrid w:val="0"/>
          <w:color w:val="auto"/>
          <w:sz w:val="24"/>
          <w:szCs w:val="24"/>
          <w:highlight w:val="none"/>
          <w:lang w:eastAsia="zh-CN"/>
        </w:rPr>
        <w:t>如</w:t>
      </w:r>
      <w:r>
        <w:rPr>
          <w:rFonts w:hint="eastAsia" w:ascii="宋体" w:hAnsi="宋体" w:eastAsia="宋体"/>
          <w:snapToGrid w:val="0"/>
          <w:color w:val="auto"/>
          <w:sz w:val="24"/>
          <w:szCs w:val="24"/>
          <w:highlight w:val="none"/>
          <w:lang w:eastAsia="zh-CN"/>
        </w:rPr>
        <w:t>乙方的设计成果文件中含有明显倾向于某一专门厂商生产的设备、材料的描述，或</w:t>
      </w:r>
      <w:r>
        <w:rPr>
          <w:rFonts w:hint="eastAsia" w:eastAsia="宋体"/>
          <w:snapToGrid w:val="0"/>
          <w:color w:val="auto"/>
          <w:sz w:val="24"/>
          <w:szCs w:val="24"/>
          <w:highlight w:val="none"/>
          <w:lang w:eastAsia="zh-CN"/>
        </w:rPr>
        <w:t>在其设计成果文件中选用了具有专一性、排他性的材料、设备而又未事先向甲方书面报告并详细说明理由的，每违反一次，乙方承担严重违约责任1次。</w:t>
      </w:r>
    </w:p>
    <w:p w14:paraId="330ACE06">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因乙方原因造成设计变更并引起工程费用增加的，乙方应负责修改设计，保证工程总投资在投资控制指标内；造成实际发生的建安工程费增加的，参照合同条款第28.5（12）款约定的计算方法确定违约金；给甲方造成损失的，乙方应赔偿甲方的全部损失。因施工原因造成的设计变更及因本合同所述的因新规范、新标准及新规定所引起的设计变更除外。</w:t>
      </w:r>
    </w:p>
    <w:p w14:paraId="70167FB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经甲方认可的本工程施工投标人或其委托的具有施工图审查能力的单位审查并经甲方或甲方委托的第三方确认，乙方的初步设计成果文件中存在违反国家相关强制性规定的，参照合同条款第28.6（3）款的约定执行。</w:t>
      </w:r>
    </w:p>
    <w:p w14:paraId="26889E7A">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26.7</w:t>
      </w:r>
      <w:r>
        <w:rPr>
          <w:rFonts w:hint="eastAsia" w:ascii="宋体" w:hAnsi="宋体" w:eastAsia="宋体"/>
          <w:snapToGrid w:val="0"/>
          <w:color w:val="auto"/>
          <w:sz w:val="24"/>
          <w:szCs w:val="24"/>
          <w:highlight w:val="none"/>
          <w:lang w:eastAsia="zh-CN"/>
        </w:rPr>
        <w:t>投资控制方面的违约责任</w:t>
      </w:r>
    </w:p>
    <w:p w14:paraId="6F4CDC52">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未经甲方同意突破合同约定的投资控制要求的，每突破一次，乙方承担严重违约责任1次；乙方应负责修改设计，保证工程总投资控制在合同约定的投资控制要求内；如最终因此造成实际发生的建安工程费增加的，参照合同条款第28.5（12）款约定的计算方法确定违约金；违约金不足以弥补甲方损失的，乙方应赔偿甲方的全部损失。</w:t>
      </w:r>
    </w:p>
    <w:p w14:paraId="2A07B777">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（2）乙方提供的初步设计概算经过甲方或审查单位或甲方委托的其他单位审核后确定误差超过±20%（不含±20%）的，乙方承担严重违约责任1次。</w:t>
      </w:r>
    </w:p>
    <w:p w14:paraId="650845C3">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（3）乙方对乙方分包单位的投资控制方面的违约行为相应承担连带责任，相关违约责任参照合同条款第28.7（1）款的相关约定执行。</w:t>
      </w:r>
    </w:p>
    <w:p w14:paraId="1DB44798">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（4）如因</w:t>
      </w:r>
      <w:r>
        <w:rPr>
          <w:rFonts w:hint="eastAsia" w:ascii="宋体" w:hAnsi="宋体" w:eastAsia="宋体"/>
          <w:bCs/>
          <w:snapToGrid w:val="0"/>
          <w:color w:val="auto"/>
          <w:sz w:val="24"/>
          <w:szCs w:val="24"/>
          <w:highlight w:val="none"/>
          <w:lang w:eastAsia="zh-CN"/>
        </w:rPr>
        <w:t>乙方提供的勘察成果文件的缺陷及不完整、初步设计成果文件深度不够等原因导致甲方</w:t>
      </w:r>
      <w:r>
        <w:rPr>
          <w:rFonts w:hint="eastAsia" w:ascii="宋体" w:hAnsi="宋体" w:eastAsia="宋体"/>
          <w:snapToGrid w:val="0"/>
          <w:color w:val="auto"/>
          <w:sz w:val="24"/>
          <w:szCs w:val="24"/>
          <w:highlight w:val="none"/>
          <w:lang w:eastAsia="zh-CN"/>
        </w:rPr>
        <w:t>另外发包的专项</w:t>
      </w:r>
      <w:r>
        <w:rPr>
          <w:rFonts w:hint="eastAsia" w:ascii="宋体" w:hAnsi="宋体" w:eastAsia="宋体"/>
          <w:bCs/>
          <w:snapToGrid w:val="0"/>
          <w:color w:val="auto"/>
          <w:sz w:val="24"/>
          <w:szCs w:val="24"/>
          <w:highlight w:val="none"/>
          <w:lang w:eastAsia="zh-CN"/>
        </w:rPr>
        <w:t>施工图设计无法满足投资控制的要求，乙方应及时完善、修改相关的勘察、设计成果文件；</w:t>
      </w:r>
      <w:r>
        <w:rPr>
          <w:rFonts w:hint="eastAsia" w:ascii="宋体" w:hAnsi="宋体" w:eastAsia="宋体"/>
          <w:snapToGrid w:val="0"/>
          <w:color w:val="auto"/>
          <w:sz w:val="24"/>
          <w:szCs w:val="24"/>
          <w:highlight w:val="none"/>
          <w:lang w:eastAsia="zh-CN"/>
        </w:rPr>
        <w:t>造成实际发生的建安工程费增加的，参照合同条款第28.5（12）款约定的计算方法确定违约金；给甲方造成损失的，乙方应赔偿甲方的全部损失。</w:t>
      </w:r>
    </w:p>
    <w:p w14:paraId="0786EA52">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（5）因乙方对设计变更随意进行合并、分拆导致本工程投资失控，造成实际发生的建安工程费增加的，参照合同条款第28.5（12）款约定的计算方法确定违约金；给甲方造成损失的，乙方应赔偿甲方的全部损失。</w:t>
      </w:r>
    </w:p>
    <w:p w14:paraId="77C54432">
      <w:pPr>
        <w:widowControl/>
        <w:adjustRightInd w:val="0"/>
        <w:snapToGrid w:val="0"/>
        <w:spacing w:line="360" w:lineRule="auto"/>
        <w:ind w:firstLine="360" w:firstLineChars="15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（6）在本工程施工招标阶段或施工阶段，因乙方编制的工程概算编制不准确而需要调整概算的，乙方除应在甲方限定期限内完成修改外，每出现1次，乙方还必须承担严重违约责任1次。</w:t>
      </w:r>
    </w:p>
    <w:p w14:paraId="2DD61DD0">
      <w:pPr>
        <w:widowControl/>
        <w:adjustRightInd w:val="0"/>
        <w:snapToGrid w:val="0"/>
        <w:spacing w:line="360" w:lineRule="auto"/>
        <w:ind w:firstLine="360" w:firstLineChars="15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由乙方编制初步设计概算的，如果出现工程量偏差绝对值累计额相对于乙方报送总数量，误差率在10%～20%的，乙方除应在甲方限定期限内完成修改外，每出现1次，还必须承担严重违约责任1次；误差率超过20%的，甲方有权不支付相应工程的初步设计概算编制费。</w:t>
      </w:r>
    </w:p>
    <w:p w14:paraId="3B7FB3D1">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26.8</w:t>
      </w:r>
      <w:r>
        <w:rPr>
          <w:rFonts w:hint="eastAsia" w:ascii="宋体" w:hAnsi="宋体" w:eastAsia="宋体"/>
          <w:snapToGrid w:val="0"/>
          <w:color w:val="auto"/>
          <w:sz w:val="24"/>
          <w:szCs w:val="24"/>
          <w:highlight w:val="none"/>
          <w:lang w:eastAsia="zh-CN"/>
        </w:rPr>
        <w:t>勘察、设计分包、转包、违法分包方面的违约责任</w:t>
      </w:r>
    </w:p>
    <w:p w14:paraId="28BBB482">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转包工程或者违法分包工程，经建设行政主管部门调查核实并作出处理决定的，甲方将严格服从建设行政主管部门的处理决定，同时甲方有权决定是否解除合同。因乙方转包工程或者违法分包工程给甲方造成损失的，甲方有权要求赔偿。</w:t>
      </w:r>
    </w:p>
    <w:p w14:paraId="3CD016EA">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26.9</w:t>
      </w:r>
      <w:r>
        <w:rPr>
          <w:rFonts w:hint="eastAsia" w:ascii="宋体" w:hAnsi="宋体" w:eastAsia="宋体"/>
          <w:bCs/>
          <w:snapToGrid w:val="0"/>
          <w:color w:val="auto"/>
          <w:sz w:val="24"/>
          <w:szCs w:val="24"/>
          <w:highlight w:val="none"/>
          <w:lang w:eastAsia="zh-CN"/>
        </w:rPr>
        <w:t>除上述约定之外，乙方不履行或不完全履行合同其他义务的，均构成违约，应当承担一般违约责任1次。情节较轻的，给予书面警告；情节较重的，应当承担严重违约责任1次。</w:t>
      </w:r>
    </w:p>
    <w:p w14:paraId="2E6753C2">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26.10</w:t>
      </w:r>
      <w:r>
        <w:rPr>
          <w:rFonts w:hint="eastAsia" w:ascii="宋体" w:hAnsi="宋体" w:eastAsia="宋体"/>
          <w:snapToGrid w:val="0"/>
          <w:color w:val="auto"/>
          <w:sz w:val="24"/>
          <w:szCs w:val="24"/>
          <w:highlight w:val="none"/>
          <w:lang w:eastAsia="zh-CN"/>
        </w:rPr>
        <w:t>乙方违约责任的认定方式及送达程序</w:t>
      </w:r>
    </w:p>
    <w:p w14:paraId="5999576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（1）认定方式：以甲方发出的通知、通报、会议纪要等书面文件确定的内容为准。</w:t>
      </w:r>
    </w:p>
    <w:p w14:paraId="5720ED7A">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（2）送达程序：甲方以下列方式之一将书面违约处理决定送达乙方：</w:t>
      </w:r>
    </w:p>
    <w:p w14:paraId="327C19EA">
      <w:pPr>
        <w:widowControl/>
        <w:adjustRightInd w:val="0"/>
        <w:snapToGrid w:val="0"/>
        <w:spacing w:line="360" w:lineRule="auto"/>
        <w:ind w:left="220" w:leftChars="100"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1）乙方现场工作人员签收。</w:t>
      </w:r>
    </w:p>
    <w:p w14:paraId="1FFA86DE">
      <w:pPr>
        <w:widowControl/>
        <w:adjustRightInd w:val="0"/>
        <w:snapToGrid w:val="0"/>
        <w:spacing w:line="360" w:lineRule="auto"/>
        <w:ind w:left="220" w:leftChars="100"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2）乙方其他工作人员签收。</w:t>
      </w:r>
    </w:p>
    <w:p w14:paraId="694F6142">
      <w:pPr>
        <w:widowControl/>
        <w:adjustRightInd w:val="0"/>
        <w:snapToGrid w:val="0"/>
        <w:spacing w:line="360" w:lineRule="auto"/>
        <w:ind w:left="220" w:leftChars="100"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3）甲方邮寄送达乙方或其工作人员。</w:t>
      </w:r>
    </w:p>
    <w:p w14:paraId="7A771034">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以书面形式作出的违约处理决定一经送达乙方或其工作人员立即生效。乙方如有足够证据证明不应由其承担违约责任的，应在收到违约处理决定后3天内以书面形式向甲方提出异议并附上有关证据；甲方在收到乙方的异议后15个工作日内审核完毕且作出书面决定并通知乙方。在异议审核期间，乙方须正常提供勘察设计服务，不得以审核未确定为由拖延或者中止工程勘察设计服务。</w:t>
      </w:r>
    </w:p>
    <w:p w14:paraId="52B9C346">
      <w:pPr>
        <w:adjustRightInd w:val="0"/>
        <w:snapToGrid w:val="0"/>
        <w:spacing w:line="360" w:lineRule="auto"/>
        <w:ind w:right="11"/>
        <w:jc w:val="both"/>
        <w:rPr>
          <w:rFonts w:hint="eastAsia" w:ascii="宋体" w:hAnsi="宋体" w:eastAsia="宋体"/>
          <w:b/>
          <w:bCs/>
          <w:snapToGrid w:val="0"/>
          <w:color w:val="auto"/>
          <w:sz w:val="24"/>
          <w:szCs w:val="24"/>
          <w:highlight w:val="none"/>
          <w:lang w:eastAsia="zh-CN"/>
        </w:rPr>
      </w:pPr>
    </w:p>
    <w:p w14:paraId="3F4D0B58">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第十四章  索赔</w:t>
      </w:r>
    </w:p>
    <w:p w14:paraId="16BD0146">
      <w:pPr>
        <w:adjustRightInd w:val="0"/>
        <w:snapToGrid w:val="0"/>
        <w:spacing w:line="360" w:lineRule="auto"/>
        <w:ind w:firstLine="472" w:firstLineChars="196"/>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27、索赔</w:t>
      </w:r>
    </w:p>
    <w:p w14:paraId="488721F6">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27.1</w:t>
      </w:r>
      <w:r>
        <w:rPr>
          <w:rFonts w:hint="eastAsia" w:ascii="宋体" w:hAnsi="宋体" w:eastAsia="宋体" w:cs="宋体"/>
          <w:snapToGrid w:val="0"/>
          <w:color w:val="auto"/>
          <w:sz w:val="24"/>
          <w:szCs w:val="24"/>
          <w:highlight w:val="none"/>
          <w:lang w:val="zh-CN" w:eastAsia="zh-CN"/>
        </w:rPr>
        <w:t>乙方未能按合同约定履行自己的各项义务或发生错误，甲方按</w:t>
      </w:r>
      <w:r>
        <w:rPr>
          <w:rFonts w:hint="eastAsia" w:ascii="宋体" w:hAnsi="宋体" w:eastAsia="宋体"/>
          <w:snapToGrid w:val="0"/>
          <w:color w:val="auto"/>
          <w:sz w:val="24"/>
          <w:szCs w:val="24"/>
          <w:highlight w:val="none"/>
          <w:lang w:eastAsia="zh-CN"/>
        </w:rPr>
        <w:t>如下约定向乙方索赔：</w:t>
      </w:r>
    </w:p>
    <w:p w14:paraId="24C40338">
      <w:pPr>
        <w:adjustRightInd w:val="0"/>
        <w:snapToGrid w:val="0"/>
        <w:spacing w:line="360" w:lineRule="auto"/>
        <w:ind w:right="11" w:firstLine="460"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（1）甲方将自己的索赔意向书面通知乙方，并要求乙方在限期内纠正自己的违约行为，否则，甲方将考虑启用履约保函。</w:t>
      </w:r>
    </w:p>
    <w:p w14:paraId="13B4F554">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（2）限期届满，乙方没有采取纠正行为或者纠正行为不能使甲方满意的，甲方将索赔意向书面通知合同条款第30.1款约定的履约保函出函银行。</w:t>
      </w:r>
    </w:p>
    <w:p w14:paraId="641D79F1">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（3）甲方向银行发出书面索赔意向七天内，乙方依然没有用实际行动纠正自己的违约行为或者纠正行为不能使甲方满意或者纠正行为无法弥补甲方的损失，则甲方直接向银行发出正式书面索赔通知。</w:t>
      </w:r>
    </w:p>
    <w:p w14:paraId="1CB54172">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（4）如果通过向银行索赔的方式依然不能完全弥补甲方的损失，则甲方有权在应支付给乙方的勘察、设计费中直接扣取。同时甲方有权要求乙方在规定时间内按合同条款第30.3款的约定向甲方补充提交履约保函。</w:t>
      </w:r>
    </w:p>
    <w:p w14:paraId="59E33973">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（5）如果通过向银行索赔以及直接扣取应支付勘察、设计费等方式依然不能完全弥补甲方损失的，乙方必须在甲方规定的时间内以现金形式支付剩余索赔额；否则，甲方将按合同条款第32条的约定处理。</w:t>
      </w:r>
    </w:p>
    <w:p w14:paraId="142EAB98">
      <w:pPr>
        <w:adjustRightInd w:val="0"/>
        <w:snapToGrid w:val="0"/>
        <w:spacing w:line="360" w:lineRule="auto"/>
        <w:ind w:right="11" w:firstLine="482" w:firstLineChars="200"/>
        <w:jc w:val="both"/>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24"/>
          <w:szCs w:val="24"/>
          <w:highlight w:val="none"/>
          <w:lang w:eastAsia="zh-CN"/>
        </w:rPr>
        <w:t>27.2</w:t>
      </w:r>
      <w:r>
        <w:rPr>
          <w:rFonts w:hint="eastAsia" w:ascii="宋体" w:hAnsi="宋体" w:eastAsia="宋体"/>
          <w:snapToGrid w:val="0"/>
          <w:color w:val="auto"/>
          <w:sz w:val="24"/>
          <w:szCs w:val="24"/>
          <w:highlight w:val="none"/>
          <w:lang w:eastAsia="zh-CN"/>
        </w:rPr>
        <w:t>在任何索赔期间，不论索赔是否有据，均不能免除乙方按合同约定应履行的合同义务。乙方不得以此为借口，拒不履行或拖延合同的履行，否则甲方有权终止合同并要求乙方赔偿由此而给甲方造成的全部损失。</w:t>
      </w:r>
    </w:p>
    <w:p w14:paraId="473888A4">
      <w:pPr>
        <w:adjustRightInd w:val="0"/>
        <w:snapToGrid w:val="0"/>
        <w:spacing w:line="360" w:lineRule="auto"/>
        <w:jc w:val="center"/>
        <w:rPr>
          <w:rFonts w:hint="eastAsia" w:ascii="宋体" w:hAnsi="宋体" w:eastAsia="宋体"/>
          <w:b/>
          <w:snapToGrid w:val="0"/>
          <w:color w:val="auto"/>
          <w:sz w:val="30"/>
          <w:szCs w:val="30"/>
          <w:highlight w:val="none"/>
          <w:lang w:eastAsia="zh-CN"/>
        </w:rPr>
      </w:pPr>
    </w:p>
    <w:p w14:paraId="1E48CEE1">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第十五章  保险与担保</w:t>
      </w:r>
    </w:p>
    <w:p w14:paraId="7BCDC038">
      <w:pPr>
        <w:adjustRightInd w:val="0"/>
        <w:snapToGrid w:val="0"/>
        <w:spacing w:line="360" w:lineRule="auto"/>
        <w:ind w:right="11" w:firstLine="463" w:firstLineChars="192"/>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28、保险与担保</w:t>
      </w:r>
    </w:p>
    <w:p w14:paraId="077A9A90">
      <w:pPr>
        <w:adjustRightInd w:val="0"/>
        <w:snapToGrid w:val="0"/>
        <w:spacing w:line="360" w:lineRule="auto"/>
        <w:ind w:right="11" w:firstLine="463" w:firstLineChars="192"/>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28.1</w:t>
      </w:r>
      <w:r>
        <w:rPr>
          <w:rFonts w:hint="eastAsia" w:ascii="宋体" w:hAnsi="宋体" w:eastAsia="宋体"/>
          <w:bCs/>
          <w:snapToGrid w:val="0"/>
          <w:color w:val="auto"/>
          <w:sz w:val="24"/>
          <w:szCs w:val="24"/>
          <w:highlight w:val="none"/>
          <w:lang w:eastAsia="zh-CN"/>
        </w:rPr>
        <w:t>双方约定，乙方按照如下约定向甲方提供设计责任保险和履约担保文件：</w:t>
      </w:r>
    </w:p>
    <w:p w14:paraId="4BA6C6C1">
      <w:pPr>
        <w:adjustRightInd w:val="0"/>
        <w:snapToGrid w:val="0"/>
        <w:spacing w:line="360" w:lineRule="auto"/>
        <w:ind w:right="11" w:firstLine="460" w:firstLineChars="192"/>
        <w:jc w:val="both"/>
        <w:rPr>
          <w:rFonts w:hint="eastAsia" w:ascii="宋体" w:hAnsi="宋体" w:eastAsia="宋体"/>
          <w:color w:val="auto"/>
          <w:sz w:val="24"/>
          <w:szCs w:val="24"/>
          <w:highlight w:val="none"/>
          <w:lang w:eastAsia="zh-CN"/>
        </w:rPr>
      </w:pPr>
      <w:r>
        <w:rPr>
          <w:rFonts w:hint="eastAsia" w:ascii="宋体" w:hAnsi="宋体" w:eastAsia="宋体"/>
          <w:bCs/>
          <w:snapToGrid w:val="0"/>
          <w:color w:val="auto"/>
          <w:sz w:val="24"/>
          <w:szCs w:val="24"/>
          <w:highlight w:val="none"/>
          <w:lang w:eastAsia="zh-CN"/>
        </w:rPr>
        <w:t>（1）</w:t>
      </w:r>
      <w:r>
        <w:rPr>
          <w:rFonts w:hint="eastAsia" w:ascii="宋体" w:hAnsi="宋体" w:eastAsia="宋体"/>
          <w:snapToGrid w:val="0"/>
          <w:color w:val="auto"/>
          <w:sz w:val="24"/>
          <w:szCs w:val="24"/>
          <w:highlight w:val="none"/>
          <w:lang w:eastAsia="zh-CN"/>
        </w:rPr>
        <w:t>本合同约定设计工作开展前，乙方应购买建设工程设计责任险</w:t>
      </w:r>
      <w:r>
        <w:rPr>
          <w:rFonts w:hint="eastAsia" w:ascii="宋体" w:hAnsi="宋体" w:eastAsia="宋体"/>
          <w:color w:val="auto"/>
          <w:sz w:val="24"/>
          <w:szCs w:val="24"/>
          <w:highlight w:val="none"/>
          <w:lang w:eastAsia="zh-CN"/>
        </w:rPr>
        <w:t>。</w:t>
      </w:r>
    </w:p>
    <w:p w14:paraId="4F972BD8">
      <w:pPr>
        <w:adjustRightInd w:val="0"/>
        <w:snapToGrid w:val="0"/>
        <w:spacing w:line="360" w:lineRule="auto"/>
        <w:ind w:right="11" w:firstLine="460"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（2）乙方不按上述约定购买保险所产生的后果，由乙方自行承担。</w:t>
      </w:r>
    </w:p>
    <w:p w14:paraId="4595EC22">
      <w:pPr>
        <w:adjustRightInd w:val="0"/>
        <w:snapToGrid w:val="0"/>
        <w:spacing w:line="360" w:lineRule="auto"/>
        <w:ind w:right="11" w:firstLine="480" w:firstLineChars="200"/>
        <w:jc w:val="both"/>
        <w:rPr>
          <w:rFonts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w:t>
      </w:r>
      <w:r>
        <w:rPr>
          <w:rFonts w:hint="eastAsia" w:ascii="宋体" w:hAnsi="宋体" w:eastAsia="宋体"/>
          <w:snapToGrid w:val="0"/>
          <w:color w:val="auto"/>
          <w:sz w:val="24"/>
          <w:szCs w:val="24"/>
          <w:highlight w:val="none"/>
          <w:lang w:eastAsia="zh-CN"/>
        </w:rPr>
        <w:t>）本合同签订后十五日内，乙方主办方自主选择提供履约担保的形式，向甲方提交本合同价款总价的</w:t>
      </w:r>
      <w:r>
        <w:rPr>
          <w:rFonts w:ascii="宋体" w:hAnsi="宋体" w:eastAsia="宋体"/>
          <w:snapToGrid w:val="0"/>
          <w:color w:val="auto"/>
          <w:sz w:val="24"/>
          <w:szCs w:val="24"/>
          <w:highlight w:val="none"/>
          <w:lang w:eastAsia="zh-CN"/>
        </w:rPr>
        <w:t>10%</w:t>
      </w:r>
      <w:r>
        <w:rPr>
          <w:rFonts w:hint="eastAsia" w:ascii="宋体" w:hAnsi="宋体" w:eastAsia="宋体"/>
          <w:snapToGrid w:val="0"/>
          <w:color w:val="auto"/>
          <w:sz w:val="24"/>
          <w:szCs w:val="24"/>
          <w:highlight w:val="none"/>
          <w:lang w:eastAsia="zh-CN"/>
        </w:rPr>
        <w:t>为本项目的履约担保及承诺书。</w:t>
      </w:r>
    </w:p>
    <w:p w14:paraId="58D05D0F">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如履约担保以银行保函递交的，应参照住房和城乡建设部印发的履约保函示范文本（独立保函）格式向委托人提交由在中华人民共和国注册的银行开出的《履约银行保函》原件。提供履约保函所发生的费用由承包人承担。</w:t>
      </w:r>
    </w:p>
    <w:p w14:paraId="0E072002">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（4）建设工程发生损失后，应由政府建设行政主管部门按照国家有关建设工程质量事故调查处理的规定做出鉴定结论。</w:t>
      </w:r>
    </w:p>
    <w:p w14:paraId="593CD4B5">
      <w:pPr>
        <w:adjustRightInd w:val="0"/>
        <w:snapToGrid w:val="0"/>
        <w:spacing w:line="360" w:lineRule="auto"/>
        <w:ind w:right="11"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28.2</w:t>
      </w:r>
      <w:r>
        <w:rPr>
          <w:rFonts w:hint="eastAsia" w:ascii="宋体" w:hAnsi="宋体" w:eastAsia="宋体"/>
          <w:snapToGrid w:val="0"/>
          <w:color w:val="auto"/>
          <w:sz w:val="24"/>
          <w:szCs w:val="24"/>
          <w:highlight w:val="none"/>
          <w:lang w:eastAsia="zh-CN"/>
        </w:rPr>
        <w:t>乙方提交的履约担保是对本合同约定的乙方的全部义务（包括但不限于乙方违约后应支付的违约金和赔偿金）的担保，乙方的任何一次不履行或不完全履行合同义务的行为，甲方均有权向担保机构提出索赔。</w:t>
      </w:r>
    </w:p>
    <w:p w14:paraId="7D0E2997">
      <w:pPr>
        <w:adjustRightInd w:val="0"/>
        <w:snapToGrid w:val="0"/>
        <w:spacing w:line="360" w:lineRule="auto"/>
        <w:ind w:right="11"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28.3</w:t>
      </w:r>
      <w:r>
        <w:rPr>
          <w:rFonts w:hint="eastAsia" w:ascii="宋体" w:hAnsi="宋体" w:eastAsia="宋体"/>
          <w:snapToGrid w:val="0"/>
          <w:color w:val="auto"/>
          <w:sz w:val="24"/>
          <w:szCs w:val="24"/>
          <w:highlight w:val="none"/>
          <w:lang w:eastAsia="zh-CN"/>
        </w:rPr>
        <w:t>乙方不履行或不完全履行合同义务的行为导致甲方依据履约担保向担保机构索赔履约担保金额的一部分或者全部的，乙方必须在甲方规定的时间内补充提交履约担保，使得本合同履行期间有效的履约担保金额等于乙方第一次提交的履约担保金额。</w:t>
      </w:r>
    </w:p>
    <w:p w14:paraId="32E5C441">
      <w:pPr>
        <w:adjustRightInd w:val="0"/>
        <w:snapToGrid w:val="0"/>
        <w:spacing w:line="360" w:lineRule="auto"/>
        <w:ind w:right="11"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28.4</w:t>
      </w:r>
      <w:r>
        <w:rPr>
          <w:rFonts w:hint="eastAsia" w:ascii="宋体" w:hAnsi="宋体" w:eastAsia="宋体"/>
          <w:snapToGrid w:val="0"/>
          <w:color w:val="auto"/>
          <w:sz w:val="24"/>
          <w:szCs w:val="24"/>
          <w:highlight w:val="none"/>
          <w:lang w:eastAsia="zh-CN"/>
        </w:rPr>
        <w:t>如果乙方不按甲方的要求及时补充提交履约担保，则甲方有权单方面部分解除或解除本合同，并按合同条款第28.1（款的有关约定执行。</w:t>
      </w:r>
    </w:p>
    <w:p w14:paraId="3E0D72EF">
      <w:pPr>
        <w:adjustRightInd w:val="0"/>
        <w:snapToGrid w:val="0"/>
        <w:spacing w:line="360" w:lineRule="auto"/>
        <w:ind w:right="11" w:firstLine="482" w:firstLineChars="200"/>
        <w:jc w:val="both"/>
        <w:rPr>
          <w:rFonts w:hint="eastAsia" w:ascii="宋体" w:hAnsi="宋体" w:eastAsia="宋体" w:cs="宋体"/>
          <w:snapToGrid w:val="0"/>
          <w:color w:val="auto"/>
          <w:sz w:val="24"/>
          <w:szCs w:val="24"/>
          <w:highlight w:val="none"/>
          <w:lang w:val="zh-CN" w:eastAsia="zh-CN"/>
        </w:rPr>
      </w:pPr>
      <w:r>
        <w:rPr>
          <w:rFonts w:hint="eastAsia" w:ascii="宋体" w:hAnsi="宋体" w:eastAsia="宋体"/>
          <w:b/>
          <w:snapToGrid w:val="0"/>
          <w:color w:val="auto"/>
          <w:sz w:val="24"/>
          <w:szCs w:val="24"/>
          <w:highlight w:val="none"/>
          <w:lang w:eastAsia="zh-CN"/>
        </w:rPr>
        <w:t>28.5</w:t>
      </w:r>
      <w:r>
        <w:rPr>
          <w:rFonts w:hint="eastAsia" w:ascii="宋体" w:hAnsi="宋体" w:eastAsia="宋体" w:cs="宋体"/>
          <w:snapToGrid w:val="0"/>
          <w:color w:val="auto"/>
          <w:sz w:val="24"/>
          <w:szCs w:val="24"/>
          <w:highlight w:val="none"/>
          <w:lang w:val="zh-CN" w:eastAsia="zh-CN"/>
        </w:rPr>
        <w:t>合同结算最终定审后，乙方可以向甲方申请退还履约</w:t>
      </w:r>
      <w:r>
        <w:rPr>
          <w:rFonts w:hint="eastAsia" w:ascii="宋体" w:hAnsi="宋体" w:eastAsia="宋体"/>
          <w:snapToGrid w:val="0"/>
          <w:color w:val="auto"/>
          <w:sz w:val="24"/>
          <w:szCs w:val="24"/>
          <w:highlight w:val="none"/>
          <w:lang w:eastAsia="zh-CN"/>
        </w:rPr>
        <w:t>担保</w:t>
      </w:r>
      <w:r>
        <w:rPr>
          <w:rFonts w:hint="eastAsia" w:ascii="宋体" w:hAnsi="宋体" w:eastAsia="宋体" w:cs="宋体"/>
          <w:snapToGrid w:val="0"/>
          <w:color w:val="auto"/>
          <w:sz w:val="24"/>
          <w:szCs w:val="24"/>
          <w:highlight w:val="none"/>
          <w:lang w:val="zh-CN" w:eastAsia="zh-CN"/>
        </w:rPr>
        <w:t>。</w:t>
      </w:r>
    </w:p>
    <w:p w14:paraId="5F021171">
      <w:pPr>
        <w:adjustRightInd w:val="0"/>
        <w:snapToGrid w:val="0"/>
        <w:spacing w:line="360" w:lineRule="auto"/>
        <w:ind w:right="11" w:firstLine="480" w:firstLineChars="200"/>
        <w:jc w:val="both"/>
        <w:rPr>
          <w:rFonts w:hint="eastAsia" w:ascii="宋体" w:hAnsi="宋体" w:eastAsia="宋体" w:cs="宋体"/>
          <w:snapToGrid w:val="0"/>
          <w:color w:val="auto"/>
          <w:sz w:val="24"/>
          <w:szCs w:val="24"/>
          <w:highlight w:val="none"/>
          <w:lang w:val="zh-CN" w:eastAsia="zh-CN"/>
        </w:rPr>
      </w:pPr>
    </w:p>
    <w:p w14:paraId="4ED87ADF">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第十六章  税  费</w:t>
      </w:r>
    </w:p>
    <w:p w14:paraId="705553FF">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29、税费</w:t>
      </w:r>
    </w:p>
    <w:p w14:paraId="2CE1D2E0">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29.1</w:t>
      </w:r>
      <w:r>
        <w:rPr>
          <w:rFonts w:hint="eastAsia" w:ascii="宋体" w:hAnsi="宋体" w:eastAsia="宋体"/>
          <w:snapToGrid w:val="0"/>
          <w:color w:val="auto"/>
          <w:sz w:val="24"/>
          <w:szCs w:val="24"/>
          <w:highlight w:val="none"/>
          <w:lang w:eastAsia="zh-CN"/>
        </w:rPr>
        <w:t>乙方及其雇员因履行本合同而在中国境内取得的一切收入，必须依照中国税法纳税，税金全部由乙方及其雇员承担。</w:t>
      </w:r>
    </w:p>
    <w:p w14:paraId="532BC657">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29.2</w:t>
      </w:r>
      <w:r>
        <w:rPr>
          <w:rFonts w:hint="eastAsia" w:ascii="宋体" w:hAnsi="宋体" w:eastAsia="宋体"/>
          <w:snapToGrid w:val="0"/>
          <w:color w:val="auto"/>
          <w:sz w:val="24"/>
          <w:szCs w:val="24"/>
          <w:highlight w:val="none"/>
          <w:lang w:eastAsia="zh-CN"/>
        </w:rPr>
        <w:t>乙方因履行本合同而在中国境内取得收入，依据中国、广东省、广州市有关法律、法规和行政规章必须缴纳的费用，全部由乙方承担。</w:t>
      </w:r>
    </w:p>
    <w:p w14:paraId="341C6FE1">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29.3</w:t>
      </w:r>
      <w:r>
        <w:rPr>
          <w:rFonts w:hint="eastAsia" w:ascii="宋体" w:hAnsi="宋体" w:eastAsia="宋体"/>
          <w:snapToGrid w:val="0"/>
          <w:color w:val="auto"/>
          <w:sz w:val="24"/>
          <w:szCs w:val="24"/>
          <w:highlight w:val="none"/>
          <w:lang w:eastAsia="zh-CN"/>
        </w:rPr>
        <w:t>凡因履行本合同而发生在中国以外的一切税费，全部由乙方承担。</w:t>
      </w:r>
    </w:p>
    <w:p w14:paraId="213DB702">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29.4</w:t>
      </w:r>
      <w:r>
        <w:rPr>
          <w:rFonts w:hint="eastAsia" w:ascii="宋体" w:hAnsi="宋体" w:eastAsia="宋体"/>
          <w:snapToGrid w:val="0"/>
          <w:color w:val="auto"/>
          <w:sz w:val="24"/>
          <w:szCs w:val="24"/>
          <w:highlight w:val="none"/>
          <w:lang w:eastAsia="zh-CN"/>
        </w:rPr>
        <w:t>合同能清晰界定建筑勘察设计工程服务的，应按相关税收政策缴纳营业税费，并由甲方代征代缴。</w:t>
      </w:r>
    </w:p>
    <w:p w14:paraId="45AAF69C">
      <w:pPr>
        <w:adjustRightInd w:val="0"/>
        <w:snapToGrid w:val="0"/>
        <w:spacing w:line="360" w:lineRule="auto"/>
        <w:jc w:val="both"/>
        <w:rPr>
          <w:rFonts w:hint="eastAsia" w:ascii="宋体" w:hAnsi="宋体" w:eastAsia="宋体"/>
          <w:snapToGrid w:val="0"/>
          <w:color w:val="auto"/>
          <w:sz w:val="24"/>
          <w:szCs w:val="24"/>
          <w:highlight w:val="none"/>
          <w:lang w:eastAsia="zh-CN"/>
        </w:rPr>
      </w:pPr>
    </w:p>
    <w:p w14:paraId="30A28EF3">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b/>
          <w:snapToGrid w:val="0"/>
          <w:color w:val="auto"/>
          <w:sz w:val="30"/>
          <w:szCs w:val="30"/>
          <w:highlight w:val="none"/>
          <w:lang w:eastAsia="zh-CN"/>
        </w:rPr>
        <w:t>第十七章  法律适用及</w:t>
      </w:r>
      <w:r>
        <w:rPr>
          <w:rFonts w:hint="eastAsia" w:ascii="宋体" w:hAnsi="宋体" w:eastAsia="宋体"/>
          <w:b/>
          <w:snapToGrid w:val="0"/>
          <w:color w:val="auto"/>
          <w:sz w:val="30"/>
          <w:szCs w:val="30"/>
          <w:highlight w:val="none"/>
          <w:lang w:eastAsia="zh-CN"/>
        </w:rPr>
        <w:t>诉讼</w:t>
      </w:r>
    </w:p>
    <w:p w14:paraId="43950741">
      <w:pPr>
        <w:adjustRightInd w:val="0"/>
        <w:snapToGrid w:val="0"/>
        <w:spacing w:line="360" w:lineRule="auto"/>
        <w:ind w:firstLine="471" w:firstLineChars="196"/>
        <w:rPr>
          <w:rFonts w:hint="eastAsia" w:ascii="宋体" w:hAnsi="宋体" w:eastAsia="宋体"/>
          <w:b/>
          <w:bCs/>
          <w:snapToGrid w:val="0"/>
          <w:color w:val="auto"/>
          <w:sz w:val="24"/>
          <w:highlight w:val="none"/>
          <w:lang w:eastAsia="zh-CN"/>
        </w:rPr>
      </w:pPr>
      <w:r>
        <w:rPr>
          <w:rFonts w:hint="eastAsia" w:ascii="宋体" w:hAnsi="宋体"/>
          <w:b/>
          <w:bCs/>
          <w:snapToGrid w:val="0"/>
          <w:color w:val="auto"/>
          <w:sz w:val="24"/>
          <w:highlight w:val="none"/>
          <w:lang w:eastAsia="zh-CN"/>
        </w:rPr>
        <w:t>30</w:t>
      </w:r>
      <w:r>
        <w:rPr>
          <w:rFonts w:hint="eastAsia" w:ascii="宋体" w:hAnsi="宋体" w:eastAsia="宋体" w:cs="宋体"/>
          <w:b/>
          <w:bCs/>
          <w:snapToGrid w:val="0"/>
          <w:color w:val="auto"/>
          <w:sz w:val="24"/>
          <w:highlight w:val="none"/>
          <w:lang w:eastAsia="zh-CN"/>
        </w:rPr>
        <w:t>、法律适用及</w:t>
      </w:r>
      <w:r>
        <w:rPr>
          <w:rFonts w:hint="eastAsia" w:ascii="宋体" w:hAnsi="宋体" w:eastAsia="宋体"/>
          <w:b/>
          <w:bCs/>
          <w:snapToGrid w:val="0"/>
          <w:color w:val="auto"/>
          <w:sz w:val="24"/>
          <w:highlight w:val="none"/>
          <w:lang w:eastAsia="zh-CN"/>
        </w:rPr>
        <w:t>诉讼</w:t>
      </w:r>
    </w:p>
    <w:p w14:paraId="1153C979">
      <w:pPr>
        <w:adjustRightInd w:val="0"/>
        <w:snapToGrid w:val="0"/>
        <w:spacing w:line="360" w:lineRule="auto"/>
        <w:ind w:right="11" w:firstLine="461" w:firstLineChars="192"/>
        <w:rPr>
          <w:rFonts w:ascii="宋体" w:hAnsi="宋体"/>
          <w:snapToGrid w:val="0"/>
          <w:color w:val="auto"/>
          <w:sz w:val="24"/>
          <w:highlight w:val="none"/>
          <w:lang w:eastAsia="zh-CN"/>
        </w:rPr>
      </w:pPr>
      <w:r>
        <w:rPr>
          <w:rFonts w:hint="eastAsia" w:ascii="宋体" w:hAnsi="宋体"/>
          <w:b/>
          <w:snapToGrid w:val="0"/>
          <w:color w:val="auto"/>
          <w:sz w:val="24"/>
          <w:highlight w:val="none"/>
          <w:lang w:eastAsia="zh-CN"/>
        </w:rPr>
        <w:t>30.1</w:t>
      </w:r>
      <w:r>
        <w:rPr>
          <w:rFonts w:hint="eastAsia" w:ascii="宋体" w:hAnsi="宋体"/>
          <w:snapToGrid w:val="0"/>
          <w:color w:val="auto"/>
          <w:sz w:val="24"/>
          <w:highlight w:val="none"/>
          <w:lang w:eastAsia="zh-CN"/>
        </w:rPr>
        <w:t>本合同的订立、效力、解释、履行和争议等的解决均受中华人民共和国法律的管辖。</w:t>
      </w:r>
    </w:p>
    <w:p w14:paraId="2CE96FCD">
      <w:pPr>
        <w:adjustRightInd w:val="0"/>
        <w:snapToGrid w:val="0"/>
        <w:spacing w:line="360" w:lineRule="auto"/>
        <w:ind w:right="11" w:firstLine="461" w:firstLineChars="192"/>
        <w:rPr>
          <w:rFonts w:ascii="宋体" w:hAnsi="宋体"/>
          <w:snapToGrid w:val="0"/>
          <w:color w:val="auto"/>
          <w:sz w:val="24"/>
          <w:highlight w:val="none"/>
          <w:lang w:eastAsia="zh-CN"/>
        </w:rPr>
      </w:pPr>
      <w:r>
        <w:rPr>
          <w:rFonts w:hint="eastAsia" w:ascii="宋体" w:hAnsi="宋体"/>
          <w:b/>
          <w:snapToGrid w:val="0"/>
          <w:color w:val="auto"/>
          <w:sz w:val="24"/>
          <w:highlight w:val="none"/>
          <w:lang w:eastAsia="zh-CN"/>
        </w:rPr>
        <w:t>30.2</w:t>
      </w:r>
      <w:r>
        <w:rPr>
          <w:rFonts w:hint="eastAsia" w:ascii="宋体" w:hAnsi="宋体"/>
          <w:snapToGrid w:val="0"/>
          <w:color w:val="auto"/>
          <w:sz w:val="24"/>
          <w:highlight w:val="none"/>
          <w:lang w:eastAsia="zh-CN"/>
        </w:rPr>
        <w:t>凡因本合同而起或与本合同有关的任何争议，应由甲乙双方通过友好协商解决。协商不成时，任何一方均有权</w:t>
      </w:r>
      <w:r>
        <w:rPr>
          <w:rFonts w:hint="eastAsia" w:ascii="宋体" w:hAnsi="宋体" w:eastAsia="宋体"/>
          <w:snapToGrid w:val="0"/>
          <w:color w:val="auto"/>
          <w:sz w:val="24"/>
          <w:highlight w:val="none"/>
          <w:lang w:eastAsia="zh-CN"/>
        </w:rPr>
        <w:t>向甲方所在地有管辖权的人民法院起诉</w:t>
      </w:r>
      <w:r>
        <w:rPr>
          <w:rFonts w:hint="eastAsia" w:ascii="宋体" w:hAnsi="宋体"/>
          <w:snapToGrid w:val="0"/>
          <w:color w:val="auto"/>
          <w:sz w:val="24"/>
          <w:highlight w:val="none"/>
          <w:lang w:eastAsia="zh-CN"/>
        </w:rPr>
        <w:t>。</w:t>
      </w:r>
    </w:p>
    <w:p w14:paraId="18EADA68">
      <w:pPr>
        <w:adjustRightInd w:val="0"/>
        <w:snapToGrid w:val="0"/>
        <w:spacing w:line="360" w:lineRule="auto"/>
        <w:ind w:right="11" w:firstLine="461" w:firstLineChars="192"/>
        <w:rPr>
          <w:rFonts w:ascii="宋体" w:hAnsi="宋体"/>
          <w:snapToGrid w:val="0"/>
          <w:color w:val="auto"/>
          <w:sz w:val="24"/>
          <w:highlight w:val="none"/>
          <w:lang w:eastAsia="zh-CN"/>
        </w:rPr>
      </w:pPr>
      <w:r>
        <w:rPr>
          <w:rFonts w:hint="eastAsia" w:ascii="宋体" w:hAnsi="宋体"/>
          <w:b/>
          <w:snapToGrid w:val="0"/>
          <w:color w:val="auto"/>
          <w:sz w:val="24"/>
          <w:highlight w:val="none"/>
          <w:lang w:eastAsia="zh-CN"/>
        </w:rPr>
        <w:t>30.3</w:t>
      </w:r>
      <w:r>
        <w:rPr>
          <w:rFonts w:hint="eastAsia" w:ascii="宋体" w:hAnsi="宋体"/>
          <w:snapToGrid w:val="0"/>
          <w:color w:val="auto"/>
          <w:sz w:val="24"/>
          <w:highlight w:val="none"/>
          <w:lang w:eastAsia="zh-CN"/>
        </w:rPr>
        <w:t>在</w:t>
      </w:r>
      <w:r>
        <w:rPr>
          <w:rFonts w:hint="eastAsia" w:ascii="宋体" w:hAnsi="宋体" w:eastAsia="宋体"/>
          <w:snapToGrid w:val="0"/>
          <w:color w:val="auto"/>
          <w:sz w:val="24"/>
          <w:highlight w:val="none"/>
          <w:lang w:eastAsia="zh-CN"/>
        </w:rPr>
        <w:t>诉讼</w:t>
      </w:r>
      <w:r>
        <w:rPr>
          <w:rFonts w:hint="eastAsia" w:ascii="宋体" w:hAnsi="宋体"/>
          <w:snapToGrid w:val="0"/>
          <w:color w:val="auto"/>
          <w:sz w:val="24"/>
          <w:highlight w:val="none"/>
          <w:lang w:eastAsia="zh-CN"/>
        </w:rPr>
        <w:t>过程中，除提交</w:t>
      </w:r>
      <w:r>
        <w:rPr>
          <w:rFonts w:hint="eastAsia" w:ascii="宋体" w:hAnsi="宋体" w:eastAsia="宋体"/>
          <w:snapToGrid w:val="0"/>
          <w:color w:val="auto"/>
          <w:sz w:val="24"/>
          <w:highlight w:val="none"/>
          <w:lang w:eastAsia="zh-CN"/>
        </w:rPr>
        <w:t>诉讼</w:t>
      </w:r>
      <w:r>
        <w:rPr>
          <w:rFonts w:hint="eastAsia" w:ascii="宋体" w:hAnsi="宋体"/>
          <w:snapToGrid w:val="0"/>
          <w:color w:val="auto"/>
          <w:sz w:val="24"/>
          <w:highlight w:val="none"/>
          <w:lang w:eastAsia="zh-CN"/>
        </w:rPr>
        <w:t>的部分之外，甲乙双方均应继续履行合同的其他条款。对于甲方依据合同条款第28条的有关约定单方面解除合同的，乙方应及时移交资料和退场，同时不得妨碍甲方另行委托其他单位实施本工程的勘察、设计工作。</w:t>
      </w:r>
    </w:p>
    <w:p w14:paraId="59485418">
      <w:pPr>
        <w:adjustRightInd w:val="0"/>
        <w:snapToGrid w:val="0"/>
        <w:spacing w:line="360" w:lineRule="auto"/>
        <w:ind w:left="1222" w:leftChars="228" w:hanging="720" w:hangingChars="300"/>
        <w:jc w:val="both"/>
        <w:rPr>
          <w:rFonts w:hint="eastAsia" w:ascii="宋体" w:hAnsi="宋体" w:eastAsia="宋体"/>
          <w:snapToGrid w:val="0"/>
          <w:color w:val="auto"/>
          <w:sz w:val="24"/>
          <w:szCs w:val="24"/>
          <w:highlight w:val="none"/>
          <w:lang w:eastAsia="zh-CN"/>
        </w:rPr>
      </w:pPr>
    </w:p>
    <w:p w14:paraId="047774CC">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第十八章  保密、知识产权与专利技术</w:t>
      </w:r>
    </w:p>
    <w:p w14:paraId="1887E9A8">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31、保密、知识产权与专利技术</w:t>
      </w:r>
    </w:p>
    <w:p w14:paraId="640A2B3D">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31.1</w:t>
      </w:r>
      <w:r>
        <w:rPr>
          <w:rFonts w:hint="eastAsia" w:ascii="宋体" w:hAnsi="宋体" w:eastAsia="宋体"/>
          <w:snapToGrid w:val="0"/>
          <w:color w:val="auto"/>
          <w:sz w:val="24"/>
          <w:szCs w:val="24"/>
          <w:highlight w:val="none"/>
          <w:lang w:eastAsia="zh-CN"/>
        </w:rPr>
        <w:t>甲乙双方均应保护对方的知识产权，未经对方同意，任何一方均不得对对方的资料及文件擅自修改、复制或向他人转让。如发生以上情况，泄密方应承担由此引起的一切后果并承担赔偿责任。</w:t>
      </w:r>
    </w:p>
    <w:p w14:paraId="7C764154">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33.2</w:t>
      </w:r>
      <w:r>
        <w:rPr>
          <w:rFonts w:hint="eastAsia" w:ascii="宋体" w:hAnsi="宋体" w:eastAsia="宋体"/>
          <w:snapToGrid w:val="0"/>
          <w:color w:val="auto"/>
          <w:sz w:val="24"/>
          <w:szCs w:val="24"/>
          <w:highlight w:val="none"/>
          <w:lang w:eastAsia="zh-CN"/>
        </w:rPr>
        <w:t>本工程勘察、设计成果文件的知识产权归甲方所有。乙方仅享有本工程勘察、设计成果文件的署名权，并可在展览或书刊中进行展示、介绍及讨论其设计模型、外观图片、装饰效果图，但不享有知识产权中的其他权利。乙方承诺自本合同签订之日起，为本工程所做的全部工作的成果，包括方案设计、初步设计及其他勘察、设计文件、资料等不再用于其他任何项目的勘察、设计，否则甲方有权向乙方追究相关责任。</w:t>
      </w:r>
    </w:p>
    <w:p w14:paraId="01472403">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31.3</w:t>
      </w:r>
      <w:r>
        <w:rPr>
          <w:rFonts w:hint="eastAsia" w:ascii="宋体" w:hAnsi="宋体" w:eastAsia="宋体"/>
          <w:snapToGrid w:val="0"/>
          <w:color w:val="auto"/>
          <w:sz w:val="24"/>
          <w:szCs w:val="24"/>
          <w:highlight w:val="none"/>
          <w:lang w:eastAsia="zh-CN"/>
        </w:rPr>
        <w:t>乙方保证本工程的勘察、设计文件、资料等均未侵犯第三方的知识产权及其他权利，否则必须承担由此而引起的全部法律责任。</w:t>
      </w:r>
    </w:p>
    <w:p w14:paraId="6F1B2828">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31.4</w:t>
      </w:r>
      <w:r>
        <w:rPr>
          <w:rFonts w:hint="eastAsia" w:ascii="宋体" w:hAnsi="宋体" w:eastAsia="宋体"/>
          <w:snapToGrid w:val="0"/>
          <w:color w:val="auto"/>
          <w:sz w:val="24"/>
          <w:szCs w:val="24"/>
          <w:highlight w:val="none"/>
          <w:lang w:eastAsia="zh-CN"/>
        </w:rPr>
        <w:t>甲方拥有乙方为本工程勘察、设计且按本合同要求所提交的全部勘察、设计文件、资料等的所有权及完全使用权，并在本合同执行完毕后继续拥有合法使用以上勘察、设计文件、资料等的权利（包括但不限于用作本工程宣传及工程建设学术研究交流之用等）。</w:t>
      </w:r>
    </w:p>
    <w:p w14:paraId="7FDB9A67">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31.5</w:t>
      </w:r>
      <w:r>
        <w:rPr>
          <w:rFonts w:hint="eastAsia" w:ascii="宋体" w:hAnsi="宋体" w:eastAsia="宋体"/>
          <w:snapToGrid w:val="0"/>
          <w:color w:val="auto"/>
          <w:sz w:val="24"/>
          <w:szCs w:val="24"/>
          <w:highlight w:val="none"/>
          <w:lang w:eastAsia="zh-CN"/>
        </w:rPr>
        <w:t>如本项目如需要使用专利技术，应先征得甲方的书面认可。甲方负责办理相应的法律手续，因此而涉及的申报、试验、使用等费用列入合同价款。</w:t>
      </w:r>
    </w:p>
    <w:p w14:paraId="78D3FB10">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31.6</w:t>
      </w:r>
      <w:r>
        <w:rPr>
          <w:rFonts w:hint="eastAsia" w:ascii="宋体" w:hAnsi="宋体" w:eastAsia="宋体"/>
          <w:snapToGrid w:val="0"/>
          <w:color w:val="auto"/>
          <w:sz w:val="24"/>
          <w:szCs w:val="24"/>
          <w:highlight w:val="none"/>
          <w:lang w:eastAsia="zh-CN"/>
        </w:rPr>
        <w:t>乙方擅自使用专利技术侵犯他人专利权的，由乙方依法承担有关责任。</w:t>
      </w:r>
    </w:p>
    <w:p w14:paraId="2D6E3B39">
      <w:pPr>
        <w:adjustRightInd w:val="0"/>
        <w:snapToGrid w:val="0"/>
        <w:spacing w:line="360" w:lineRule="auto"/>
        <w:ind w:right="11" w:firstLine="460" w:firstLineChars="192"/>
        <w:jc w:val="both"/>
        <w:rPr>
          <w:rFonts w:hint="eastAsia" w:ascii="宋体" w:hAnsi="宋体" w:eastAsia="宋体"/>
          <w:snapToGrid w:val="0"/>
          <w:color w:val="auto"/>
          <w:sz w:val="24"/>
          <w:szCs w:val="24"/>
          <w:highlight w:val="none"/>
          <w:lang w:eastAsia="zh-CN"/>
        </w:rPr>
      </w:pPr>
    </w:p>
    <w:p w14:paraId="1B358C31">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第十九章  不可抗力</w:t>
      </w:r>
    </w:p>
    <w:p w14:paraId="55C366BF">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32、不可抗力</w:t>
      </w:r>
    </w:p>
    <w:p w14:paraId="5CFF2077">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32.1</w:t>
      </w:r>
      <w:r>
        <w:rPr>
          <w:rFonts w:hint="eastAsia" w:ascii="宋体" w:hAnsi="宋体" w:eastAsia="宋体"/>
          <w:snapToGrid w:val="0"/>
          <w:color w:val="auto"/>
          <w:sz w:val="24"/>
          <w:szCs w:val="24"/>
          <w:highlight w:val="none"/>
          <w:lang w:eastAsia="zh-CN"/>
        </w:rPr>
        <w:t>不可抗力，是指不能预见、不能避免并不能克服、对本合同的勘察、设计或服务工作造成实质性影响的自然灾害和战争、动乱（不包括乙方内部的任何纠纷和纷争）等社会事件。</w:t>
      </w:r>
    </w:p>
    <w:p w14:paraId="1CB350DC">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32.2</w:t>
      </w:r>
      <w:r>
        <w:rPr>
          <w:rFonts w:hint="eastAsia" w:ascii="宋体" w:hAnsi="宋体" w:eastAsia="宋体"/>
          <w:bCs/>
          <w:snapToGrid w:val="0"/>
          <w:color w:val="auto"/>
          <w:sz w:val="24"/>
          <w:szCs w:val="24"/>
          <w:highlight w:val="none"/>
          <w:lang w:eastAsia="zh-CN"/>
        </w:rPr>
        <w:t>自然灾害的范围及其认定方式，按如下约定执行：</w:t>
      </w:r>
    </w:p>
    <w:p w14:paraId="05BBB73C">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w:t>
      </w:r>
      <w:r>
        <w:rPr>
          <w:rFonts w:hint="eastAsia" w:ascii="宋体" w:hAnsi="宋体" w:eastAsia="宋体"/>
          <w:snapToGrid w:val="0"/>
          <w:color w:val="auto"/>
          <w:sz w:val="24"/>
          <w:szCs w:val="24"/>
          <w:highlight w:val="none"/>
          <w:lang w:eastAsia="zh-CN"/>
        </w:rPr>
        <w:t>工作</w:t>
      </w:r>
      <w:r>
        <w:rPr>
          <w:rFonts w:hint="eastAsia" w:ascii="宋体" w:hAnsi="宋体" w:eastAsia="宋体"/>
          <w:bCs/>
          <w:snapToGrid w:val="0"/>
          <w:color w:val="auto"/>
          <w:sz w:val="24"/>
          <w:szCs w:val="24"/>
          <w:highlight w:val="none"/>
          <w:lang w:eastAsia="zh-CN"/>
        </w:rPr>
        <w:t>日志、现场照片办理证据保全公证，方可认定为是不可抗力。</w:t>
      </w:r>
    </w:p>
    <w:p w14:paraId="6840F13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（2）里氏5级（含5级）以上的地震。</w:t>
      </w:r>
    </w:p>
    <w:p w14:paraId="133869D2">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32.3</w:t>
      </w:r>
      <w:r>
        <w:rPr>
          <w:rFonts w:hint="eastAsia" w:ascii="宋体" w:hAnsi="宋体" w:eastAsia="宋体"/>
          <w:snapToGrid w:val="0"/>
          <w:color w:val="auto"/>
          <w:sz w:val="24"/>
          <w:szCs w:val="24"/>
          <w:highlight w:val="none"/>
          <w:lang w:eastAsia="zh-CN"/>
        </w:rPr>
        <w:t>政府关于本工程政策的重大调整或项目建设规划方案重大功能性调整，也属不可抗力。</w:t>
      </w:r>
    </w:p>
    <w:p w14:paraId="6795F44B">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32.4</w:t>
      </w:r>
      <w:r>
        <w:rPr>
          <w:rFonts w:hint="eastAsia" w:ascii="宋体" w:hAnsi="宋体" w:eastAsia="宋体"/>
          <w:snapToGrid w:val="0"/>
          <w:color w:val="auto"/>
          <w:sz w:val="24"/>
          <w:szCs w:val="24"/>
          <w:highlight w:val="none"/>
          <w:lang w:eastAsia="zh-CN"/>
        </w:rPr>
        <w:t>因不可抗力事件导致的费用损失，由甲乙双方各自承担自己的损失。对不可抗力事件导致的乙方勘察、设计成果文件提交时间的延误，由双方协商确定乙方提交勘察、设计成果的提交时间。</w:t>
      </w:r>
    </w:p>
    <w:p w14:paraId="63F6CD3A">
      <w:pPr>
        <w:adjustRightInd w:val="0"/>
        <w:snapToGrid w:val="0"/>
        <w:spacing w:line="360" w:lineRule="auto"/>
        <w:ind w:left="982" w:leftChars="228" w:hanging="480" w:hangingChars="200"/>
        <w:jc w:val="both"/>
        <w:rPr>
          <w:rFonts w:hint="eastAsia" w:ascii="宋体" w:hAnsi="宋体" w:eastAsia="宋体"/>
          <w:snapToGrid w:val="0"/>
          <w:color w:val="auto"/>
          <w:sz w:val="24"/>
          <w:szCs w:val="24"/>
          <w:highlight w:val="none"/>
          <w:lang w:eastAsia="zh-CN"/>
        </w:rPr>
      </w:pPr>
    </w:p>
    <w:p w14:paraId="74F6A6A0">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第二十章  合同生效、解除及其他</w:t>
      </w:r>
    </w:p>
    <w:p w14:paraId="7EB69EEC">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33、合同生效、解除及其他</w:t>
      </w:r>
    </w:p>
    <w:p w14:paraId="3DB06594">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33.1</w:t>
      </w:r>
      <w:r>
        <w:rPr>
          <w:rFonts w:hint="eastAsia" w:ascii="宋体" w:hAnsi="宋体" w:eastAsia="宋体"/>
          <w:snapToGrid w:val="0"/>
          <w:color w:val="auto"/>
          <w:sz w:val="24"/>
          <w:szCs w:val="24"/>
          <w:highlight w:val="none"/>
          <w:lang w:eastAsia="zh-CN"/>
        </w:rPr>
        <w:t>本合同的生效及终止按合同协议书第12条的约定执行。</w:t>
      </w:r>
    </w:p>
    <w:p w14:paraId="39F4821A">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33.2</w:t>
      </w:r>
      <w:r>
        <w:rPr>
          <w:rFonts w:hint="eastAsia" w:ascii="宋体" w:hAnsi="宋体" w:eastAsia="宋体"/>
          <w:snapToGrid w:val="0"/>
          <w:color w:val="auto"/>
          <w:sz w:val="24"/>
          <w:szCs w:val="24"/>
          <w:highlight w:val="none"/>
          <w:lang w:eastAsia="zh-CN"/>
        </w:rPr>
        <w:t>本合同目录第三篇所列的附件均为本合同不可分割的组成部分。</w:t>
      </w:r>
    </w:p>
    <w:p w14:paraId="20807FA6">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33.3</w:t>
      </w:r>
      <w:r>
        <w:rPr>
          <w:rFonts w:hint="eastAsia" w:ascii="宋体" w:hAnsi="宋体" w:eastAsia="宋体"/>
          <w:snapToGrid w:val="0"/>
          <w:color w:val="auto"/>
          <w:sz w:val="24"/>
          <w:szCs w:val="24"/>
          <w:highlight w:val="none"/>
          <w:lang w:eastAsia="zh-CN"/>
        </w:rPr>
        <w:t>甲乙双方经协商一致，可以解除合同。</w:t>
      </w:r>
    </w:p>
    <w:p w14:paraId="12BC2F11">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33.4</w:t>
      </w:r>
      <w:r>
        <w:rPr>
          <w:rFonts w:hint="eastAsia" w:ascii="宋体" w:hAnsi="宋体" w:eastAsia="宋体"/>
          <w:snapToGrid w:val="0"/>
          <w:color w:val="auto"/>
          <w:sz w:val="24"/>
          <w:szCs w:val="24"/>
          <w:highlight w:val="none"/>
          <w:lang w:eastAsia="zh-CN"/>
        </w:rPr>
        <w:t>发生下列情形之一，甲乙任何一方均可解除合同，但应以书面形式向对方发出解除合同的通知，通知到达时合同即解除。对解除合同有争议的，按合同条款第32条的约定处理。</w:t>
      </w:r>
    </w:p>
    <w:p w14:paraId="187B09C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（1）因不可抗力致使合同无法履行；</w:t>
      </w:r>
    </w:p>
    <w:p w14:paraId="5866092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（2）因一方违约致使合同无法履行。</w:t>
      </w:r>
    </w:p>
    <w:p w14:paraId="3074330C">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33.5</w:t>
      </w:r>
      <w:r>
        <w:rPr>
          <w:rFonts w:hint="eastAsia" w:ascii="宋体" w:hAnsi="宋体" w:eastAsia="宋体"/>
          <w:snapToGrid w:val="0"/>
          <w:color w:val="auto"/>
          <w:sz w:val="24"/>
          <w:szCs w:val="24"/>
          <w:highlight w:val="none"/>
          <w:lang w:eastAsia="zh-CN"/>
        </w:rPr>
        <w:t>合同解除后，不影响双方在合同中约定的结算和清理条款、</w:t>
      </w:r>
      <w:r>
        <w:rPr>
          <w:rFonts w:hint="eastAsia" w:ascii="宋体" w:hAnsi="宋体" w:eastAsia="宋体" w:cs="微软雅黑"/>
          <w:color w:val="auto"/>
          <w:sz w:val="24"/>
          <w:szCs w:val="24"/>
          <w:highlight w:val="none"/>
          <w:lang w:eastAsia="zh-CN"/>
        </w:rPr>
        <w:t>保密条款、争议解决条款和其他适用条款</w:t>
      </w:r>
      <w:r>
        <w:rPr>
          <w:rFonts w:hint="eastAsia" w:ascii="宋体" w:hAnsi="宋体" w:eastAsia="宋体"/>
          <w:snapToGrid w:val="0"/>
          <w:color w:val="auto"/>
          <w:sz w:val="24"/>
          <w:szCs w:val="24"/>
          <w:highlight w:val="none"/>
          <w:lang w:eastAsia="zh-CN"/>
        </w:rPr>
        <w:t>的效力。乙方应妥善做好已完工项目的保护和移交工作。同时，有过错方应当向无过错方赔偿因解除合同所造成的损失。</w:t>
      </w:r>
    </w:p>
    <w:p w14:paraId="231C5B59">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33.6</w:t>
      </w:r>
      <w:r>
        <w:rPr>
          <w:rFonts w:hint="eastAsia" w:ascii="宋体" w:hAnsi="宋体" w:eastAsia="宋体"/>
          <w:snapToGrid w:val="0"/>
          <w:color w:val="auto"/>
          <w:sz w:val="24"/>
          <w:szCs w:val="24"/>
          <w:highlight w:val="none"/>
          <w:lang w:eastAsia="zh-CN"/>
        </w:rPr>
        <w:t>乙方承诺严格按照合同和招投标文件规定履行义务，并同意甲方将其执行国家强制性规范、标准和履行合同、招投标文件义务的情况（包括但不限于由甲方组织的考核、考评通报、违约责任处理决定等）在甲方网站和其他媒体上公开披露。</w:t>
      </w:r>
    </w:p>
    <w:p w14:paraId="21F21FB1">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33.7</w:t>
      </w:r>
      <w:r>
        <w:rPr>
          <w:rFonts w:hint="eastAsia" w:ascii="宋体" w:hAnsi="宋体" w:eastAsia="宋体"/>
          <w:snapToGrid w:val="0"/>
          <w:color w:val="auto"/>
          <w:sz w:val="24"/>
          <w:szCs w:val="24"/>
          <w:highlight w:val="none"/>
          <w:lang w:eastAsia="zh-CN"/>
        </w:rPr>
        <w:t>招标文件第八章“合同通用条件”是本合同的补充，本合同及招标文件未约定的事项，如“合同通用条件”有约定的，应按“合同通用条件”的约定执行；“合同通用条件”与本合同及招标文件的其他约定不一致的，以本合同及招标文件的其他约定为准。</w:t>
      </w:r>
    </w:p>
    <w:p w14:paraId="0D14C22E">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33.8</w:t>
      </w:r>
      <w:r>
        <w:rPr>
          <w:rFonts w:hint="eastAsia" w:ascii="宋体" w:hAnsi="宋体" w:eastAsia="宋体"/>
          <w:snapToGrid w:val="0"/>
          <w:color w:val="auto"/>
          <w:sz w:val="24"/>
          <w:szCs w:val="24"/>
          <w:highlight w:val="none"/>
          <w:lang w:eastAsia="zh-CN"/>
        </w:rPr>
        <w:t>本合同未尽事宜，由甲乙双方另行签订补充协议。</w:t>
      </w:r>
    </w:p>
    <w:p w14:paraId="220E01D0">
      <w:pPr>
        <w:adjustRightInd w:val="0"/>
        <w:snapToGrid w:val="0"/>
        <w:spacing w:line="360" w:lineRule="auto"/>
        <w:jc w:val="both"/>
        <w:rPr>
          <w:rFonts w:hint="eastAsia" w:ascii="仿宋_GB2312" w:eastAsia="仿宋_GB2312"/>
          <w:snapToGrid w:val="0"/>
          <w:color w:val="auto"/>
          <w:sz w:val="32"/>
          <w:szCs w:val="32"/>
          <w:highlight w:val="none"/>
          <w:lang w:eastAsia="zh-CN"/>
        </w:rPr>
      </w:pPr>
    </w:p>
    <w:p w14:paraId="3B7E8898">
      <w:pPr>
        <w:adjustRightInd w:val="0"/>
        <w:snapToGrid w:val="0"/>
        <w:spacing w:line="360" w:lineRule="auto"/>
        <w:jc w:val="both"/>
        <w:rPr>
          <w:rFonts w:hint="eastAsia" w:ascii="仿宋_GB2312" w:eastAsia="仿宋_GB2312"/>
          <w:snapToGrid w:val="0"/>
          <w:color w:val="auto"/>
          <w:sz w:val="32"/>
          <w:szCs w:val="32"/>
          <w:highlight w:val="none"/>
          <w:lang w:eastAsia="zh-CN"/>
        </w:rPr>
      </w:pPr>
    </w:p>
    <w:p w14:paraId="4C1A597F">
      <w:pPr>
        <w:adjustRightInd w:val="0"/>
        <w:snapToGrid w:val="0"/>
        <w:spacing w:line="360" w:lineRule="auto"/>
        <w:jc w:val="center"/>
        <w:rPr>
          <w:rFonts w:hint="eastAsia" w:ascii="宋体" w:hAnsi="宋体" w:eastAsia="宋体"/>
          <w:b/>
          <w:bCs/>
          <w:snapToGrid w:val="0"/>
          <w:color w:val="auto"/>
          <w:sz w:val="44"/>
          <w:szCs w:val="44"/>
          <w:highlight w:val="none"/>
          <w:lang w:eastAsia="zh-CN"/>
        </w:rPr>
      </w:pPr>
      <w:r>
        <w:rPr>
          <w:rFonts w:hint="eastAsia" w:ascii="宋体" w:hAnsi="宋体" w:eastAsia="宋体"/>
          <w:b/>
          <w:bCs/>
          <w:snapToGrid w:val="0"/>
          <w:color w:val="auto"/>
          <w:sz w:val="44"/>
          <w:szCs w:val="44"/>
          <w:highlight w:val="none"/>
          <w:lang w:eastAsia="zh-CN"/>
        </w:rPr>
        <w:t>第三篇  合同附件</w:t>
      </w:r>
    </w:p>
    <w:p w14:paraId="0EED604B">
      <w:pPr>
        <w:adjustRightInd w:val="0"/>
        <w:snapToGrid w:val="0"/>
        <w:spacing w:line="360" w:lineRule="auto"/>
        <w:jc w:val="center"/>
        <w:rPr>
          <w:rFonts w:hint="eastAsia" w:ascii="宋体" w:hAnsi="宋体" w:eastAsia="宋体"/>
          <w:b/>
          <w:bCs/>
          <w:snapToGrid w:val="0"/>
          <w:color w:val="auto"/>
          <w:sz w:val="24"/>
          <w:szCs w:val="24"/>
          <w:highlight w:val="none"/>
          <w:lang w:eastAsia="zh-CN"/>
        </w:rPr>
      </w:pPr>
    </w:p>
    <w:p w14:paraId="4D58BAA8">
      <w:pPr>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br w:type="page"/>
      </w:r>
    </w:p>
    <w:p w14:paraId="26B28A30">
      <w:pPr>
        <w:adjustRightInd w:val="0"/>
        <w:snapToGrid w:val="0"/>
        <w:spacing w:line="30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附件1：</w:t>
      </w:r>
    </w:p>
    <w:p w14:paraId="3947204B">
      <w:pPr>
        <w:adjustRightInd w:val="0"/>
        <w:snapToGrid w:val="0"/>
        <w:spacing w:line="300" w:lineRule="auto"/>
        <w:jc w:val="center"/>
        <w:rPr>
          <w:rFonts w:hint="eastAsia" w:ascii="宋体" w:hAnsi="宋体" w:eastAsia="宋体"/>
          <w:b/>
          <w:snapToGrid w:val="0"/>
          <w:color w:val="auto"/>
          <w:sz w:val="36"/>
          <w:szCs w:val="36"/>
          <w:highlight w:val="none"/>
          <w:lang w:eastAsia="zh-CN"/>
        </w:rPr>
      </w:pPr>
      <w:r>
        <w:rPr>
          <w:rFonts w:hint="eastAsia" w:ascii="宋体" w:hAnsi="宋体" w:eastAsia="宋体"/>
          <w:b/>
          <w:snapToGrid w:val="0"/>
          <w:color w:val="auto"/>
          <w:sz w:val="36"/>
          <w:szCs w:val="36"/>
          <w:highlight w:val="none"/>
          <w:lang w:eastAsia="zh-CN"/>
        </w:rPr>
        <w:t>工程建设廉洁协议书</w:t>
      </w:r>
    </w:p>
    <w:p w14:paraId="381A2337">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5A142750">
      <w:pPr>
        <w:adjustRightInd w:val="0"/>
        <w:snapToGrid w:val="0"/>
        <w:spacing w:line="300" w:lineRule="auto"/>
        <w:jc w:val="both"/>
        <w:rPr>
          <w:rFonts w:hint="eastAsia" w:ascii="宋体" w:hAnsi="宋体" w:eastAsia="宋体" w:cs="Times New Roman"/>
          <w:bCs/>
          <w:snapToGrid w:val="0"/>
          <w:color w:val="auto"/>
          <w:sz w:val="24"/>
          <w:szCs w:val="24"/>
          <w:highlight w:val="none"/>
          <w:lang w:eastAsia="zh-CN"/>
        </w:rPr>
      </w:pPr>
      <w:r>
        <w:rPr>
          <w:rFonts w:hint="eastAsia" w:ascii="宋体" w:hAnsi="宋体" w:eastAsia="宋体" w:cs="Times New Roman"/>
          <w:bCs/>
          <w:snapToGrid w:val="0"/>
          <w:color w:val="auto"/>
          <w:sz w:val="24"/>
          <w:szCs w:val="24"/>
          <w:highlight w:val="none"/>
          <w:lang w:eastAsia="zh-CN"/>
        </w:rPr>
        <w:t>项目名称：天河区元岗村城中村改造项目AT0206007地块（即YG8号地块）勘察和初步设计</w:t>
      </w:r>
    </w:p>
    <w:p w14:paraId="2E8715D7">
      <w:pPr>
        <w:adjustRightInd w:val="0"/>
        <w:snapToGrid w:val="0"/>
        <w:spacing w:line="300" w:lineRule="auto"/>
        <w:jc w:val="both"/>
        <w:rPr>
          <w:rFonts w:hint="eastAsia" w:ascii="宋体" w:hAnsi="宋体" w:eastAsia="宋体" w:cs="Times New Roman"/>
          <w:bCs/>
          <w:snapToGrid w:val="0"/>
          <w:color w:val="auto"/>
          <w:sz w:val="24"/>
          <w:szCs w:val="24"/>
          <w:highlight w:val="none"/>
          <w:lang w:eastAsia="zh-CN"/>
        </w:rPr>
      </w:pPr>
      <w:r>
        <w:rPr>
          <w:rFonts w:hint="eastAsia" w:ascii="宋体" w:hAnsi="宋体" w:eastAsia="宋体" w:cs="Times New Roman"/>
          <w:bCs/>
          <w:snapToGrid w:val="0"/>
          <w:color w:val="auto"/>
          <w:sz w:val="24"/>
          <w:szCs w:val="24"/>
          <w:highlight w:val="none"/>
          <w:lang w:eastAsia="zh-CN"/>
        </w:rPr>
        <w:t>项目地址：本项目位于广州市天河区元岗街道元岗村改造项目范围，靠近元岗北街。</w:t>
      </w:r>
    </w:p>
    <w:p w14:paraId="31CA459C">
      <w:pPr>
        <w:adjustRightInd w:val="0"/>
        <w:snapToGrid w:val="0"/>
        <w:spacing w:line="30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甲方（发包人）：</w:t>
      </w:r>
      <w:r>
        <w:rPr>
          <w:rFonts w:hint="eastAsia" w:ascii="宋体" w:hAnsi="宋体" w:eastAsia="宋体"/>
          <w:b/>
          <w:bCs/>
          <w:snapToGrid w:val="0"/>
          <w:color w:val="auto"/>
          <w:sz w:val="24"/>
          <w:szCs w:val="24"/>
          <w:highlight w:val="none"/>
          <w:lang w:eastAsia="zh-CN"/>
        </w:rPr>
        <w:t>广州环五山创新策源区元岗城市更新有限公司</w:t>
      </w:r>
    </w:p>
    <w:p w14:paraId="4DCF63F6">
      <w:pPr>
        <w:adjustRightInd w:val="0"/>
        <w:snapToGrid w:val="0"/>
        <w:spacing w:line="30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乙方（承包人）：</w:t>
      </w:r>
    </w:p>
    <w:p w14:paraId="537F8489">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21A5BB65">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为切实加强廉洁工程建设，规范承发包双方的各项建筑活动，预防本工程违法违纪等腐败现象的发生，保障工程建设优质、安全和廉洁，根据《广州市建筑市场廉洁准入规定（试行）》及相关法律法规的规定，特订立本协议书。</w:t>
      </w:r>
    </w:p>
    <w:p w14:paraId="622109D7">
      <w:pPr>
        <w:adjustRightInd w:val="0"/>
        <w:snapToGrid w:val="0"/>
        <w:spacing w:line="30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第一条 甲乙双方责任</w:t>
      </w:r>
    </w:p>
    <w:p w14:paraId="1F204266">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（一）严格遵守国家有关法律法规和政策规定，以及廉政建设的各项规定。</w:t>
      </w:r>
    </w:p>
    <w:p w14:paraId="572A4522">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（二）严格执行建设工程项目承发包合同文件，自觉按合同办事。</w:t>
      </w:r>
    </w:p>
    <w:p w14:paraId="6FFC93AA">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三）建筑活动必须坚持公开、公平、公正、诚信、透明的原则（法律法规另有规定的除外），不得为获取不正当的利益，损害国家、集体和对方利益，不得违反国家、省、市和甲方有关工程建设管理的规章制度。</w:t>
      </w:r>
    </w:p>
    <w:p w14:paraId="7030032B">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（四）发现对方在建筑活动中存在违规、违纪、违法行为的，有权向其上级主管部门或纪检监察、检察等有关机关举报。</w:t>
      </w:r>
    </w:p>
    <w:p w14:paraId="4A9CFE22">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（五）甲乙双方应充分发挥各自职能作用，积极互动形成纵向监督合力，依照本协议书规定，对本工程项目承发包合同履行情况实施监督，及时制止不廉洁行为的发生。</w:t>
      </w:r>
    </w:p>
    <w:p w14:paraId="7B8ADA8D">
      <w:pPr>
        <w:adjustRightInd w:val="0"/>
        <w:snapToGrid w:val="0"/>
        <w:spacing w:line="30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第二条 甲方责任</w:t>
      </w:r>
    </w:p>
    <w:p w14:paraId="0A33BEFA">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（一）甲方领导干部和从事该工程建设的管理人员，在建筑活动中须严格遵守以下廉洁从业规定：</w:t>
      </w:r>
    </w:p>
    <w:p w14:paraId="390B40F3">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1.不准向乙方和相关单位或个人索取钱物或接受回扣、礼金、各种有价证券、信用卡和好处费、感谢费以及其他支付凭证等。</w:t>
      </w:r>
    </w:p>
    <w:p w14:paraId="46706994">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2.不准接受可能影响公正执行公务的乙方和相关单位或个人的礼物馈赠、宴请、各种形式俱乐部会员资格、高消费娱乐活动。</w:t>
      </w:r>
    </w:p>
    <w:p w14:paraId="37EB8FD2">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3.不准在乙方和相关单位报销任何应由甲方或个人负担的费用。</w:t>
      </w:r>
    </w:p>
    <w:p w14:paraId="1F2AB025">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4.不准要求、暗示或接受乙方和相关单位或个人为自己、配偶、子女、其他亲属朋友及身边工作人员的装修住房、婚丧嫁娶、工作安排、学习培训、经商办企业以及出国（境）、旅游、度假等支付费用。</w:t>
      </w:r>
    </w:p>
    <w:p w14:paraId="61199692">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5.不准向乙方介绍配偶、子女、其他亲属朋友及身边工作人员参与同甲方项目工程合同有关的设备、材料、工程分包、劳务等经济活动。</w:t>
      </w:r>
    </w:p>
    <w:p w14:paraId="1313AF4C">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6.不得以任何理由向乙方和相关单位推荐分包单位和要求或暗示乙方购买项目工程合同规定之外的材料、设备等。</w:t>
      </w:r>
    </w:p>
    <w:p w14:paraId="5A282619">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（二）合同签订后组织与乙方相关廉洁责任人见面会，进行廉洁工程建设交底，明确廉洁工程建设责任和目标任务、举报方式。</w:t>
      </w:r>
    </w:p>
    <w:p w14:paraId="6BB492BB">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（三）加强对合同支付、合同结算等建设管理环节的监督管理，特别是审批效能方面的监督检查，提高建设管理服务水平。</w:t>
      </w:r>
    </w:p>
    <w:p w14:paraId="7F12A632">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（四）组织开展图片展览、法制讲座、参观监狱等活动，加强对员工的法律法规、廉洁和职业道德教育。</w:t>
      </w:r>
    </w:p>
    <w:p w14:paraId="3DD60C1F">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（五）成立监督工作机构，不定期对合同履行情况开展监督检查，对发现的有关问题，及时协调给予解决。</w:t>
      </w:r>
    </w:p>
    <w:p w14:paraId="023BA852">
      <w:pPr>
        <w:adjustRightInd w:val="0"/>
        <w:snapToGrid w:val="0"/>
        <w:spacing w:line="30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第三条 乙方责任</w:t>
      </w:r>
    </w:p>
    <w:p w14:paraId="2738453B">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（一）与甲方保持正常的业务交往，遵守以下规定：</w:t>
      </w:r>
    </w:p>
    <w:p w14:paraId="0BB07B70">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1.不准以任何理由向甲方人员行贿或赠送回扣、礼金、各种有价证券、信用卡和好处费、感谢费及其他支付凭证等。</w:t>
      </w:r>
    </w:p>
    <w:p w14:paraId="76EB7CC4">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2.不准以任何理由为甲方人员组织有可能影响公正执行公务的宴请、各种形式俱乐部及高消费娱乐等活动。</w:t>
      </w:r>
    </w:p>
    <w:p w14:paraId="6F35EB61">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3.不准以任何理由为甲方或个人报销应由对方或个人支付的费用。</w:t>
      </w:r>
    </w:p>
    <w:p w14:paraId="518510D6">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4.不准暗示或要求为甲方人员及其配偶、子女、其他亲属朋友及身边工作人员的装修住房、婚丧嫁娶、工作安排、学习培训、经商办企业以及出国（境）、旅游、度假提供方便和支付费用。</w:t>
      </w:r>
    </w:p>
    <w:p w14:paraId="14F4A9F0">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5.不准介绍和安排甲方人员及其配偶、子女、其他亲属朋友及身边工作人员参与同甲方工程项目有关的设备、材料、工程分包、劳务等经济活动。</w:t>
      </w:r>
    </w:p>
    <w:p w14:paraId="0BA742D4">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（二）组织项目负责人及相关管理人员层层签订廉洁从业责任状，明确廉洁责任，形成有效的内部监督管理机制。</w:t>
      </w:r>
    </w:p>
    <w:p w14:paraId="18C09C28">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（三）按甲方要求参加廉政座谈、法制讲座、参观监狱等活动，加强对项目负责人及相关管理人员的法律法规、廉洁和职业道德教育，共同筑牢防腐防线。</w:t>
      </w:r>
    </w:p>
    <w:p w14:paraId="08DDD008">
      <w:pPr>
        <w:adjustRightInd w:val="0"/>
        <w:snapToGrid w:val="0"/>
        <w:spacing w:line="30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第四条 违约责任</w:t>
      </w:r>
    </w:p>
    <w:p w14:paraId="7215AB85">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（一）甲方的违约责任</w:t>
      </w:r>
    </w:p>
    <w:p w14:paraId="6A611ACC">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1.甲方不履行或不完全履行本协议书有关责任义务给乙方造成损失的，在乙方提交足够证据并经查证属实的情况下，甲方应赔偿其直接经济损失。</w:t>
      </w:r>
    </w:p>
    <w:p w14:paraId="57186CB9">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2.甲方人员出现受贿等严重违法违纪违规行为的，按照管理权限，依据有关法律法规和规定给予党纪、政纪处分或组织处理；涉嫌犯罪的，移交司法机关查处。</w:t>
      </w:r>
    </w:p>
    <w:p w14:paraId="192AE2A0">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（二）乙方的违约责任</w:t>
      </w:r>
    </w:p>
    <w:p w14:paraId="0C9600FF">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1.乙方不履行或不完全履行本协议书有关责任义务的，须承担本合同约定的一般违约责任一次；情节较轻的，可给予书面警告；情节较重的，须承担一次严重违约责任；给甲方造成损失的，应依法予以赔偿。</w:t>
      </w:r>
    </w:p>
    <w:p w14:paraId="5134DAC1">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2.乙方出现严重违法违纪违规行为的，甲方将移送检察或监察机关依法查处，并提请建设行政主管部门根据《广州市建筑市场廉洁准入规定》进行处理。</w:t>
      </w:r>
    </w:p>
    <w:p w14:paraId="33F67306">
      <w:pPr>
        <w:adjustRightInd w:val="0"/>
        <w:snapToGrid w:val="0"/>
        <w:spacing w:line="30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第五条</w:t>
      </w:r>
      <w:r>
        <w:rPr>
          <w:rFonts w:hint="eastAsia" w:ascii="宋体" w:hAnsi="宋体" w:eastAsia="宋体"/>
          <w:bCs/>
          <w:snapToGrid w:val="0"/>
          <w:color w:val="auto"/>
          <w:sz w:val="24"/>
          <w:szCs w:val="24"/>
          <w:highlight w:val="none"/>
          <w:lang w:eastAsia="zh-CN"/>
        </w:rPr>
        <w:t>本协议书作为合同的附件，与合同具有同等法律效力。经双方签字盖章后生效，至所属工程项目合同履行完毕时终止。</w:t>
      </w:r>
    </w:p>
    <w:p w14:paraId="27344E36">
      <w:pPr>
        <w:adjustRightInd w:val="0"/>
        <w:snapToGrid w:val="0"/>
        <w:spacing w:line="30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第六条</w:t>
      </w:r>
      <w:r>
        <w:rPr>
          <w:rFonts w:hint="eastAsia" w:ascii="宋体" w:hAnsi="宋体" w:eastAsia="宋体"/>
          <w:bCs/>
          <w:snapToGrid w:val="0"/>
          <w:color w:val="auto"/>
          <w:sz w:val="24"/>
          <w:szCs w:val="24"/>
          <w:highlight w:val="none"/>
          <w:lang w:eastAsia="zh-CN"/>
        </w:rPr>
        <w:t>未尽事宜，由双方协商解决。</w:t>
      </w:r>
    </w:p>
    <w:p w14:paraId="34006913">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p>
    <w:p w14:paraId="2A031688">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5A18BDEC">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7EF5270F">
      <w:pPr>
        <w:adjustRightInd w:val="0"/>
        <w:snapToGrid w:val="0"/>
        <w:spacing w:line="300" w:lineRule="auto"/>
        <w:ind w:left="5040" w:hanging="5040" w:hangingChars="21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甲方：广州环五山创新策源区元岗城市更新有限公司     乙方： </w:t>
      </w:r>
    </w:p>
    <w:p w14:paraId="3710E85A">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03D11B5A">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199D2F0B">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19DD8E2A">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54314B81">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336F260D">
      <w:pPr>
        <w:adjustRightInd w:val="0"/>
        <w:snapToGrid w:val="0"/>
        <w:spacing w:line="300" w:lineRule="auto"/>
        <w:jc w:val="both"/>
        <w:rPr>
          <w:rFonts w:hint="eastAsia" w:ascii="宋体" w:hAnsi="宋体" w:eastAsia="宋体"/>
          <w:snapToGrid w:val="0"/>
          <w:color w:val="auto"/>
          <w:sz w:val="24"/>
          <w:szCs w:val="24"/>
          <w:highlight w:val="none"/>
          <w:lang w:eastAsia="zh-CN"/>
        </w:rPr>
      </w:pPr>
      <w:r>
        <w:rPr>
          <w:rFonts w:hint="eastAsia" w:ascii="宋体" w:hAnsi="宋体" w:eastAsia="宋体"/>
          <w:bCs/>
          <w:snapToGrid w:val="0"/>
          <w:color w:val="auto"/>
          <w:sz w:val="24"/>
          <w:highlight w:val="none"/>
          <w:lang w:eastAsia="zh-CN"/>
        </w:rPr>
        <w:t>法定</w:t>
      </w:r>
      <w:r>
        <w:rPr>
          <w:rFonts w:hint="eastAsia" w:ascii="宋体" w:hAnsi="宋体"/>
          <w:bCs/>
          <w:snapToGrid w:val="0"/>
          <w:color w:val="auto"/>
          <w:sz w:val="24"/>
          <w:highlight w:val="none"/>
          <w:lang w:eastAsia="zh-CN"/>
        </w:rPr>
        <w:t>代表</w:t>
      </w:r>
      <w:r>
        <w:rPr>
          <w:rFonts w:hint="eastAsia" w:ascii="宋体" w:hAnsi="宋体" w:eastAsia="宋体"/>
          <w:bCs/>
          <w:snapToGrid w:val="0"/>
          <w:color w:val="auto"/>
          <w:sz w:val="24"/>
          <w:highlight w:val="none"/>
          <w:lang w:eastAsia="zh-CN"/>
        </w:rPr>
        <w:t>人</w:t>
      </w:r>
      <w:r>
        <w:rPr>
          <w:rFonts w:hint="eastAsia" w:ascii="宋体" w:hAnsi="宋体" w:eastAsia="宋体"/>
          <w:bCs/>
          <w:snapToGrid w:val="0"/>
          <w:color w:val="auto"/>
          <w:sz w:val="24"/>
          <w:szCs w:val="24"/>
          <w:highlight w:val="none"/>
          <w:lang w:eastAsia="zh-CN"/>
        </w:rPr>
        <w:t xml:space="preserve">：                          </w:t>
      </w:r>
      <w:r>
        <w:rPr>
          <w:rFonts w:hint="eastAsia" w:ascii="宋体" w:hAnsi="宋体" w:eastAsia="宋体"/>
          <w:bCs/>
          <w:snapToGrid w:val="0"/>
          <w:color w:val="auto"/>
          <w:sz w:val="24"/>
          <w:highlight w:val="none"/>
          <w:lang w:eastAsia="zh-CN"/>
        </w:rPr>
        <w:t>法定</w:t>
      </w:r>
      <w:r>
        <w:rPr>
          <w:rFonts w:hint="eastAsia" w:ascii="宋体" w:hAnsi="宋体"/>
          <w:bCs/>
          <w:snapToGrid w:val="0"/>
          <w:color w:val="auto"/>
          <w:sz w:val="24"/>
          <w:highlight w:val="none"/>
          <w:lang w:eastAsia="zh-CN"/>
        </w:rPr>
        <w:t>代表</w:t>
      </w:r>
      <w:r>
        <w:rPr>
          <w:rFonts w:hint="eastAsia" w:ascii="宋体" w:hAnsi="宋体" w:eastAsia="宋体"/>
          <w:bCs/>
          <w:snapToGrid w:val="0"/>
          <w:color w:val="auto"/>
          <w:sz w:val="24"/>
          <w:highlight w:val="none"/>
          <w:lang w:eastAsia="zh-CN"/>
        </w:rPr>
        <w:t>人</w:t>
      </w:r>
      <w:r>
        <w:rPr>
          <w:rFonts w:hint="eastAsia" w:ascii="宋体" w:hAnsi="宋体" w:eastAsia="宋体"/>
          <w:bCs/>
          <w:snapToGrid w:val="0"/>
          <w:color w:val="auto"/>
          <w:sz w:val="24"/>
          <w:szCs w:val="24"/>
          <w:highlight w:val="none"/>
          <w:lang w:eastAsia="zh-CN"/>
        </w:rPr>
        <w:t>：</w:t>
      </w:r>
    </w:p>
    <w:p w14:paraId="633EAD2D">
      <w:pPr>
        <w:adjustRightInd w:val="0"/>
        <w:snapToGrid w:val="0"/>
        <w:spacing w:line="300" w:lineRule="auto"/>
        <w:jc w:val="both"/>
        <w:rPr>
          <w:rFonts w:hint="eastAsia" w:ascii="宋体" w:hAnsi="宋体" w:eastAsia="宋体"/>
          <w:snapToGrid w:val="0"/>
          <w:color w:val="auto"/>
          <w:sz w:val="24"/>
          <w:szCs w:val="24"/>
          <w:highlight w:val="none"/>
          <w:lang w:eastAsia="zh-CN"/>
        </w:rPr>
      </w:pPr>
    </w:p>
    <w:p w14:paraId="790538BE">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4EEA377A">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3CCE4733">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4EBFD429">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7A0F0200">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7819B8F7">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17C0F273">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508DCED0">
      <w:pPr>
        <w:adjustRightInd w:val="0"/>
        <w:snapToGrid w:val="0"/>
        <w:spacing w:line="300" w:lineRule="auto"/>
        <w:jc w:val="center"/>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日期：2025年   月   日</w:t>
      </w:r>
    </w:p>
    <w:p w14:paraId="67C7EE2C">
      <w:pPr>
        <w:adjustRightInd w:val="0"/>
        <w:snapToGrid w:val="0"/>
        <w:spacing w:line="360" w:lineRule="auto"/>
        <w:jc w:val="both"/>
        <w:rPr>
          <w:rFonts w:hint="eastAsia" w:ascii="宋体" w:hAnsi="宋体" w:eastAsia="宋体"/>
          <w:bCs/>
          <w:snapToGrid w:val="0"/>
          <w:color w:val="auto"/>
          <w:sz w:val="24"/>
          <w:szCs w:val="24"/>
          <w:highlight w:val="none"/>
          <w:lang w:eastAsia="zh-CN"/>
        </w:rPr>
      </w:pPr>
    </w:p>
    <w:p w14:paraId="630C5776">
      <w:pPr>
        <w:adjustRightInd w:val="0"/>
        <w:snapToGrid w:val="0"/>
        <w:spacing w:line="288"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br w:type="page"/>
      </w:r>
      <w:r>
        <w:rPr>
          <w:rFonts w:hint="eastAsia" w:ascii="宋体" w:hAnsi="宋体" w:eastAsia="宋体"/>
          <w:bCs/>
          <w:snapToGrid w:val="0"/>
          <w:color w:val="auto"/>
          <w:sz w:val="24"/>
          <w:szCs w:val="24"/>
          <w:highlight w:val="none"/>
          <w:lang w:eastAsia="zh-CN"/>
        </w:rPr>
        <w:t>附件2：乙方履约保函及承诺书</w:t>
      </w:r>
    </w:p>
    <w:p w14:paraId="485BF255">
      <w:pPr>
        <w:jc w:val="center"/>
        <w:rPr>
          <w:rFonts w:hint="eastAsia" w:ascii="宋体" w:hAnsi="宋体" w:eastAsia="宋体"/>
          <w:b/>
          <w:snapToGrid w:val="0"/>
          <w:color w:val="auto"/>
          <w:sz w:val="44"/>
          <w:szCs w:val="44"/>
          <w:highlight w:val="none"/>
          <w:lang w:eastAsia="zh-CN"/>
        </w:rPr>
      </w:pPr>
      <w:r>
        <w:rPr>
          <w:rFonts w:hint="eastAsia" w:ascii="宋体" w:hAnsi="宋体" w:eastAsia="宋体"/>
          <w:b/>
          <w:snapToGrid w:val="0"/>
          <w:color w:val="auto"/>
          <w:sz w:val="44"/>
          <w:szCs w:val="44"/>
          <w:highlight w:val="none"/>
          <w:lang w:eastAsia="zh-CN"/>
        </w:rPr>
        <w:t>履约保函</w:t>
      </w:r>
    </w:p>
    <w:p w14:paraId="4D256289">
      <w:pPr>
        <w:pStyle w:val="27"/>
        <w:spacing w:after="0"/>
        <w:ind w:left="0" w:leftChars="0" w:firstLine="883" w:firstLineChars="0"/>
        <w:rPr>
          <w:color w:val="auto"/>
          <w:highlight w:val="none"/>
          <w:lang w:eastAsia="zh-CN"/>
        </w:rPr>
      </w:pPr>
      <w:r>
        <w:rPr>
          <w:rFonts w:hint="eastAsia" w:ascii="宋体" w:hAnsi="宋体"/>
          <w:color w:val="auto"/>
          <w:highlight w:val="none"/>
          <w:u w:val="single"/>
          <w:lang w:eastAsia="zh-CN"/>
        </w:rPr>
        <w:t>注:履约保函格式参照《住房和城乡建设部关于印发工程保函示范文本的通知》建市〔2021〕11号。</w:t>
      </w:r>
    </w:p>
    <w:p w14:paraId="5BED061C">
      <w:pPr>
        <w:rPr>
          <w:rFonts w:hint="eastAsia" w:ascii="宋体" w:hAnsi="宋体" w:eastAsia="宋体"/>
          <w:b/>
          <w:snapToGrid w:val="0"/>
          <w:color w:val="auto"/>
          <w:sz w:val="44"/>
          <w:szCs w:val="44"/>
          <w:highlight w:val="none"/>
          <w:lang w:eastAsia="zh-CN"/>
        </w:rPr>
      </w:pPr>
    </w:p>
    <w:p w14:paraId="2E9ABED4">
      <w:pPr>
        <w:rPr>
          <w:rFonts w:hint="eastAsia" w:ascii="宋体" w:hAnsi="宋体" w:eastAsia="宋体"/>
          <w:b/>
          <w:snapToGrid w:val="0"/>
          <w:color w:val="auto"/>
          <w:sz w:val="44"/>
          <w:szCs w:val="44"/>
          <w:highlight w:val="none"/>
          <w:lang w:eastAsia="zh-CN"/>
        </w:rPr>
      </w:pPr>
      <w:r>
        <w:rPr>
          <w:rFonts w:hint="eastAsia" w:ascii="宋体" w:hAnsi="宋体" w:eastAsia="宋体"/>
          <w:b/>
          <w:snapToGrid w:val="0"/>
          <w:color w:val="auto"/>
          <w:sz w:val="44"/>
          <w:szCs w:val="44"/>
          <w:highlight w:val="none"/>
          <w:lang w:eastAsia="zh-CN"/>
        </w:rPr>
        <w:br w:type="page"/>
      </w:r>
    </w:p>
    <w:p w14:paraId="454B7472">
      <w:pPr>
        <w:adjustRightInd w:val="0"/>
        <w:snapToGrid w:val="0"/>
        <w:spacing w:line="360" w:lineRule="auto"/>
        <w:jc w:val="center"/>
        <w:rPr>
          <w:rFonts w:hint="eastAsia" w:ascii="宋体" w:hAnsi="宋体" w:eastAsia="宋体"/>
          <w:b/>
          <w:snapToGrid w:val="0"/>
          <w:color w:val="auto"/>
          <w:sz w:val="44"/>
          <w:szCs w:val="44"/>
          <w:highlight w:val="none"/>
          <w:lang w:eastAsia="zh-CN"/>
        </w:rPr>
      </w:pPr>
      <w:r>
        <w:rPr>
          <w:rFonts w:hint="eastAsia" w:ascii="宋体" w:hAnsi="宋体" w:eastAsia="宋体"/>
          <w:b/>
          <w:snapToGrid w:val="0"/>
          <w:color w:val="auto"/>
          <w:sz w:val="44"/>
          <w:szCs w:val="44"/>
          <w:highlight w:val="none"/>
          <w:lang w:eastAsia="zh-CN"/>
        </w:rPr>
        <w:t>承 诺 书</w:t>
      </w:r>
    </w:p>
    <w:p w14:paraId="627DF889">
      <w:pPr>
        <w:autoSpaceDE w:val="0"/>
        <w:autoSpaceDN w:val="0"/>
        <w:adjustRightInd w:val="0"/>
        <w:snapToGrid w:val="0"/>
        <w:spacing w:line="360" w:lineRule="auto"/>
        <w:ind w:firstLine="480"/>
        <w:jc w:val="both"/>
        <w:rPr>
          <w:rFonts w:hint="eastAsia" w:ascii="宋体" w:hAnsi="宋体" w:eastAsia="宋体" w:cs="宋体"/>
          <w:snapToGrid w:val="0"/>
          <w:color w:val="auto"/>
          <w:sz w:val="24"/>
          <w:szCs w:val="21"/>
          <w:highlight w:val="none"/>
          <w:lang w:val="zh-CN" w:eastAsia="zh-CN"/>
        </w:rPr>
      </w:pPr>
    </w:p>
    <w:p w14:paraId="55E3CCF1">
      <w:pPr>
        <w:autoSpaceDE w:val="0"/>
        <w:autoSpaceDN w:val="0"/>
        <w:adjustRightInd w:val="0"/>
        <w:snapToGrid w:val="0"/>
        <w:spacing w:line="360" w:lineRule="auto"/>
        <w:jc w:val="both"/>
        <w:rPr>
          <w:rFonts w:hint="eastAsia" w:ascii="宋体" w:hAnsi="宋体" w:eastAsia="宋体" w:cs="宋体"/>
          <w:b/>
          <w:snapToGrid w:val="0"/>
          <w:color w:val="auto"/>
          <w:sz w:val="24"/>
          <w:szCs w:val="21"/>
          <w:highlight w:val="none"/>
          <w:lang w:val="zh-CN" w:eastAsia="zh-CN"/>
        </w:rPr>
      </w:pPr>
      <w:r>
        <w:rPr>
          <w:rFonts w:hint="eastAsia" w:ascii="宋体" w:hAnsi="宋体" w:eastAsia="宋体"/>
          <w:b/>
          <w:bCs/>
          <w:snapToGrid w:val="0"/>
          <w:color w:val="auto"/>
          <w:sz w:val="24"/>
          <w:szCs w:val="24"/>
          <w:highlight w:val="none"/>
          <w:lang w:eastAsia="zh-CN"/>
        </w:rPr>
        <w:t>广州环五山创新策源区元岗城市更新有限公司</w:t>
      </w:r>
      <w:r>
        <w:rPr>
          <w:rFonts w:hint="eastAsia" w:ascii="宋体" w:hAnsi="宋体" w:eastAsia="宋体" w:cs="宋体"/>
          <w:b/>
          <w:snapToGrid w:val="0"/>
          <w:color w:val="auto"/>
          <w:sz w:val="24"/>
          <w:szCs w:val="21"/>
          <w:highlight w:val="none"/>
          <w:lang w:val="zh-CN" w:eastAsia="zh-CN"/>
        </w:rPr>
        <w:t>：</w:t>
      </w:r>
    </w:p>
    <w:p w14:paraId="2EA4B1C4">
      <w:pPr>
        <w:autoSpaceDE w:val="0"/>
        <w:autoSpaceDN w:val="0"/>
        <w:adjustRightInd w:val="0"/>
        <w:snapToGrid w:val="0"/>
        <w:spacing w:line="360" w:lineRule="auto"/>
        <w:ind w:firstLine="480"/>
        <w:jc w:val="both"/>
        <w:rPr>
          <w:rFonts w:hint="eastAsia" w:ascii="宋体" w:hAnsi="宋体" w:eastAsia="宋体" w:cs="宋体"/>
          <w:snapToGrid w:val="0"/>
          <w:color w:val="auto"/>
          <w:sz w:val="24"/>
          <w:szCs w:val="21"/>
          <w:highlight w:val="none"/>
          <w:lang w:val="zh-CN" w:eastAsia="zh-CN"/>
        </w:rPr>
      </w:pPr>
      <w:r>
        <w:rPr>
          <w:rFonts w:hint="eastAsia" w:ascii="宋体" w:hAnsi="宋体" w:eastAsia="宋体" w:cs="宋体"/>
          <w:snapToGrid w:val="0"/>
          <w:color w:val="auto"/>
          <w:sz w:val="24"/>
          <w:szCs w:val="21"/>
          <w:highlight w:val="none"/>
          <w:lang w:val="zh-CN" w:eastAsia="zh-CN"/>
        </w:rPr>
        <w:t>我院已于</w:t>
      </w:r>
      <w:r>
        <w:rPr>
          <w:rFonts w:hint="eastAsia" w:ascii="宋体" w:hAnsi="宋体" w:eastAsia="宋体"/>
          <w:snapToGrid w:val="0"/>
          <w:color w:val="auto"/>
          <w:sz w:val="24"/>
          <w:szCs w:val="24"/>
          <w:highlight w:val="none"/>
          <w:u w:val="single"/>
          <w:lang w:eastAsia="zh-CN"/>
        </w:rPr>
        <w:t xml:space="preserve">     </w:t>
      </w:r>
      <w:r>
        <w:rPr>
          <w:rFonts w:hint="eastAsia" w:ascii="宋体" w:hAnsi="宋体" w:eastAsia="宋体"/>
          <w:snapToGrid w:val="0"/>
          <w:color w:val="auto"/>
          <w:sz w:val="24"/>
          <w:szCs w:val="24"/>
          <w:highlight w:val="none"/>
          <w:lang w:eastAsia="zh-CN"/>
        </w:rPr>
        <w:t>年</w:t>
      </w:r>
      <w:r>
        <w:rPr>
          <w:rFonts w:hint="eastAsia" w:ascii="宋体" w:hAnsi="宋体" w:eastAsia="宋体"/>
          <w:snapToGrid w:val="0"/>
          <w:color w:val="auto"/>
          <w:sz w:val="24"/>
          <w:szCs w:val="24"/>
          <w:highlight w:val="none"/>
          <w:u w:val="single"/>
          <w:lang w:eastAsia="zh-CN"/>
        </w:rPr>
        <w:t xml:space="preserve">   </w:t>
      </w:r>
      <w:r>
        <w:rPr>
          <w:rFonts w:hint="eastAsia" w:ascii="宋体" w:hAnsi="宋体" w:eastAsia="宋体"/>
          <w:snapToGrid w:val="0"/>
          <w:color w:val="auto"/>
          <w:sz w:val="24"/>
          <w:szCs w:val="24"/>
          <w:highlight w:val="none"/>
          <w:lang w:eastAsia="zh-CN"/>
        </w:rPr>
        <w:t>月</w:t>
      </w:r>
      <w:r>
        <w:rPr>
          <w:rFonts w:hint="eastAsia" w:ascii="宋体" w:hAnsi="宋体" w:eastAsia="宋体"/>
          <w:snapToGrid w:val="0"/>
          <w:color w:val="auto"/>
          <w:sz w:val="24"/>
          <w:szCs w:val="24"/>
          <w:highlight w:val="none"/>
          <w:u w:val="single"/>
          <w:lang w:eastAsia="zh-CN"/>
        </w:rPr>
        <w:t xml:space="preserve">   </w:t>
      </w:r>
      <w:r>
        <w:rPr>
          <w:rFonts w:hint="eastAsia" w:ascii="宋体" w:hAnsi="宋体" w:eastAsia="宋体"/>
          <w:snapToGrid w:val="0"/>
          <w:color w:val="auto"/>
          <w:sz w:val="24"/>
          <w:szCs w:val="24"/>
          <w:highlight w:val="none"/>
          <w:lang w:eastAsia="zh-CN"/>
        </w:rPr>
        <w:t>日</w:t>
      </w:r>
      <w:r>
        <w:rPr>
          <w:rFonts w:hint="eastAsia" w:ascii="宋体" w:hAnsi="宋体" w:eastAsia="宋体" w:cs="宋体"/>
          <w:snapToGrid w:val="0"/>
          <w:color w:val="auto"/>
          <w:sz w:val="24"/>
          <w:szCs w:val="21"/>
          <w:highlight w:val="none"/>
          <w:lang w:val="zh-CN" w:eastAsia="zh-CN"/>
        </w:rPr>
        <w:t xml:space="preserve">向贵中心提交了《天河区元岗村城中村改造项目AT0206007地块（即YG8号地块）勘察和初步设计合同书》的履约担保，履约担保最长有效期至   年   月  日。 </w:t>
      </w:r>
    </w:p>
    <w:p w14:paraId="1A9FF467">
      <w:pPr>
        <w:autoSpaceDE w:val="0"/>
        <w:autoSpaceDN w:val="0"/>
        <w:adjustRightInd w:val="0"/>
        <w:snapToGrid w:val="0"/>
        <w:spacing w:line="360" w:lineRule="auto"/>
        <w:ind w:firstLine="480"/>
        <w:jc w:val="both"/>
        <w:rPr>
          <w:rFonts w:hint="eastAsia" w:ascii="宋体" w:hAnsi="宋体" w:eastAsia="宋体" w:cs="宋体"/>
          <w:snapToGrid w:val="0"/>
          <w:color w:val="auto"/>
          <w:sz w:val="24"/>
          <w:szCs w:val="21"/>
          <w:highlight w:val="none"/>
          <w:lang w:val="zh-CN" w:eastAsia="zh-CN"/>
        </w:rPr>
      </w:pPr>
      <w:r>
        <w:rPr>
          <w:rFonts w:hint="eastAsia" w:ascii="宋体" w:hAnsi="宋体" w:eastAsia="宋体" w:cs="宋体"/>
          <w:snapToGrid w:val="0"/>
          <w:color w:val="auto"/>
          <w:sz w:val="24"/>
          <w:szCs w:val="21"/>
          <w:highlight w:val="none"/>
          <w:lang w:val="zh-CN" w:eastAsia="zh-CN"/>
        </w:rPr>
        <w:t>如在履约担保最长有效期届满时《天河区元岗村城中村改造项目》工程</w:t>
      </w:r>
      <w:r>
        <w:rPr>
          <w:rFonts w:hint="eastAsia" w:ascii="宋体" w:hAnsi="宋体" w:eastAsia="宋体"/>
          <w:snapToGrid w:val="0"/>
          <w:color w:val="auto"/>
          <w:sz w:val="24"/>
          <w:szCs w:val="24"/>
          <w:highlight w:val="none"/>
          <w:lang w:eastAsia="zh-CN"/>
        </w:rPr>
        <w:t>竣工验收合格未满六个月</w:t>
      </w:r>
      <w:r>
        <w:rPr>
          <w:rFonts w:hint="eastAsia" w:ascii="宋体" w:hAnsi="宋体" w:eastAsia="宋体" w:cs="宋体"/>
          <w:snapToGrid w:val="0"/>
          <w:color w:val="auto"/>
          <w:sz w:val="24"/>
          <w:szCs w:val="21"/>
          <w:highlight w:val="none"/>
          <w:lang w:val="zh-CN" w:eastAsia="zh-CN"/>
        </w:rPr>
        <w:t>，我院将在履约担保最长有效期届满三天前按原履约担保格式提交新的履约担保，否则，贵中心有权暂停支付余下的合同价款，直至我院提交新的履约担保或</w:t>
      </w:r>
      <w:r>
        <w:rPr>
          <w:rFonts w:hint="eastAsia" w:ascii="宋体" w:hAnsi="宋体" w:eastAsia="宋体"/>
          <w:snapToGrid w:val="0"/>
          <w:color w:val="auto"/>
          <w:sz w:val="24"/>
          <w:szCs w:val="24"/>
          <w:highlight w:val="none"/>
          <w:lang w:eastAsia="zh-CN"/>
        </w:rPr>
        <w:t>工程竣工验收合格已满六个月</w:t>
      </w:r>
      <w:r>
        <w:rPr>
          <w:rFonts w:hint="eastAsia" w:ascii="宋体" w:hAnsi="宋体" w:eastAsia="宋体" w:cs="宋体"/>
          <w:snapToGrid w:val="0"/>
          <w:color w:val="auto"/>
          <w:sz w:val="24"/>
          <w:szCs w:val="21"/>
          <w:highlight w:val="none"/>
          <w:lang w:val="zh-CN" w:eastAsia="zh-CN"/>
        </w:rPr>
        <w:t>。</w:t>
      </w:r>
    </w:p>
    <w:p w14:paraId="3C4167C6">
      <w:pPr>
        <w:autoSpaceDE w:val="0"/>
        <w:autoSpaceDN w:val="0"/>
        <w:adjustRightInd w:val="0"/>
        <w:snapToGrid w:val="0"/>
        <w:spacing w:line="360" w:lineRule="auto"/>
        <w:ind w:firstLine="480"/>
        <w:jc w:val="both"/>
        <w:rPr>
          <w:rFonts w:hint="eastAsia" w:ascii="宋体" w:hAnsi="宋体" w:eastAsia="宋体" w:cs="宋体"/>
          <w:snapToGrid w:val="0"/>
          <w:color w:val="auto"/>
          <w:sz w:val="24"/>
          <w:szCs w:val="21"/>
          <w:highlight w:val="none"/>
          <w:lang w:val="zh-CN" w:eastAsia="zh-CN"/>
        </w:rPr>
      </w:pPr>
      <w:r>
        <w:rPr>
          <w:rFonts w:hint="eastAsia" w:ascii="宋体" w:hAnsi="宋体" w:eastAsia="宋体" w:cs="宋体"/>
          <w:snapToGrid w:val="0"/>
          <w:color w:val="auto"/>
          <w:sz w:val="24"/>
          <w:szCs w:val="21"/>
          <w:highlight w:val="none"/>
          <w:lang w:val="zh-CN" w:eastAsia="zh-CN"/>
        </w:rPr>
        <w:t>特此承诺。</w:t>
      </w:r>
    </w:p>
    <w:p w14:paraId="1430AD4F">
      <w:pPr>
        <w:autoSpaceDE w:val="0"/>
        <w:autoSpaceDN w:val="0"/>
        <w:adjustRightInd w:val="0"/>
        <w:snapToGrid w:val="0"/>
        <w:spacing w:line="360" w:lineRule="auto"/>
        <w:jc w:val="both"/>
        <w:rPr>
          <w:rFonts w:hint="eastAsia" w:ascii="宋体" w:hAnsi="宋体" w:eastAsia="宋体" w:cs="宋体"/>
          <w:snapToGrid w:val="0"/>
          <w:color w:val="auto"/>
          <w:sz w:val="24"/>
          <w:szCs w:val="21"/>
          <w:highlight w:val="none"/>
          <w:lang w:val="zh-CN" w:eastAsia="zh-CN"/>
        </w:rPr>
      </w:pPr>
    </w:p>
    <w:p w14:paraId="3E07C351">
      <w:pPr>
        <w:autoSpaceDE w:val="0"/>
        <w:autoSpaceDN w:val="0"/>
        <w:adjustRightInd w:val="0"/>
        <w:snapToGrid w:val="0"/>
        <w:spacing w:line="360" w:lineRule="auto"/>
        <w:ind w:left="5336" w:leftChars="2398" w:hanging="60" w:hangingChars="25"/>
        <w:jc w:val="both"/>
        <w:rPr>
          <w:rFonts w:hint="eastAsia" w:ascii="宋体" w:hAnsi="宋体" w:eastAsia="宋体" w:cs="宋体"/>
          <w:snapToGrid w:val="0"/>
          <w:color w:val="auto"/>
          <w:sz w:val="24"/>
          <w:szCs w:val="24"/>
          <w:highlight w:val="none"/>
          <w:lang w:val="zh-CN" w:eastAsia="zh-CN"/>
        </w:rPr>
      </w:pPr>
      <w:r>
        <w:rPr>
          <w:rFonts w:hint="eastAsia" w:ascii="宋体" w:hAnsi="宋体" w:eastAsia="宋体" w:cs="宋体"/>
          <w:snapToGrid w:val="0"/>
          <w:color w:val="auto"/>
          <w:sz w:val="24"/>
          <w:szCs w:val="24"/>
          <w:highlight w:val="none"/>
          <w:lang w:val="zh-CN" w:eastAsia="zh-CN"/>
        </w:rPr>
        <w:t>承诺人：</w:t>
      </w:r>
    </w:p>
    <w:p w14:paraId="21C01E8C">
      <w:pPr>
        <w:autoSpaceDE w:val="0"/>
        <w:autoSpaceDN w:val="0"/>
        <w:adjustRightInd w:val="0"/>
        <w:snapToGrid w:val="0"/>
        <w:spacing w:line="360" w:lineRule="auto"/>
        <w:ind w:left="5336" w:leftChars="2398" w:hanging="60" w:hangingChars="25"/>
        <w:jc w:val="both"/>
        <w:rPr>
          <w:rFonts w:hint="eastAsia" w:ascii="宋体" w:hAnsi="宋体" w:eastAsia="宋体" w:cs="宋体"/>
          <w:snapToGrid w:val="0"/>
          <w:color w:val="auto"/>
          <w:sz w:val="24"/>
          <w:szCs w:val="24"/>
          <w:highlight w:val="none"/>
          <w:lang w:val="zh-CN" w:eastAsia="zh-CN"/>
        </w:rPr>
      </w:pPr>
    </w:p>
    <w:p w14:paraId="1386AA5C">
      <w:pPr>
        <w:autoSpaceDE w:val="0"/>
        <w:autoSpaceDN w:val="0"/>
        <w:adjustRightInd w:val="0"/>
        <w:snapToGrid w:val="0"/>
        <w:spacing w:line="360" w:lineRule="auto"/>
        <w:ind w:firstLine="5220" w:firstLineChars="2175"/>
        <w:jc w:val="both"/>
        <w:rPr>
          <w:rFonts w:hint="eastAsia" w:ascii="宋体" w:hAnsi="宋体" w:eastAsia="宋体" w:cs="宋体"/>
          <w:snapToGrid w:val="0"/>
          <w:color w:val="auto"/>
          <w:sz w:val="24"/>
          <w:szCs w:val="24"/>
          <w:highlight w:val="none"/>
          <w:lang w:val="zh-CN" w:eastAsia="zh-CN"/>
        </w:rPr>
      </w:pPr>
    </w:p>
    <w:p w14:paraId="6388F03A">
      <w:pPr>
        <w:autoSpaceDE w:val="0"/>
        <w:autoSpaceDN w:val="0"/>
        <w:adjustRightInd w:val="0"/>
        <w:snapToGrid w:val="0"/>
        <w:spacing w:line="360" w:lineRule="auto"/>
        <w:ind w:firstLine="5220" w:firstLineChars="2175"/>
        <w:jc w:val="both"/>
        <w:rPr>
          <w:rFonts w:hint="eastAsia" w:ascii="宋体" w:hAnsi="宋体" w:eastAsia="宋体" w:cs="宋体"/>
          <w:snapToGrid w:val="0"/>
          <w:color w:val="auto"/>
          <w:sz w:val="24"/>
          <w:szCs w:val="24"/>
          <w:highlight w:val="none"/>
          <w:lang w:val="zh-CN" w:eastAsia="zh-CN"/>
        </w:rPr>
      </w:pPr>
      <w:r>
        <w:rPr>
          <w:rFonts w:hint="eastAsia" w:ascii="宋体" w:hAnsi="宋体" w:eastAsia="宋体" w:cs="宋体"/>
          <w:snapToGrid w:val="0"/>
          <w:color w:val="auto"/>
          <w:sz w:val="24"/>
          <w:szCs w:val="24"/>
          <w:highlight w:val="none"/>
          <w:lang w:val="zh-CN" w:eastAsia="zh-CN"/>
        </w:rPr>
        <w:t>法定代表人：</w:t>
      </w:r>
    </w:p>
    <w:p w14:paraId="5E2EDA69">
      <w:pPr>
        <w:autoSpaceDE w:val="0"/>
        <w:autoSpaceDN w:val="0"/>
        <w:adjustRightInd w:val="0"/>
        <w:snapToGrid w:val="0"/>
        <w:spacing w:line="360" w:lineRule="auto"/>
        <w:ind w:firstLine="5220" w:firstLineChars="2175"/>
        <w:jc w:val="both"/>
        <w:rPr>
          <w:rFonts w:hint="eastAsia" w:ascii="宋体" w:hAnsi="宋体" w:eastAsia="宋体" w:cs="宋体"/>
          <w:snapToGrid w:val="0"/>
          <w:color w:val="auto"/>
          <w:sz w:val="24"/>
          <w:szCs w:val="24"/>
          <w:highlight w:val="none"/>
          <w:lang w:val="zh-CN" w:eastAsia="zh-CN"/>
        </w:rPr>
      </w:pPr>
    </w:p>
    <w:p w14:paraId="0A82B121">
      <w:pPr>
        <w:autoSpaceDE w:val="0"/>
        <w:autoSpaceDN w:val="0"/>
        <w:adjustRightInd w:val="0"/>
        <w:snapToGrid w:val="0"/>
        <w:spacing w:line="360" w:lineRule="auto"/>
        <w:ind w:firstLine="5220" w:firstLineChars="2175"/>
        <w:jc w:val="both"/>
        <w:rPr>
          <w:rFonts w:hint="eastAsia" w:ascii="宋体" w:hAnsi="宋体" w:eastAsia="宋体" w:cs="宋体"/>
          <w:snapToGrid w:val="0"/>
          <w:color w:val="auto"/>
          <w:sz w:val="24"/>
          <w:szCs w:val="24"/>
          <w:highlight w:val="none"/>
          <w:lang w:val="zh-CN" w:eastAsia="zh-CN"/>
        </w:rPr>
      </w:pPr>
      <w:r>
        <w:rPr>
          <w:rFonts w:hint="eastAsia" w:ascii="宋体" w:hAnsi="宋体" w:eastAsia="宋体" w:cs="宋体"/>
          <w:snapToGrid w:val="0"/>
          <w:color w:val="auto"/>
          <w:sz w:val="24"/>
          <w:szCs w:val="24"/>
          <w:highlight w:val="none"/>
          <w:lang w:val="zh-CN" w:eastAsia="zh-CN"/>
        </w:rPr>
        <w:t>______年___月___日</w:t>
      </w:r>
    </w:p>
    <w:p w14:paraId="4267CF87">
      <w:pPr>
        <w:autoSpaceDE w:val="0"/>
        <w:autoSpaceDN w:val="0"/>
        <w:adjustRightInd w:val="0"/>
        <w:snapToGrid w:val="0"/>
        <w:spacing w:line="360" w:lineRule="auto"/>
        <w:jc w:val="both"/>
        <w:rPr>
          <w:rFonts w:hint="eastAsia" w:ascii="宋体" w:hAnsi="宋体" w:eastAsia="宋体" w:cs="宋体"/>
          <w:snapToGrid w:val="0"/>
          <w:color w:val="auto"/>
          <w:sz w:val="24"/>
          <w:szCs w:val="24"/>
          <w:highlight w:val="none"/>
          <w:lang w:val="zh-CN" w:eastAsia="zh-CN"/>
        </w:rPr>
      </w:pPr>
    </w:p>
    <w:p w14:paraId="2943E062">
      <w:pPr>
        <w:adjustRightInd w:val="0"/>
        <w:snapToGrid w:val="0"/>
        <w:spacing w:line="36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cs="宋体"/>
          <w:snapToGrid w:val="0"/>
          <w:color w:val="auto"/>
          <w:sz w:val="24"/>
          <w:szCs w:val="24"/>
          <w:highlight w:val="none"/>
          <w:lang w:val="zh-CN" w:eastAsia="zh-CN"/>
        </w:rPr>
        <w:br w:type="page"/>
      </w:r>
      <w:r>
        <w:rPr>
          <w:rFonts w:hint="eastAsia" w:ascii="宋体" w:hAnsi="宋体" w:eastAsia="宋体"/>
          <w:bCs/>
          <w:snapToGrid w:val="0"/>
          <w:color w:val="auto"/>
          <w:sz w:val="24"/>
          <w:szCs w:val="24"/>
          <w:highlight w:val="none"/>
          <w:lang w:eastAsia="zh-CN"/>
        </w:rPr>
        <w:t>附件3：勘察设计费计算依据（取自投标文件）</w:t>
      </w:r>
    </w:p>
    <w:p w14:paraId="2B2BAA40">
      <w:pPr>
        <w:adjustRightInd w:val="0"/>
        <w:snapToGrid w:val="0"/>
        <w:spacing w:line="360" w:lineRule="auto"/>
        <w:jc w:val="both"/>
        <w:rPr>
          <w:color w:val="auto"/>
          <w:highlight w:val="none"/>
          <w:lang w:eastAsia="zh-CN"/>
        </w:rPr>
      </w:pPr>
      <w:r>
        <w:rPr>
          <w:rFonts w:hint="eastAsia" w:ascii="宋体" w:hAnsi="宋体" w:eastAsia="宋体"/>
          <w:bCs/>
          <w:snapToGrid w:val="0"/>
          <w:color w:val="auto"/>
          <w:sz w:val="24"/>
          <w:szCs w:val="24"/>
          <w:highlight w:val="none"/>
          <w:u w:val="single"/>
          <w:lang w:eastAsia="zh-CN"/>
        </w:rPr>
        <w:t>表一.勘察设计费投标报价汇总表</w:t>
      </w:r>
    </w:p>
    <w:p w14:paraId="5553FB0E">
      <w:pPr>
        <w:rPr>
          <w:rFonts w:eastAsia="宋体"/>
          <w:color w:val="auto"/>
          <w:highlight w:val="none"/>
          <w:lang w:eastAsia="zh-CN"/>
        </w:rPr>
      </w:pPr>
    </w:p>
    <w:p w14:paraId="7B14E083">
      <w:pPr>
        <w:rPr>
          <w:rFonts w:eastAsia="宋体"/>
          <w:color w:val="auto"/>
          <w:highlight w:val="none"/>
          <w:lang w:eastAsia="zh-CN"/>
        </w:rPr>
      </w:pPr>
    </w:p>
    <w:p w14:paraId="2593B17D">
      <w:pPr>
        <w:rPr>
          <w:rFonts w:eastAsia="宋体"/>
          <w:color w:val="auto"/>
          <w:highlight w:val="none"/>
          <w:lang w:eastAsia="zh-CN"/>
        </w:rPr>
      </w:pPr>
    </w:p>
    <w:p w14:paraId="36488DD8">
      <w:pP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br w:type="page"/>
      </w:r>
    </w:p>
    <w:p w14:paraId="1C5E10F8">
      <w:pP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表二. 勘察设计招标控制价说明</w:t>
      </w:r>
    </w:p>
    <w:p w14:paraId="1DA58675">
      <w:pPr>
        <w:spacing w:line="360" w:lineRule="auto"/>
        <w:jc w:val="center"/>
        <w:rPr>
          <w:rFonts w:hint="eastAsia" w:ascii="宋体" w:hAnsi="宋体" w:eastAsia="宋体" w:cs="宋体"/>
          <w:b/>
          <w:color w:val="auto"/>
          <w:sz w:val="28"/>
          <w:szCs w:val="24"/>
          <w:highlight w:val="none"/>
          <w:lang w:eastAsia="zh-CN"/>
        </w:rPr>
      </w:pPr>
      <w:r>
        <w:rPr>
          <w:rFonts w:hint="eastAsia" w:ascii="宋体" w:hAnsi="宋体" w:eastAsia="宋体" w:cs="宋体"/>
          <w:b/>
          <w:color w:val="auto"/>
          <w:sz w:val="28"/>
          <w:szCs w:val="24"/>
          <w:highlight w:val="none"/>
          <w:lang w:eastAsia="zh-CN"/>
        </w:rPr>
        <w:t>天河区元岗村城中村改造项目</w:t>
      </w:r>
    </w:p>
    <w:p w14:paraId="20123EC1">
      <w:pPr>
        <w:spacing w:line="360" w:lineRule="auto"/>
        <w:jc w:val="center"/>
        <w:rPr>
          <w:rFonts w:hint="eastAsia" w:ascii="宋体" w:hAnsi="宋体" w:eastAsia="宋体" w:cs="宋体"/>
          <w:b/>
          <w:color w:val="auto"/>
          <w:sz w:val="28"/>
          <w:szCs w:val="24"/>
          <w:highlight w:val="none"/>
          <w:lang w:eastAsia="zh-CN"/>
        </w:rPr>
      </w:pPr>
      <w:r>
        <w:rPr>
          <w:rFonts w:hint="eastAsia" w:ascii="宋体" w:hAnsi="宋体" w:eastAsia="宋体" w:cs="宋体"/>
          <w:b/>
          <w:color w:val="auto"/>
          <w:sz w:val="28"/>
          <w:szCs w:val="24"/>
          <w:highlight w:val="none"/>
          <w:lang w:eastAsia="zh-CN"/>
        </w:rPr>
        <w:t>招标控制价说明</w:t>
      </w:r>
    </w:p>
    <w:p w14:paraId="784C7723">
      <w:pPr>
        <w:pStyle w:val="6"/>
        <w:spacing w:before="156" w:beforeLines="50"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一、项目基本情况</w:t>
      </w:r>
    </w:p>
    <w:p w14:paraId="5D60D15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1、工程费</w:t>
      </w:r>
    </w:p>
    <w:p w14:paraId="6737F13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根据相关资料，天河区元岗村城中村改造项目工程费用约人民币约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万元。</w:t>
      </w:r>
    </w:p>
    <w:p w14:paraId="79AA9FE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2、建筑面积</w:t>
      </w:r>
    </w:p>
    <w:p w14:paraId="65AF171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总建筑面积约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平方米。</w:t>
      </w:r>
    </w:p>
    <w:p w14:paraId="054F3F81">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二、勘察工作量</w:t>
      </w:r>
    </w:p>
    <w:p w14:paraId="51A5BEBE">
      <w:pPr>
        <w:spacing w:line="360" w:lineRule="auto"/>
        <w:ind w:firstLine="4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工程勘察工作量暂按</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米计算，超前钻工作量暂按</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米计算（具体按实结算）。</w:t>
      </w:r>
    </w:p>
    <w:p w14:paraId="20A401D6">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三、计费原则</w:t>
      </w:r>
    </w:p>
    <w:p w14:paraId="364D502F">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本项目勘察设计费计算原则为：</w:t>
      </w:r>
    </w:p>
    <w:p w14:paraId="65A79F7C">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1、工程设计费：</w:t>
      </w:r>
    </w:p>
    <w:p w14:paraId="550380B1">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参照《工程勘察设计收费标准》（2002年修订本）计取基本设计费总额；基本设计费以工程费为计费基数按设计阶段工作量比例下浮</w:t>
      </w: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lang w:eastAsia="zh-CN"/>
        </w:rPr>
        <w:t xml:space="preserve">%计取； </w:t>
      </w:r>
    </w:p>
    <w:p w14:paraId="413ABFEF">
      <w:pPr>
        <w:numPr>
          <w:ilvl w:val="0"/>
          <w:numId w:val="2"/>
        </w:numPr>
        <w:spacing w:line="360" w:lineRule="auto"/>
        <w:ind w:firstLine="48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工程勘察费按勘察工程量为依据计取</w:t>
      </w:r>
      <w:r>
        <w:rPr>
          <w:rFonts w:hint="eastAsia" w:ascii="宋体" w:hAnsi="宋体" w:eastAsia="宋体" w:cs="宋体"/>
          <w:color w:val="auto"/>
          <w:sz w:val="24"/>
          <w:szCs w:val="24"/>
          <w:highlight w:val="none"/>
          <w:lang w:eastAsia="zh-CN"/>
        </w:rPr>
        <w:t>，其中：工程勘察（不含超前钻）计费标准为150元/米、超前钻计费标准为</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lang w:eastAsia="zh-CN"/>
        </w:rPr>
        <w:t>元/米</w:t>
      </w:r>
      <w:r>
        <w:rPr>
          <w:rFonts w:hint="eastAsia" w:ascii="宋体" w:hAnsi="宋体" w:eastAsia="宋体" w:cs="宋体"/>
          <w:bCs/>
          <w:color w:val="auto"/>
          <w:sz w:val="24"/>
          <w:szCs w:val="24"/>
          <w:highlight w:val="none"/>
          <w:lang w:eastAsia="zh-CN"/>
        </w:rPr>
        <w:t>；</w:t>
      </w:r>
    </w:p>
    <w:p w14:paraId="5940211B">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四、勘察设计费计算过程</w:t>
      </w:r>
    </w:p>
    <w:p w14:paraId="7BD4C384">
      <w:pPr>
        <w:spacing w:line="360" w:lineRule="auto"/>
        <w:ind w:left="376" w:leftChars="171"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1、工程设计费</w:t>
      </w:r>
    </w:p>
    <w:p w14:paraId="7357EC35">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（1）房建部分基本设计收费</w:t>
      </w:r>
    </w:p>
    <w:p w14:paraId="353FA9E6">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计费基数：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万元</w:t>
      </w:r>
    </w:p>
    <w:p w14:paraId="41E8A14D">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工程设计收费基价：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元</w:t>
      </w:r>
    </w:p>
    <w:p w14:paraId="6557BE5D">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工程类别：建筑、市政、电信工程</w:t>
      </w:r>
    </w:p>
    <w:p w14:paraId="7500C055">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专业调整系数：1.0</w:t>
      </w:r>
    </w:p>
    <w:p w14:paraId="3FFA8A3E">
      <w:pPr>
        <w:spacing w:line="360" w:lineRule="auto"/>
        <w:ind w:left="72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工程复杂程度调整系数：</w:t>
      </w:r>
      <w:r>
        <w:rPr>
          <w:rFonts w:hint="eastAsia" w:ascii="宋体" w:hAnsi="宋体" w:eastAsia="宋体" w:cs="宋体"/>
          <w:color w:val="auto"/>
          <w:sz w:val="24"/>
          <w:szCs w:val="24"/>
          <w:highlight w:val="none"/>
          <w:lang w:val="en-US" w:eastAsia="zh-CN"/>
        </w:rPr>
        <w:t>1.0</w:t>
      </w:r>
    </w:p>
    <w:p w14:paraId="2DBE1745">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附加调整系数：1.0</w:t>
      </w:r>
    </w:p>
    <w:p w14:paraId="51107DE0">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设计基本收费：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元</w:t>
      </w:r>
    </w:p>
    <w:p w14:paraId="18185578">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本次招标内容为方案设计及初步设计，根据《建筑市政工程各阶段工作量比例表》，设计费按5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%的工作量比例计取基本收费：</w:t>
      </w:r>
    </w:p>
    <w:p w14:paraId="2025432A">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元×5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 xml:space="preserve">%=    元 </w:t>
      </w:r>
    </w:p>
    <w:p w14:paraId="00AD8340">
      <w:pPr>
        <w:spacing w:line="360" w:lineRule="auto"/>
        <w:ind w:firstLine="720" w:firstLineChars="300"/>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打折计费：按7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%计算,设计费为×7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    元</w:t>
      </w:r>
    </w:p>
    <w:p w14:paraId="3F31A7C5">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2、工程勘察费（暂定工程量）</w:t>
      </w:r>
    </w:p>
    <w:p w14:paraId="1238514A">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szCs w:val="24"/>
          <w:highlight w:val="none"/>
          <w:lang w:eastAsia="zh-CN"/>
        </w:rPr>
        <w:t>工程勘察（不含超前钻）</w:t>
      </w:r>
      <w:r>
        <w:rPr>
          <w:rFonts w:hint="eastAsia" w:ascii="宋体" w:hAnsi="宋体" w:eastAsia="宋体" w:cs="宋体"/>
          <w:color w:val="auto"/>
          <w:sz w:val="24"/>
          <w:highlight w:val="none"/>
          <w:lang w:eastAsia="zh-CN"/>
        </w:rPr>
        <w:t>=综合单价</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sz w:val="24"/>
          <w:highlight w:val="none"/>
          <w:lang w:eastAsia="zh-CN"/>
        </w:rPr>
        <w:t>工作量=</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元/米</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position w:val="-4"/>
          <w:sz w:val="24"/>
          <w:szCs w:val="24"/>
          <w:highlight w:val="none"/>
          <w:lang w:val="en-US" w:eastAsia="zh-CN"/>
        </w:rPr>
        <w:t xml:space="preserve">  </w:t>
      </w:r>
      <w:r>
        <w:rPr>
          <w:rFonts w:hint="eastAsia" w:ascii="宋体" w:hAnsi="宋体" w:eastAsia="宋体" w:cs="宋体"/>
          <w:color w:val="auto"/>
          <w:sz w:val="24"/>
          <w:highlight w:val="none"/>
          <w:lang w:eastAsia="zh-CN"/>
        </w:rPr>
        <w:t>米=</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元；</w:t>
      </w:r>
    </w:p>
    <w:p w14:paraId="6F57427E">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（2）超前钻</w:t>
      </w:r>
      <w:r>
        <w:rPr>
          <w:rFonts w:hint="eastAsia" w:ascii="宋体" w:hAnsi="宋体" w:eastAsia="宋体" w:cs="宋体"/>
          <w:color w:val="auto"/>
          <w:sz w:val="24"/>
          <w:highlight w:val="none"/>
          <w:lang w:eastAsia="zh-CN"/>
        </w:rPr>
        <w:t>=综合单价</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sz w:val="24"/>
          <w:highlight w:val="none"/>
          <w:lang w:eastAsia="zh-CN"/>
        </w:rPr>
        <w:t>工作量=</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元/米</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position w:val="-4"/>
          <w:sz w:val="24"/>
          <w:szCs w:val="24"/>
          <w:highlight w:val="none"/>
          <w:lang w:val="en-US" w:eastAsia="zh-CN"/>
        </w:rPr>
        <w:t xml:space="preserve">   </w:t>
      </w:r>
      <w:r>
        <w:rPr>
          <w:rFonts w:hint="eastAsia" w:ascii="宋体" w:hAnsi="宋体" w:eastAsia="宋体" w:cs="宋体"/>
          <w:color w:val="auto"/>
          <w:sz w:val="24"/>
          <w:highlight w:val="none"/>
          <w:lang w:eastAsia="zh-CN"/>
        </w:rPr>
        <w:t>米=</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元.</w:t>
      </w:r>
    </w:p>
    <w:p w14:paraId="0BFBFB88">
      <w:pPr>
        <w:pStyle w:val="27"/>
        <w:spacing w:after="0"/>
        <w:ind w:left="0" w:leftChars="0" w:firstLine="48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3、建筑信息模型（BIM）技术应用费</w:t>
      </w:r>
    </w:p>
    <w:p w14:paraId="2E2EFA90">
      <w:pPr>
        <w:pStyle w:val="27"/>
        <w:spacing w:after="0"/>
        <w:ind w:left="440" w:firstLine="480"/>
        <w:rPr>
          <w:rFonts w:hint="eastAsia" w:ascii="宋体" w:hAnsi="宋体" w:eastAsia="宋体" w:cs="宋体"/>
          <w:color w:val="auto"/>
          <w:position w:val="-4"/>
          <w:sz w:val="24"/>
          <w:highlight w:val="none"/>
          <w:lang w:eastAsia="zh-CN"/>
        </w:rPr>
      </w:pPr>
      <w:r>
        <w:rPr>
          <w:rFonts w:hint="eastAsia" w:ascii="宋体" w:hAnsi="宋体" w:eastAsia="宋体" w:cs="宋体"/>
          <w:color w:val="auto"/>
          <w:position w:val="-4"/>
          <w:sz w:val="24"/>
          <w:highlight w:val="none"/>
          <w:lang w:eastAsia="zh-CN"/>
        </w:rPr>
        <w:t>=综合单价×工作量</w:t>
      </w:r>
      <w:r>
        <w:rPr>
          <w:rFonts w:hint="eastAsia" w:ascii="宋体" w:hAnsi="宋体" w:eastAsia="宋体" w:cs="宋体"/>
          <w:color w:val="auto"/>
          <w:position w:val="-4"/>
          <w:sz w:val="24"/>
          <w:highlight w:val="none"/>
          <w:lang w:val="en-US" w:eastAsia="zh-CN"/>
        </w:rPr>
        <w:t>5.058</w:t>
      </w:r>
      <w:r>
        <w:rPr>
          <w:rFonts w:hint="eastAsia" w:ascii="宋体" w:hAnsi="宋体" w:eastAsia="宋体" w:cs="宋体"/>
          <w:color w:val="auto"/>
          <w:position w:val="-4"/>
          <w:sz w:val="24"/>
          <w:highlight w:val="none"/>
          <w:lang w:eastAsia="zh-CN"/>
        </w:rPr>
        <w:t>元/平方米×</w:t>
      </w:r>
      <w:r>
        <w:rPr>
          <w:rFonts w:hint="eastAsia" w:ascii="宋体" w:hAnsi="宋体" w:eastAsia="宋体" w:cs="宋体"/>
          <w:color w:val="auto"/>
          <w:position w:val="-4"/>
          <w:sz w:val="24"/>
          <w:highlight w:val="none"/>
          <w:lang w:val="en-US" w:eastAsia="zh-CN"/>
        </w:rPr>
        <w:t xml:space="preserve">    </w:t>
      </w:r>
      <w:r>
        <w:rPr>
          <w:rFonts w:hint="eastAsia" w:ascii="宋体" w:hAnsi="宋体" w:eastAsia="宋体" w:cs="宋体"/>
          <w:color w:val="auto"/>
          <w:position w:val="-4"/>
          <w:sz w:val="24"/>
          <w:highlight w:val="none"/>
          <w:lang w:eastAsia="zh-CN"/>
        </w:rPr>
        <w:t>平方米=</w:t>
      </w:r>
      <w:r>
        <w:rPr>
          <w:rFonts w:hint="eastAsia" w:ascii="宋体" w:hAnsi="宋体" w:eastAsia="宋体" w:cs="宋体"/>
          <w:color w:val="auto"/>
          <w:position w:val="-4"/>
          <w:sz w:val="24"/>
          <w:highlight w:val="none"/>
          <w:lang w:val="en-US" w:eastAsia="zh-CN"/>
        </w:rPr>
        <w:t xml:space="preserve">     </w:t>
      </w:r>
      <w:r>
        <w:rPr>
          <w:rFonts w:hint="eastAsia" w:ascii="宋体" w:hAnsi="宋体" w:eastAsia="宋体" w:cs="宋体"/>
          <w:color w:val="auto"/>
          <w:position w:val="-4"/>
          <w:sz w:val="24"/>
          <w:highlight w:val="none"/>
          <w:lang w:eastAsia="zh-CN"/>
        </w:rPr>
        <w:t>元</w:t>
      </w:r>
    </w:p>
    <w:p w14:paraId="40938744">
      <w:pPr>
        <w:spacing w:line="60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8"/>
          <w:szCs w:val="24"/>
          <w:highlight w:val="none"/>
          <w:lang w:eastAsia="zh-CN"/>
        </w:rPr>
        <w:t>勘察设计费计算总表</w:t>
      </w:r>
    </w:p>
    <w:tbl>
      <w:tblPr>
        <w:tblStyle w:val="28"/>
        <w:tblW w:w="4998" w:type="pct"/>
        <w:jc w:val="center"/>
        <w:tblLayout w:type="autofit"/>
        <w:tblCellMar>
          <w:top w:w="0" w:type="dxa"/>
          <w:left w:w="108" w:type="dxa"/>
          <w:bottom w:w="0" w:type="dxa"/>
          <w:right w:w="108" w:type="dxa"/>
        </w:tblCellMar>
      </w:tblPr>
      <w:tblGrid>
        <w:gridCol w:w="1958"/>
        <w:gridCol w:w="2186"/>
        <w:gridCol w:w="1863"/>
        <w:gridCol w:w="1552"/>
        <w:gridCol w:w="2399"/>
      </w:tblGrid>
      <w:tr w14:paraId="6A8D1723">
        <w:tblPrEx>
          <w:tblCellMar>
            <w:top w:w="0" w:type="dxa"/>
            <w:left w:w="108" w:type="dxa"/>
            <w:bottom w:w="0" w:type="dxa"/>
            <w:right w:w="108" w:type="dxa"/>
          </w:tblCellMar>
        </w:tblPrEx>
        <w:trPr>
          <w:trHeight w:val="1484" w:hRule="atLeast"/>
          <w:jc w:val="center"/>
        </w:trPr>
        <w:tc>
          <w:tcPr>
            <w:tcW w:w="983" w:type="pct"/>
            <w:tcBorders>
              <w:top w:val="single" w:color="000000" w:sz="4" w:space="0"/>
              <w:left w:val="single" w:color="000000" w:sz="4" w:space="0"/>
              <w:bottom w:val="nil"/>
              <w:right w:val="single" w:color="000000" w:sz="4" w:space="0"/>
            </w:tcBorders>
            <w:noWrap w:val="0"/>
            <w:vAlign w:val="center"/>
          </w:tcPr>
          <w:p w14:paraId="66690B1C">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初步设计费（元）</w:t>
            </w:r>
          </w:p>
        </w:tc>
        <w:tc>
          <w:tcPr>
            <w:tcW w:w="1097" w:type="pct"/>
            <w:tcBorders>
              <w:top w:val="single" w:color="000000" w:sz="4" w:space="0"/>
              <w:left w:val="single" w:color="000000" w:sz="4" w:space="0"/>
              <w:bottom w:val="nil"/>
              <w:right w:val="single" w:color="000000" w:sz="4" w:space="0"/>
            </w:tcBorders>
            <w:noWrap w:val="0"/>
            <w:vAlign w:val="center"/>
          </w:tcPr>
          <w:p w14:paraId="6F0C77C4">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工程勘察（不含超前钻）费（元）</w:t>
            </w:r>
          </w:p>
        </w:tc>
        <w:tc>
          <w:tcPr>
            <w:tcW w:w="935" w:type="pct"/>
            <w:tcBorders>
              <w:top w:val="single" w:color="000000" w:sz="4" w:space="0"/>
              <w:left w:val="single" w:color="000000" w:sz="4" w:space="0"/>
              <w:bottom w:val="nil"/>
              <w:right w:val="single" w:color="000000" w:sz="4" w:space="0"/>
            </w:tcBorders>
            <w:noWrap w:val="0"/>
            <w:vAlign w:val="center"/>
          </w:tcPr>
          <w:p w14:paraId="5C7F6AE6">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超前钻（元）</w:t>
            </w:r>
          </w:p>
        </w:tc>
        <w:tc>
          <w:tcPr>
            <w:tcW w:w="779" w:type="pct"/>
            <w:tcBorders>
              <w:top w:val="single" w:color="000000" w:sz="4" w:space="0"/>
              <w:left w:val="single" w:color="000000" w:sz="4" w:space="0"/>
              <w:bottom w:val="single" w:color="000000" w:sz="4" w:space="0"/>
              <w:right w:val="single" w:color="auto" w:sz="4" w:space="0"/>
            </w:tcBorders>
            <w:noWrap w:val="0"/>
            <w:vAlign w:val="center"/>
          </w:tcPr>
          <w:p w14:paraId="3034E12A">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建筑信息模型（BIM）技术应用费（元）</w:t>
            </w:r>
          </w:p>
        </w:tc>
        <w:tc>
          <w:tcPr>
            <w:tcW w:w="1204" w:type="pct"/>
            <w:tcBorders>
              <w:top w:val="single" w:color="000000" w:sz="4" w:space="0"/>
              <w:left w:val="single" w:color="auto" w:sz="4" w:space="0"/>
              <w:bottom w:val="single" w:color="000000" w:sz="4" w:space="0"/>
              <w:right w:val="single" w:color="000000" w:sz="4" w:space="0"/>
            </w:tcBorders>
            <w:noWrap w:val="0"/>
            <w:vAlign w:val="center"/>
          </w:tcPr>
          <w:p w14:paraId="1C3E1149">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工程勘察设计费（合计）（元）</w:t>
            </w:r>
          </w:p>
        </w:tc>
      </w:tr>
      <w:tr w14:paraId="0A4D5DA4">
        <w:tblPrEx>
          <w:tblCellMar>
            <w:top w:w="0" w:type="dxa"/>
            <w:left w:w="108" w:type="dxa"/>
            <w:bottom w:w="0" w:type="dxa"/>
            <w:right w:w="108" w:type="dxa"/>
          </w:tblCellMar>
        </w:tblPrEx>
        <w:trPr>
          <w:trHeight w:val="1091" w:hRule="atLeast"/>
          <w:jc w:val="center"/>
        </w:trPr>
        <w:tc>
          <w:tcPr>
            <w:tcW w:w="983" w:type="pct"/>
            <w:tcBorders>
              <w:top w:val="single" w:color="000000" w:sz="4" w:space="0"/>
              <w:left w:val="single" w:color="000000" w:sz="4" w:space="0"/>
              <w:bottom w:val="single" w:color="000000" w:sz="4" w:space="0"/>
              <w:right w:val="single" w:color="000000" w:sz="4" w:space="0"/>
            </w:tcBorders>
            <w:noWrap w:val="0"/>
            <w:vAlign w:val="center"/>
          </w:tcPr>
          <w:p w14:paraId="27EBB3D7">
            <w:pPr>
              <w:widowControl/>
              <w:jc w:val="center"/>
              <w:rPr>
                <w:rFonts w:hint="eastAsia" w:ascii="宋体" w:hAnsi="宋体" w:eastAsia="宋体" w:cs="宋体"/>
                <w:color w:val="auto"/>
                <w:sz w:val="24"/>
                <w:szCs w:val="24"/>
                <w:highlight w:val="none"/>
                <w:lang w:eastAsia="zh-CN"/>
              </w:rPr>
            </w:pP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01E3AC64">
            <w:pPr>
              <w:widowControl/>
              <w:jc w:val="center"/>
              <w:textAlignment w:val="center"/>
              <w:rPr>
                <w:rFonts w:hint="eastAsia" w:ascii="宋体" w:hAnsi="宋体" w:eastAsia="宋体" w:cs="宋体"/>
                <w:color w:val="auto"/>
                <w:sz w:val="24"/>
                <w:szCs w:val="24"/>
                <w:highlight w:val="none"/>
                <w:lang w:eastAsia="zh-CN"/>
              </w:rPr>
            </w:pP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172FB523">
            <w:pPr>
              <w:widowControl/>
              <w:jc w:val="center"/>
              <w:textAlignment w:val="center"/>
              <w:rPr>
                <w:rFonts w:hint="eastAsia" w:ascii="宋体" w:hAnsi="宋体" w:eastAsia="宋体" w:cs="宋体"/>
                <w:color w:val="auto"/>
                <w:sz w:val="24"/>
                <w:szCs w:val="24"/>
                <w:highlight w:val="none"/>
                <w:lang w:eastAsia="zh-CN"/>
              </w:rPr>
            </w:pPr>
          </w:p>
        </w:tc>
        <w:tc>
          <w:tcPr>
            <w:tcW w:w="779" w:type="pct"/>
            <w:tcBorders>
              <w:top w:val="single" w:color="000000" w:sz="4" w:space="0"/>
              <w:left w:val="single" w:color="000000" w:sz="4" w:space="0"/>
              <w:bottom w:val="single" w:color="000000" w:sz="4" w:space="0"/>
              <w:right w:val="single" w:color="auto" w:sz="4" w:space="0"/>
            </w:tcBorders>
            <w:noWrap w:val="0"/>
            <w:vAlign w:val="center"/>
          </w:tcPr>
          <w:p w14:paraId="686FB70E">
            <w:pPr>
              <w:widowControl/>
              <w:jc w:val="center"/>
              <w:rPr>
                <w:rFonts w:hint="eastAsia" w:ascii="宋体" w:hAnsi="宋体" w:eastAsia="宋体" w:cs="宋体"/>
                <w:color w:val="auto"/>
                <w:sz w:val="24"/>
                <w:szCs w:val="24"/>
                <w:highlight w:val="none"/>
                <w:lang w:eastAsia="zh-CN"/>
              </w:rPr>
            </w:pPr>
          </w:p>
        </w:tc>
        <w:tc>
          <w:tcPr>
            <w:tcW w:w="1204" w:type="pct"/>
            <w:tcBorders>
              <w:top w:val="single" w:color="000000" w:sz="4" w:space="0"/>
              <w:left w:val="single" w:color="auto" w:sz="4" w:space="0"/>
              <w:bottom w:val="single" w:color="000000" w:sz="4" w:space="0"/>
              <w:right w:val="single" w:color="000000" w:sz="4" w:space="0"/>
            </w:tcBorders>
            <w:noWrap w:val="0"/>
            <w:vAlign w:val="center"/>
          </w:tcPr>
          <w:p w14:paraId="52DE5845">
            <w:pPr>
              <w:widowControl/>
              <w:jc w:val="center"/>
              <w:rPr>
                <w:rFonts w:hint="eastAsia" w:ascii="宋体" w:hAnsi="宋体" w:eastAsia="宋体" w:cs="宋体"/>
                <w:color w:val="auto"/>
                <w:sz w:val="24"/>
                <w:szCs w:val="24"/>
                <w:highlight w:val="none"/>
                <w:lang w:eastAsia="zh-CN"/>
              </w:rPr>
            </w:pPr>
          </w:p>
        </w:tc>
      </w:tr>
    </w:tbl>
    <w:p w14:paraId="33316C5E">
      <w:pPr>
        <w:rPr>
          <w:rFonts w:hint="eastAsia" w:ascii="宋体" w:hAnsi="宋体" w:eastAsia="宋体"/>
          <w:bCs/>
          <w:snapToGrid w:val="0"/>
          <w:color w:val="auto"/>
          <w:sz w:val="24"/>
          <w:szCs w:val="24"/>
          <w:highlight w:val="none"/>
          <w:lang w:eastAsia="zh-CN"/>
        </w:rPr>
      </w:pPr>
    </w:p>
    <w:p w14:paraId="56A4DE32">
      <w:pPr>
        <w:spacing w:line="360" w:lineRule="auto"/>
        <w:rPr>
          <w:rFonts w:hint="eastAsia" w:ascii="宋体" w:hAnsi="宋体" w:eastAsia="宋体"/>
          <w:bCs/>
          <w:snapToGrid w:val="0"/>
          <w:color w:val="auto"/>
          <w:sz w:val="24"/>
          <w:szCs w:val="24"/>
          <w:highlight w:val="none"/>
          <w:lang w:eastAsia="zh-CN"/>
        </w:rPr>
      </w:pPr>
      <w:r>
        <w:rPr>
          <w:rFonts w:hint="eastAsia" w:ascii="宋体" w:hAnsi="宋体" w:eastAsia="宋体" w:cs="宋体"/>
          <w:b/>
          <w:color w:val="auto"/>
          <w:sz w:val="28"/>
          <w:szCs w:val="24"/>
          <w:highlight w:val="none"/>
          <w:lang w:eastAsia="zh-CN"/>
        </w:rPr>
        <w:br w:type="page"/>
      </w:r>
      <w:r>
        <w:rPr>
          <w:rFonts w:hint="eastAsia" w:ascii="宋体" w:hAnsi="宋体" w:eastAsia="宋体"/>
          <w:bCs/>
          <w:snapToGrid w:val="0"/>
          <w:color w:val="auto"/>
          <w:sz w:val="24"/>
          <w:szCs w:val="24"/>
          <w:highlight w:val="none"/>
          <w:lang w:eastAsia="zh-CN"/>
        </w:rPr>
        <w:t>表三.勘察费报价及计算依据表</w:t>
      </w:r>
    </w:p>
    <w:p w14:paraId="490D26B2">
      <w:pPr>
        <w:rPr>
          <w:rFonts w:hint="eastAsia" w:ascii="宋体" w:hAnsi="宋体" w:eastAsia="宋体"/>
          <w:bCs/>
          <w:snapToGrid w:val="0"/>
          <w:color w:val="auto"/>
          <w:sz w:val="24"/>
          <w:szCs w:val="24"/>
          <w:highlight w:val="none"/>
          <w:lang w:eastAsia="zh-CN"/>
        </w:rPr>
      </w:pPr>
    </w:p>
    <w:p w14:paraId="36FC366D">
      <w:pPr>
        <w:rPr>
          <w:rFonts w:hint="eastAsia" w:ascii="宋体" w:hAnsi="宋体" w:eastAsia="宋体"/>
          <w:bCs/>
          <w:snapToGrid w:val="0"/>
          <w:color w:val="auto"/>
          <w:sz w:val="24"/>
          <w:szCs w:val="24"/>
          <w:highlight w:val="none"/>
          <w:lang w:eastAsia="zh-CN"/>
        </w:rPr>
      </w:pPr>
    </w:p>
    <w:p w14:paraId="042CBAF9">
      <w:pPr>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br w:type="page"/>
      </w:r>
      <w:r>
        <w:rPr>
          <w:rFonts w:hint="eastAsia" w:ascii="宋体" w:hAnsi="宋体" w:eastAsia="宋体"/>
          <w:b/>
          <w:snapToGrid w:val="0"/>
          <w:color w:val="auto"/>
          <w:sz w:val="24"/>
          <w:szCs w:val="24"/>
          <w:highlight w:val="none"/>
          <w:lang w:eastAsia="zh-CN"/>
        </w:rPr>
        <w:t>附件4：</w:t>
      </w:r>
      <w:r>
        <w:rPr>
          <w:rFonts w:hint="eastAsia" w:ascii="宋体" w:hAnsi="宋体" w:eastAsia="宋体"/>
          <w:bCs/>
          <w:snapToGrid w:val="0"/>
          <w:color w:val="auto"/>
          <w:sz w:val="24"/>
          <w:szCs w:val="24"/>
          <w:highlight w:val="none"/>
          <w:lang w:eastAsia="zh-CN"/>
        </w:rPr>
        <w:t>主要勘察设计人员</w:t>
      </w:r>
    </w:p>
    <w:p w14:paraId="0AE8CDA9">
      <w:pPr>
        <w:spacing w:line="440" w:lineRule="exact"/>
        <w:jc w:val="center"/>
        <w:rPr>
          <w:rFonts w:hint="eastAsia" w:ascii="宋体" w:hAnsi="宋体"/>
          <w:b/>
          <w:color w:val="auto"/>
          <w:sz w:val="32"/>
          <w:szCs w:val="32"/>
          <w:highlight w:val="none"/>
        </w:rPr>
      </w:pPr>
      <w:r>
        <w:rPr>
          <w:rFonts w:ascii="宋体" w:hAnsi="宋体"/>
          <w:b/>
          <w:color w:val="auto"/>
          <w:sz w:val="32"/>
          <w:szCs w:val="32"/>
          <w:highlight w:val="none"/>
        </w:rPr>
        <w:t>主要</w:t>
      </w:r>
      <w:r>
        <w:rPr>
          <w:rFonts w:hint="eastAsia" w:ascii="宋体" w:hAnsi="宋体" w:eastAsia="宋体" w:cs="宋体"/>
          <w:b/>
          <w:color w:val="auto"/>
          <w:sz w:val="32"/>
          <w:szCs w:val="32"/>
          <w:highlight w:val="none"/>
          <w:lang w:eastAsia="zh-CN"/>
        </w:rPr>
        <w:t>勘察</w:t>
      </w:r>
      <w:r>
        <w:rPr>
          <w:rFonts w:hint="eastAsia" w:ascii="宋体" w:hAnsi="宋体"/>
          <w:b/>
          <w:color w:val="auto"/>
          <w:sz w:val="32"/>
          <w:szCs w:val="32"/>
          <w:highlight w:val="none"/>
        </w:rPr>
        <w:t>设计</w:t>
      </w:r>
      <w:r>
        <w:rPr>
          <w:rFonts w:ascii="宋体" w:hAnsi="宋体"/>
          <w:b/>
          <w:color w:val="auto"/>
          <w:sz w:val="32"/>
          <w:szCs w:val="32"/>
          <w:highlight w:val="none"/>
        </w:rPr>
        <w:t>人员表</w:t>
      </w:r>
    </w:p>
    <w:p w14:paraId="6E2E7EE6">
      <w:pPr>
        <w:spacing w:line="440" w:lineRule="exact"/>
        <w:rPr>
          <w:rFonts w:hint="eastAsia" w:ascii="宋体" w:hAnsi="宋体"/>
          <w:color w:val="auto"/>
          <w:sz w:val="30"/>
          <w:szCs w:val="30"/>
          <w:highlight w:val="none"/>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8EFA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725ED77">
            <w:pPr>
              <w:pStyle w:val="11"/>
              <w:keepNext/>
              <w:spacing w:after="0"/>
              <w:ind w:left="63" w:right="63"/>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eastAsia="zh-CN"/>
              </w:rPr>
              <w:t>名    称</w:t>
            </w:r>
          </w:p>
        </w:tc>
        <w:tc>
          <w:tcPr>
            <w:tcW w:w="1418" w:type="dxa"/>
            <w:tcBorders>
              <w:top w:val="single" w:color="auto" w:sz="12" w:space="0"/>
              <w:bottom w:val="double" w:color="auto" w:sz="6" w:space="0"/>
            </w:tcBorders>
            <w:noWrap w:val="0"/>
            <w:vAlign w:val="center"/>
          </w:tcPr>
          <w:p w14:paraId="1BC92C19">
            <w:pPr>
              <w:pStyle w:val="11"/>
              <w:keepNext/>
              <w:spacing w:after="0"/>
              <w:ind w:left="63" w:right="63"/>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eastAsia="zh-CN"/>
              </w:rPr>
              <w:t>姓名</w:t>
            </w:r>
          </w:p>
        </w:tc>
        <w:tc>
          <w:tcPr>
            <w:tcW w:w="1134" w:type="dxa"/>
            <w:tcBorders>
              <w:top w:val="single" w:color="auto" w:sz="12" w:space="0"/>
              <w:bottom w:val="double" w:color="auto" w:sz="6" w:space="0"/>
            </w:tcBorders>
            <w:noWrap w:val="0"/>
            <w:vAlign w:val="center"/>
          </w:tcPr>
          <w:p w14:paraId="71106F12">
            <w:pPr>
              <w:pStyle w:val="11"/>
              <w:keepNext/>
              <w:spacing w:after="0"/>
              <w:ind w:left="63" w:right="63"/>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eastAsia="zh-CN"/>
              </w:rPr>
              <w:t>职务</w:t>
            </w:r>
          </w:p>
        </w:tc>
        <w:tc>
          <w:tcPr>
            <w:tcW w:w="1134" w:type="dxa"/>
            <w:tcBorders>
              <w:top w:val="single" w:color="auto" w:sz="12" w:space="0"/>
              <w:bottom w:val="double" w:color="auto" w:sz="6" w:space="0"/>
            </w:tcBorders>
            <w:noWrap w:val="0"/>
            <w:vAlign w:val="center"/>
          </w:tcPr>
          <w:p w14:paraId="289E8A90">
            <w:pPr>
              <w:pStyle w:val="11"/>
              <w:keepNext/>
              <w:spacing w:after="0"/>
              <w:ind w:left="63" w:right="63"/>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eastAsia="zh-CN"/>
              </w:rPr>
              <w:t>注册执业资格或职称</w:t>
            </w:r>
          </w:p>
        </w:tc>
        <w:tc>
          <w:tcPr>
            <w:tcW w:w="4252" w:type="dxa"/>
            <w:tcBorders>
              <w:top w:val="single" w:color="auto" w:sz="12" w:space="0"/>
              <w:bottom w:val="double" w:color="auto" w:sz="6" w:space="0"/>
            </w:tcBorders>
            <w:noWrap w:val="0"/>
            <w:vAlign w:val="center"/>
          </w:tcPr>
          <w:p w14:paraId="23585BB9">
            <w:pPr>
              <w:pStyle w:val="11"/>
              <w:keepNext/>
              <w:spacing w:after="0"/>
              <w:ind w:left="63" w:right="63"/>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eastAsia="zh-CN"/>
              </w:rPr>
              <w:t>承担过的主要项目</w:t>
            </w:r>
          </w:p>
        </w:tc>
      </w:tr>
      <w:tr w14:paraId="02970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3822BD98">
            <w:pPr>
              <w:pStyle w:val="11"/>
              <w:keepNext/>
              <w:spacing w:after="0" w:line="440" w:lineRule="exact"/>
              <w:ind w:left="63" w:right="63"/>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eastAsia="zh-CN"/>
              </w:rPr>
              <w:t>一、总部人员</w:t>
            </w:r>
          </w:p>
        </w:tc>
      </w:tr>
      <w:tr w14:paraId="27003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noWrap w:val="0"/>
            <w:vAlign w:val="center"/>
          </w:tcPr>
          <w:p w14:paraId="6C3FB6F0">
            <w:pPr>
              <w:pStyle w:val="11"/>
              <w:keepNext/>
              <w:spacing w:after="0" w:line="440" w:lineRule="exact"/>
              <w:ind w:left="63" w:right="63"/>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eastAsia="zh-CN"/>
              </w:rPr>
              <w:t>项目主管</w:t>
            </w:r>
          </w:p>
        </w:tc>
        <w:tc>
          <w:tcPr>
            <w:tcW w:w="1418" w:type="dxa"/>
            <w:tcBorders>
              <w:top w:val="nil"/>
            </w:tcBorders>
            <w:noWrap w:val="0"/>
            <w:vAlign w:val="center"/>
          </w:tcPr>
          <w:p w14:paraId="69722E38">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tcBorders>
              <w:top w:val="nil"/>
            </w:tcBorders>
            <w:noWrap w:val="0"/>
            <w:vAlign w:val="center"/>
          </w:tcPr>
          <w:p w14:paraId="656A8741">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tcBorders>
              <w:top w:val="nil"/>
            </w:tcBorders>
            <w:noWrap w:val="0"/>
            <w:vAlign w:val="center"/>
          </w:tcPr>
          <w:p w14:paraId="4FA871CC">
            <w:pPr>
              <w:pStyle w:val="11"/>
              <w:keepNext/>
              <w:spacing w:after="0" w:line="440" w:lineRule="exact"/>
              <w:ind w:left="63" w:right="63"/>
              <w:rPr>
                <w:rFonts w:hint="eastAsia" w:ascii="宋体" w:hAnsi="宋体"/>
                <w:color w:val="auto"/>
                <w:kern w:val="2"/>
                <w:sz w:val="24"/>
                <w:szCs w:val="24"/>
                <w:highlight w:val="none"/>
                <w:lang w:eastAsia="zh-CN"/>
              </w:rPr>
            </w:pPr>
          </w:p>
        </w:tc>
        <w:tc>
          <w:tcPr>
            <w:tcW w:w="4252" w:type="dxa"/>
            <w:tcBorders>
              <w:top w:val="nil"/>
            </w:tcBorders>
            <w:noWrap w:val="0"/>
            <w:vAlign w:val="center"/>
          </w:tcPr>
          <w:p w14:paraId="68944493">
            <w:pPr>
              <w:pStyle w:val="11"/>
              <w:keepNext/>
              <w:spacing w:after="0" w:line="440" w:lineRule="exact"/>
              <w:ind w:left="63" w:right="63"/>
              <w:rPr>
                <w:rFonts w:hint="eastAsia" w:ascii="宋体" w:hAnsi="宋体"/>
                <w:color w:val="auto"/>
                <w:kern w:val="2"/>
                <w:sz w:val="24"/>
                <w:szCs w:val="24"/>
                <w:highlight w:val="none"/>
                <w:lang w:eastAsia="zh-CN"/>
              </w:rPr>
            </w:pPr>
          </w:p>
        </w:tc>
      </w:tr>
      <w:tr w14:paraId="547A6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noWrap w:val="0"/>
            <w:vAlign w:val="center"/>
          </w:tcPr>
          <w:p w14:paraId="1D7EF7CB">
            <w:pPr>
              <w:pStyle w:val="11"/>
              <w:keepNext/>
              <w:spacing w:after="0" w:line="440" w:lineRule="exact"/>
              <w:ind w:left="63" w:right="63"/>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eastAsia="zh-CN"/>
              </w:rPr>
              <w:t>其他人员</w:t>
            </w:r>
          </w:p>
        </w:tc>
        <w:tc>
          <w:tcPr>
            <w:tcW w:w="1418" w:type="dxa"/>
            <w:noWrap w:val="0"/>
            <w:vAlign w:val="center"/>
          </w:tcPr>
          <w:p w14:paraId="08114326">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noWrap w:val="0"/>
            <w:vAlign w:val="center"/>
          </w:tcPr>
          <w:p w14:paraId="23236A6D">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noWrap w:val="0"/>
            <w:vAlign w:val="center"/>
          </w:tcPr>
          <w:p w14:paraId="1C0EF9A4">
            <w:pPr>
              <w:pStyle w:val="11"/>
              <w:keepNext/>
              <w:spacing w:after="0" w:line="440" w:lineRule="exact"/>
              <w:ind w:left="63" w:right="63"/>
              <w:rPr>
                <w:rFonts w:hint="eastAsia" w:ascii="宋体" w:hAnsi="宋体"/>
                <w:color w:val="auto"/>
                <w:kern w:val="2"/>
                <w:sz w:val="24"/>
                <w:szCs w:val="24"/>
                <w:highlight w:val="none"/>
                <w:lang w:eastAsia="zh-CN"/>
              </w:rPr>
            </w:pPr>
          </w:p>
        </w:tc>
        <w:tc>
          <w:tcPr>
            <w:tcW w:w="4252" w:type="dxa"/>
            <w:noWrap w:val="0"/>
            <w:vAlign w:val="center"/>
          </w:tcPr>
          <w:p w14:paraId="69C78DBC">
            <w:pPr>
              <w:pStyle w:val="11"/>
              <w:keepNext/>
              <w:spacing w:after="0" w:line="440" w:lineRule="exact"/>
              <w:ind w:left="63" w:right="63"/>
              <w:rPr>
                <w:rFonts w:hint="eastAsia" w:ascii="宋体" w:hAnsi="宋体"/>
                <w:color w:val="auto"/>
                <w:kern w:val="2"/>
                <w:sz w:val="24"/>
                <w:szCs w:val="24"/>
                <w:highlight w:val="none"/>
                <w:lang w:eastAsia="zh-CN"/>
              </w:rPr>
            </w:pPr>
          </w:p>
        </w:tc>
      </w:tr>
      <w:tr w14:paraId="3BDA0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64BFF4A">
            <w:pPr>
              <w:pStyle w:val="11"/>
              <w:keepNext/>
              <w:spacing w:after="0" w:line="440" w:lineRule="exact"/>
              <w:ind w:left="63" w:right="63"/>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eastAsia="zh-CN"/>
              </w:rPr>
              <w:t>二、项目组成员</w:t>
            </w:r>
          </w:p>
        </w:tc>
      </w:tr>
      <w:tr w14:paraId="3B561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986EB5B">
            <w:pPr>
              <w:pStyle w:val="11"/>
              <w:keepNext/>
              <w:spacing w:after="0" w:line="440" w:lineRule="exact"/>
              <w:ind w:left="63" w:right="63"/>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eastAsia="zh-CN"/>
              </w:rPr>
              <w:t>项目负责人</w:t>
            </w:r>
          </w:p>
        </w:tc>
        <w:tc>
          <w:tcPr>
            <w:tcW w:w="1418" w:type="dxa"/>
            <w:noWrap w:val="0"/>
            <w:vAlign w:val="center"/>
          </w:tcPr>
          <w:p w14:paraId="7A31B6AE">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noWrap w:val="0"/>
            <w:vAlign w:val="center"/>
          </w:tcPr>
          <w:p w14:paraId="5C285E64">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noWrap w:val="0"/>
            <w:vAlign w:val="center"/>
          </w:tcPr>
          <w:p w14:paraId="46E2BD4D">
            <w:pPr>
              <w:pStyle w:val="11"/>
              <w:keepNext/>
              <w:spacing w:after="0" w:line="440" w:lineRule="exact"/>
              <w:ind w:left="63" w:right="63"/>
              <w:rPr>
                <w:rFonts w:hint="eastAsia" w:ascii="宋体" w:hAnsi="宋体"/>
                <w:color w:val="auto"/>
                <w:kern w:val="2"/>
                <w:sz w:val="24"/>
                <w:szCs w:val="24"/>
                <w:highlight w:val="none"/>
                <w:lang w:eastAsia="zh-CN"/>
              </w:rPr>
            </w:pPr>
          </w:p>
        </w:tc>
        <w:tc>
          <w:tcPr>
            <w:tcW w:w="4252" w:type="dxa"/>
            <w:noWrap w:val="0"/>
            <w:vAlign w:val="center"/>
          </w:tcPr>
          <w:p w14:paraId="7886958D">
            <w:pPr>
              <w:pStyle w:val="11"/>
              <w:keepNext/>
              <w:spacing w:after="0" w:line="440" w:lineRule="exact"/>
              <w:ind w:left="63" w:right="63"/>
              <w:rPr>
                <w:rFonts w:hint="eastAsia" w:ascii="宋体" w:hAnsi="宋体"/>
                <w:color w:val="auto"/>
                <w:kern w:val="2"/>
                <w:sz w:val="24"/>
                <w:szCs w:val="24"/>
                <w:highlight w:val="none"/>
                <w:lang w:eastAsia="zh-CN"/>
              </w:rPr>
            </w:pPr>
          </w:p>
        </w:tc>
      </w:tr>
      <w:tr w14:paraId="7EF99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541CF6E">
            <w:pPr>
              <w:pStyle w:val="11"/>
              <w:keepNext/>
              <w:spacing w:after="0" w:line="440" w:lineRule="exact"/>
              <w:ind w:left="63" w:right="63"/>
              <w:rPr>
                <w:rFonts w:hint="eastAsia" w:ascii="宋体" w:hAnsi="宋体" w:eastAsia="等线"/>
                <w:color w:val="auto"/>
                <w:kern w:val="2"/>
                <w:sz w:val="24"/>
                <w:szCs w:val="24"/>
                <w:highlight w:val="none"/>
                <w:lang w:eastAsia="zh-CN"/>
              </w:rPr>
            </w:pPr>
            <w:r>
              <w:rPr>
                <w:rFonts w:ascii="宋体" w:hAnsi="宋体" w:eastAsia="等线"/>
                <w:color w:val="auto"/>
                <w:kern w:val="2"/>
                <w:sz w:val="24"/>
                <w:szCs w:val="24"/>
                <w:highlight w:val="none"/>
                <w:lang w:eastAsia="zh-CN"/>
              </w:rPr>
              <w:t>……</w:t>
            </w:r>
          </w:p>
        </w:tc>
        <w:tc>
          <w:tcPr>
            <w:tcW w:w="1418" w:type="dxa"/>
            <w:noWrap w:val="0"/>
            <w:vAlign w:val="center"/>
          </w:tcPr>
          <w:p w14:paraId="6E6A2FBE">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noWrap w:val="0"/>
            <w:vAlign w:val="center"/>
          </w:tcPr>
          <w:p w14:paraId="7C1A6FFE">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noWrap w:val="0"/>
            <w:vAlign w:val="center"/>
          </w:tcPr>
          <w:p w14:paraId="487BC62B">
            <w:pPr>
              <w:pStyle w:val="11"/>
              <w:keepNext/>
              <w:spacing w:after="0" w:line="440" w:lineRule="exact"/>
              <w:ind w:left="63" w:right="63"/>
              <w:rPr>
                <w:rFonts w:hint="eastAsia" w:ascii="宋体" w:hAnsi="宋体"/>
                <w:color w:val="auto"/>
                <w:kern w:val="2"/>
                <w:sz w:val="24"/>
                <w:szCs w:val="24"/>
                <w:highlight w:val="none"/>
                <w:lang w:eastAsia="zh-CN"/>
              </w:rPr>
            </w:pPr>
          </w:p>
        </w:tc>
        <w:tc>
          <w:tcPr>
            <w:tcW w:w="4252" w:type="dxa"/>
            <w:noWrap w:val="0"/>
            <w:vAlign w:val="center"/>
          </w:tcPr>
          <w:p w14:paraId="6EFBE3CB">
            <w:pPr>
              <w:pStyle w:val="11"/>
              <w:keepNext/>
              <w:spacing w:after="0" w:line="440" w:lineRule="exact"/>
              <w:ind w:left="63" w:right="63"/>
              <w:rPr>
                <w:rFonts w:hint="eastAsia" w:ascii="宋体" w:hAnsi="宋体"/>
                <w:color w:val="auto"/>
                <w:kern w:val="2"/>
                <w:sz w:val="24"/>
                <w:szCs w:val="24"/>
                <w:highlight w:val="none"/>
                <w:lang w:eastAsia="zh-CN"/>
              </w:rPr>
            </w:pPr>
          </w:p>
        </w:tc>
      </w:tr>
      <w:tr w14:paraId="247ED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1246DAE">
            <w:pPr>
              <w:pStyle w:val="11"/>
              <w:keepNext/>
              <w:spacing w:after="0" w:line="440" w:lineRule="exact"/>
              <w:ind w:left="63" w:right="63"/>
              <w:rPr>
                <w:rFonts w:hint="eastAsia" w:ascii="宋体" w:hAnsi="宋体"/>
                <w:color w:val="auto"/>
                <w:kern w:val="2"/>
                <w:sz w:val="24"/>
                <w:szCs w:val="24"/>
                <w:highlight w:val="none"/>
                <w:lang w:eastAsia="zh-CN"/>
              </w:rPr>
            </w:pPr>
          </w:p>
        </w:tc>
        <w:tc>
          <w:tcPr>
            <w:tcW w:w="1418" w:type="dxa"/>
            <w:noWrap w:val="0"/>
            <w:vAlign w:val="center"/>
          </w:tcPr>
          <w:p w14:paraId="658FE1EA">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noWrap w:val="0"/>
            <w:vAlign w:val="center"/>
          </w:tcPr>
          <w:p w14:paraId="22BB94B4">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noWrap w:val="0"/>
            <w:vAlign w:val="center"/>
          </w:tcPr>
          <w:p w14:paraId="7AFC13D9">
            <w:pPr>
              <w:pStyle w:val="11"/>
              <w:keepNext/>
              <w:spacing w:after="0" w:line="440" w:lineRule="exact"/>
              <w:ind w:left="63" w:right="63"/>
              <w:rPr>
                <w:rFonts w:hint="eastAsia" w:ascii="宋体" w:hAnsi="宋体"/>
                <w:color w:val="auto"/>
                <w:kern w:val="2"/>
                <w:sz w:val="24"/>
                <w:szCs w:val="24"/>
                <w:highlight w:val="none"/>
                <w:lang w:eastAsia="zh-CN"/>
              </w:rPr>
            </w:pPr>
          </w:p>
        </w:tc>
        <w:tc>
          <w:tcPr>
            <w:tcW w:w="4252" w:type="dxa"/>
            <w:noWrap w:val="0"/>
            <w:vAlign w:val="center"/>
          </w:tcPr>
          <w:p w14:paraId="6590C4D3">
            <w:pPr>
              <w:pStyle w:val="11"/>
              <w:keepNext/>
              <w:spacing w:after="0" w:line="440" w:lineRule="exact"/>
              <w:ind w:left="63" w:right="63"/>
              <w:rPr>
                <w:rFonts w:hint="eastAsia" w:ascii="宋体" w:hAnsi="宋体"/>
                <w:color w:val="auto"/>
                <w:kern w:val="2"/>
                <w:sz w:val="24"/>
                <w:szCs w:val="24"/>
                <w:highlight w:val="none"/>
                <w:lang w:eastAsia="zh-CN"/>
              </w:rPr>
            </w:pPr>
          </w:p>
        </w:tc>
      </w:tr>
      <w:tr w14:paraId="246FF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A7B92C2">
            <w:pPr>
              <w:pStyle w:val="11"/>
              <w:keepNext/>
              <w:spacing w:after="0" w:line="440" w:lineRule="exact"/>
              <w:ind w:left="63" w:right="63"/>
              <w:rPr>
                <w:rFonts w:hint="eastAsia" w:ascii="宋体" w:hAnsi="宋体"/>
                <w:color w:val="auto"/>
                <w:kern w:val="2"/>
                <w:sz w:val="24"/>
                <w:szCs w:val="24"/>
                <w:highlight w:val="none"/>
                <w:lang w:eastAsia="zh-CN"/>
              </w:rPr>
            </w:pPr>
          </w:p>
        </w:tc>
        <w:tc>
          <w:tcPr>
            <w:tcW w:w="1418" w:type="dxa"/>
            <w:noWrap w:val="0"/>
            <w:vAlign w:val="center"/>
          </w:tcPr>
          <w:p w14:paraId="3BAD6C3F">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noWrap w:val="0"/>
            <w:vAlign w:val="center"/>
          </w:tcPr>
          <w:p w14:paraId="4658D4B6">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noWrap w:val="0"/>
            <w:vAlign w:val="center"/>
          </w:tcPr>
          <w:p w14:paraId="376EF749">
            <w:pPr>
              <w:pStyle w:val="11"/>
              <w:keepNext/>
              <w:spacing w:after="0" w:line="440" w:lineRule="exact"/>
              <w:ind w:left="63" w:right="63"/>
              <w:rPr>
                <w:rFonts w:hint="eastAsia" w:ascii="宋体" w:hAnsi="宋体"/>
                <w:color w:val="auto"/>
                <w:kern w:val="2"/>
                <w:sz w:val="24"/>
                <w:szCs w:val="24"/>
                <w:highlight w:val="none"/>
                <w:lang w:eastAsia="zh-CN"/>
              </w:rPr>
            </w:pPr>
          </w:p>
        </w:tc>
        <w:tc>
          <w:tcPr>
            <w:tcW w:w="4252" w:type="dxa"/>
            <w:noWrap w:val="0"/>
            <w:vAlign w:val="center"/>
          </w:tcPr>
          <w:p w14:paraId="16228EE8">
            <w:pPr>
              <w:pStyle w:val="11"/>
              <w:keepNext/>
              <w:spacing w:after="0" w:line="440" w:lineRule="exact"/>
              <w:ind w:left="63" w:right="63"/>
              <w:rPr>
                <w:rFonts w:hint="eastAsia" w:ascii="宋体" w:hAnsi="宋体"/>
                <w:color w:val="auto"/>
                <w:kern w:val="2"/>
                <w:sz w:val="24"/>
                <w:szCs w:val="24"/>
                <w:highlight w:val="none"/>
                <w:lang w:eastAsia="zh-CN"/>
              </w:rPr>
            </w:pPr>
          </w:p>
        </w:tc>
      </w:tr>
      <w:tr w14:paraId="6B19B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563159">
            <w:pPr>
              <w:pStyle w:val="11"/>
              <w:keepNext/>
              <w:spacing w:after="0" w:line="440" w:lineRule="exact"/>
              <w:ind w:left="63" w:right="63"/>
              <w:rPr>
                <w:rFonts w:hint="eastAsia" w:ascii="宋体" w:hAnsi="宋体"/>
                <w:color w:val="auto"/>
                <w:kern w:val="2"/>
                <w:sz w:val="24"/>
                <w:szCs w:val="24"/>
                <w:highlight w:val="none"/>
                <w:lang w:eastAsia="zh-CN"/>
              </w:rPr>
            </w:pPr>
          </w:p>
        </w:tc>
        <w:tc>
          <w:tcPr>
            <w:tcW w:w="1418" w:type="dxa"/>
            <w:noWrap w:val="0"/>
            <w:vAlign w:val="center"/>
          </w:tcPr>
          <w:p w14:paraId="4E9C0CA5">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noWrap w:val="0"/>
            <w:vAlign w:val="center"/>
          </w:tcPr>
          <w:p w14:paraId="491ED165">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noWrap w:val="0"/>
            <w:vAlign w:val="center"/>
          </w:tcPr>
          <w:p w14:paraId="4C6BF137">
            <w:pPr>
              <w:pStyle w:val="11"/>
              <w:keepNext/>
              <w:spacing w:after="0" w:line="440" w:lineRule="exact"/>
              <w:ind w:left="63" w:right="63"/>
              <w:rPr>
                <w:rFonts w:hint="eastAsia" w:ascii="宋体" w:hAnsi="宋体"/>
                <w:color w:val="auto"/>
                <w:kern w:val="2"/>
                <w:sz w:val="24"/>
                <w:szCs w:val="24"/>
                <w:highlight w:val="none"/>
                <w:lang w:eastAsia="zh-CN"/>
              </w:rPr>
            </w:pPr>
          </w:p>
        </w:tc>
        <w:tc>
          <w:tcPr>
            <w:tcW w:w="4252" w:type="dxa"/>
            <w:noWrap w:val="0"/>
            <w:vAlign w:val="center"/>
          </w:tcPr>
          <w:p w14:paraId="469E6EE7">
            <w:pPr>
              <w:pStyle w:val="11"/>
              <w:keepNext/>
              <w:spacing w:after="0" w:line="440" w:lineRule="exact"/>
              <w:ind w:left="63" w:right="63"/>
              <w:rPr>
                <w:rFonts w:hint="eastAsia" w:ascii="宋体" w:hAnsi="宋体"/>
                <w:color w:val="auto"/>
                <w:kern w:val="2"/>
                <w:sz w:val="24"/>
                <w:szCs w:val="24"/>
                <w:highlight w:val="none"/>
                <w:lang w:eastAsia="zh-CN"/>
              </w:rPr>
            </w:pPr>
          </w:p>
        </w:tc>
      </w:tr>
      <w:tr w14:paraId="473B2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12" w:space="0"/>
            </w:tcBorders>
            <w:noWrap w:val="0"/>
            <w:vAlign w:val="center"/>
          </w:tcPr>
          <w:p w14:paraId="4FA01305">
            <w:pPr>
              <w:pStyle w:val="11"/>
              <w:keepNext/>
              <w:spacing w:after="0" w:line="440" w:lineRule="exact"/>
              <w:ind w:left="63" w:right="63"/>
              <w:rPr>
                <w:rFonts w:hint="eastAsia" w:ascii="宋体" w:hAnsi="宋体"/>
                <w:color w:val="auto"/>
                <w:kern w:val="2"/>
                <w:sz w:val="24"/>
                <w:szCs w:val="24"/>
                <w:highlight w:val="none"/>
                <w:lang w:eastAsia="zh-CN"/>
              </w:rPr>
            </w:pPr>
          </w:p>
        </w:tc>
        <w:tc>
          <w:tcPr>
            <w:tcW w:w="1418" w:type="dxa"/>
            <w:tcBorders>
              <w:bottom w:val="single" w:color="auto" w:sz="12" w:space="0"/>
            </w:tcBorders>
            <w:noWrap w:val="0"/>
            <w:vAlign w:val="center"/>
          </w:tcPr>
          <w:p w14:paraId="60BE9C5F">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tcBorders>
              <w:bottom w:val="single" w:color="auto" w:sz="12" w:space="0"/>
            </w:tcBorders>
            <w:noWrap w:val="0"/>
            <w:vAlign w:val="center"/>
          </w:tcPr>
          <w:p w14:paraId="0B31BC4F">
            <w:pPr>
              <w:pStyle w:val="11"/>
              <w:keepNext/>
              <w:spacing w:after="0" w:line="440" w:lineRule="exact"/>
              <w:ind w:left="63" w:right="63"/>
              <w:rPr>
                <w:rFonts w:hint="eastAsia" w:ascii="宋体" w:hAnsi="宋体"/>
                <w:color w:val="auto"/>
                <w:kern w:val="2"/>
                <w:sz w:val="24"/>
                <w:szCs w:val="24"/>
                <w:highlight w:val="none"/>
                <w:lang w:eastAsia="zh-CN"/>
              </w:rPr>
            </w:pPr>
          </w:p>
        </w:tc>
        <w:tc>
          <w:tcPr>
            <w:tcW w:w="1134" w:type="dxa"/>
            <w:tcBorders>
              <w:bottom w:val="single" w:color="auto" w:sz="12" w:space="0"/>
            </w:tcBorders>
            <w:noWrap w:val="0"/>
            <w:vAlign w:val="center"/>
          </w:tcPr>
          <w:p w14:paraId="2ACCE797">
            <w:pPr>
              <w:pStyle w:val="11"/>
              <w:keepNext/>
              <w:spacing w:after="0" w:line="440" w:lineRule="exact"/>
              <w:ind w:left="63" w:right="63"/>
              <w:rPr>
                <w:rFonts w:hint="eastAsia" w:ascii="宋体" w:hAnsi="宋体"/>
                <w:color w:val="auto"/>
                <w:kern w:val="2"/>
                <w:sz w:val="24"/>
                <w:szCs w:val="24"/>
                <w:highlight w:val="none"/>
                <w:lang w:eastAsia="zh-CN"/>
              </w:rPr>
            </w:pPr>
          </w:p>
        </w:tc>
        <w:tc>
          <w:tcPr>
            <w:tcW w:w="4252" w:type="dxa"/>
            <w:tcBorders>
              <w:bottom w:val="single" w:color="auto" w:sz="12" w:space="0"/>
            </w:tcBorders>
            <w:noWrap w:val="0"/>
            <w:vAlign w:val="center"/>
          </w:tcPr>
          <w:p w14:paraId="6754292C">
            <w:pPr>
              <w:pStyle w:val="11"/>
              <w:keepNext/>
              <w:spacing w:after="0" w:line="440" w:lineRule="exact"/>
              <w:ind w:left="63" w:right="63"/>
              <w:rPr>
                <w:rFonts w:hint="eastAsia" w:ascii="宋体" w:hAnsi="宋体"/>
                <w:color w:val="auto"/>
                <w:kern w:val="2"/>
                <w:sz w:val="24"/>
                <w:szCs w:val="24"/>
                <w:highlight w:val="none"/>
                <w:lang w:eastAsia="zh-CN"/>
              </w:rPr>
            </w:pPr>
          </w:p>
        </w:tc>
      </w:tr>
    </w:tbl>
    <w:p w14:paraId="2E4D47D9">
      <w:pPr>
        <w:pStyle w:val="27"/>
        <w:spacing w:after="0"/>
        <w:ind w:left="440" w:firstLine="400"/>
        <w:rPr>
          <w:snapToGrid w:val="0"/>
          <w:color w:val="auto"/>
          <w:highlight w:val="none"/>
          <w:lang w:eastAsia="zh-CN"/>
        </w:rPr>
      </w:pPr>
      <w:r>
        <w:rPr>
          <w:rFonts w:hint="eastAsia"/>
          <w:snapToGrid w:val="0"/>
          <w:color w:val="auto"/>
          <w:highlight w:val="none"/>
          <w:lang w:eastAsia="zh-CN"/>
        </w:rPr>
        <w:br w:type="page"/>
      </w:r>
    </w:p>
    <w:p w14:paraId="29D98CD3">
      <w:pPr>
        <w:adjustRightInd w:val="0"/>
        <w:snapToGrid w:val="0"/>
        <w:spacing w:line="360" w:lineRule="auto"/>
        <w:ind w:firstLine="440" w:firstLineChars="200"/>
        <w:jc w:val="both"/>
        <w:rPr>
          <w:color w:val="auto"/>
          <w:highlight w:val="none"/>
          <w:lang w:eastAsia="zh-CN"/>
        </w:rPr>
      </w:pPr>
    </w:p>
    <w:p w14:paraId="2C953F9E">
      <w:pPr>
        <w:adjustRightInd w:val="0"/>
        <w:snapToGrid w:val="0"/>
        <w:spacing w:line="360" w:lineRule="auto"/>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
          <w:snapToGrid w:val="0"/>
          <w:color w:val="auto"/>
          <w:sz w:val="24"/>
          <w:szCs w:val="24"/>
          <w:highlight w:val="none"/>
          <w:lang w:eastAsia="zh-CN"/>
        </w:rPr>
        <w:t>附件5：</w:t>
      </w:r>
      <w:r>
        <w:rPr>
          <w:rFonts w:hint="eastAsia" w:ascii="宋体" w:hAnsi="宋体" w:eastAsia="宋体"/>
          <w:bCs/>
          <w:snapToGrid w:val="0"/>
          <w:color w:val="auto"/>
          <w:sz w:val="24"/>
          <w:szCs w:val="24"/>
          <w:highlight w:val="none"/>
          <w:u w:val="single"/>
          <w:lang w:eastAsia="zh-CN"/>
        </w:rPr>
        <w:t>基础资料和勘察设计任务书（另册）</w:t>
      </w:r>
    </w:p>
    <w:p w14:paraId="1AA4CA96">
      <w:pPr>
        <w:rPr>
          <w:rFonts w:hint="eastAsia" w:ascii="宋体" w:hAnsi="宋体" w:eastAsia="宋体"/>
          <w:bCs/>
          <w:snapToGrid w:val="0"/>
          <w:color w:val="auto"/>
          <w:sz w:val="24"/>
          <w:szCs w:val="24"/>
          <w:highlight w:val="none"/>
          <w:lang w:eastAsia="zh-CN"/>
        </w:rPr>
      </w:pPr>
    </w:p>
    <w:p w14:paraId="78A3F44C">
      <w:pPr>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附件6：</w:t>
      </w:r>
      <w:r>
        <w:rPr>
          <w:rFonts w:hint="eastAsia" w:ascii="宋体" w:hAnsi="宋体" w:eastAsia="宋体"/>
          <w:bCs/>
          <w:snapToGrid w:val="0"/>
          <w:color w:val="auto"/>
          <w:sz w:val="24"/>
          <w:szCs w:val="24"/>
          <w:highlight w:val="none"/>
          <w:lang w:eastAsia="zh-CN"/>
        </w:rPr>
        <w:t>乙方法定代表人、项目负责人的姓名、身份证复印件、职务、职称、联系方式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530"/>
        <w:gridCol w:w="2151"/>
        <w:gridCol w:w="1423"/>
        <w:gridCol w:w="1423"/>
        <w:gridCol w:w="1423"/>
        <w:gridCol w:w="1424"/>
      </w:tblGrid>
      <w:tr w14:paraId="6421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noWrap w:val="0"/>
            <w:vAlign w:val="center"/>
          </w:tcPr>
          <w:p w14:paraId="440991D0">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序号</w:t>
            </w:r>
          </w:p>
        </w:tc>
        <w:tc>
          <w:tcPr>
            <w:tcW w:w="2151" w:type="dxa"/>
            <w:noWrap w:val="0"/>
            <w:vAlign w:val="center"/>
          </w:tcPr>
          <w:p w14:paraId="5341CBE9">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姓名</w:t>
            </w:r>
          </w:p>
        </w:tc>
        <w:tc>
          <w:tcPr>
            <w:tcW w:w="1423" w:type="dxa"/>
            <w:noWrap w:val="0"/>
            <w:vAlign w:val="center"/>
          </w:tcPr>
          <w:p w14:paraId="530F8D67">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职务</w:t>
            </w:r>
          </w:p>
        </w:tc>
        <w:tc>
          <w:tcPr>
            <w:tcW w:w="1423" w:type="dxa"/>
            <w:noWrap w:val="0"/>
            <w:vAlign w:val="center"/>
          </w:tcPr>
          <w:p w14:paraId="43B4B342">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职称</w:t>
            </w:r>
          </w:p>
        </w:tc>
        <w:tc>
          <w:tcPr>
            <w:tcW w:w="1423" w:type="dxa"/>
            <w:noWrap w:val="0"/>
            <w:vAlign w:val="center"/>
          </w:tcPr>
          <w:p w14:paraId="6589D8CD">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联系方式</w:t>
            </w:r>
          </w:p>
        </w:tc>
        <w:tc>
          <w:tcPr>
            <w:tcW w:w="1424" w:type="dxa"/>
            <w:noWrap w:val="0"/>
            <w:vAlign w:val="center"/>
          </w:tcPr>
          <w:p w14:paraId="72B9326C">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备注</w:t>
            </w:r>
          </w:p>
        </w:tc>
      </w:tr>
      <w:tr w14:paraId="3292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8" w:type="dxa"/>
            <w:vMerge w:val="restart"/>
            <w:noWrap w:val="0"/>
            <w:vAlign w:val="center"/>
          </w:tcPr>
          <w:p w14:paraId="74FB0C28">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1</w:t>
            </w:r>
          </w:p>
        </w:tc>
        <w:tc>
          <w:tcPr>
            <w:tcW w:w="1530" w:type="dxa"/>
            <w:vMerge w:val="restart"/>
            <w:noWrap w:val="0"/>
            <w:vAlign w:val="center"/>
          </w:tcPr>
          <w:p w14:paraId="1D6AEED0">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法定代表人</w:t>
            </w:r>
          </w:p>
        </w:tc>
        <w:tc>
          <w:tcPr>
            <w:tcW w:w="2151" w:type="dxa"/>
            <w:noWrap w:val="0"/>
            <w:vAlign w:val="center"/>
          </w:tcPr>
          <w:p w14:paraId="75F59744">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（主）</w:t>
            </w:r>
          </w:p>
        </w:tc>
        <w:tc>
          <w:tcPr>
            <w:tcW w:w="1423" w:type="dxa"/>
            <w:noWrap w:val="0"/>
            <w:vAlign w:val="center"/>
          </w:tcPr>
          <w:p w14:paraId="0FF2DA05">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2E2149A6">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12406CC6">
            <w:pPr>
              <w:jc w:val="center"/>
              <w:rPr>
                <w:rFonts w:hint="eastAsia" w:ascii="宋体" w:hAnsi="宋体" w:eastAsia="宋体"/>
                <w:bCs/>
                <w:snapToGrid w:val="0"/>
                <w:color w:val="auto"/>
                <w:sz w:val="24"/>
                <w:szCs w:val="24"/>
                <w:highlight w:val="none"/>
                <w:u w:val="single"/>
                <w:lang w:eastAsia="zh-CN"/>
              </w:rPr>
            </w:pPr>
          </w:p>
        </w:tc>
        <w:tc>
          <w:tcPr>
            <w:tcW w:w="1424" w:type="dxa"/>
            <w:noWrap w:val="0"/>
            <w:vAlign w:val="top"/>
          </w:tcPr>
          <w:p w14:paraId="47D3F3C9">
            <w:pPr>
              <w:jc w:val="center"/>
              <w:rPr>
                <w:rFonts w:hint="eastAsia" w:ascii="宋体" w:hAnsi="宋体" w:eastAsia="宋体"/>
                <w:bCs/>
                <w:snapToGrid w:val="0"/>
                <w:color w:val="auto"/>
                <w:sz w:val="24"/>
                <w:szCs w:val="24"/>
                <w:highlight w:val="none"/>
                <w:u w:val="single"/>
                <w:lang w:eastAsia="zh-CN"/>
              </w:rPr>
            </w:pPr>
          </w:p>
        </w:tc>
      </w:tr>
      <w:tr w14:paraId="713A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8" w:type="dxa"/>
            <w:vMerge w:val="continue"/>
            <w:noWrap w:val="0"/>
            <w:vAlign w:val="center"/>
          </w:tcPr>
          <w:p w14:paraId="508A8B01">
            <w:pPr>
              <w:rPr>
                <w:color w:val="auto"/>
                <w:highlight w:val="none"/>
              </w:rPr>
            </w:pPr>
          </w:p>
        </w:tc>
        <w:tc>
          <w:tcPr>
            <w:tcW w:w="1530" w:type="dxa"/>
            <w:vMerge w:val="continue"/>
            <w:noWrap w:val="0"/>
            <w:vAlign w:val="center"/>
          </w:tcPr>
          <w:p w14:paraId="4DB17FC5">
            <w:pPr>
              <w:rPr>
                <w:color w:val="auto"/>
                <w:highlight w:val="none"/>
              </w:rPr>
            </w:pPr>
          </w:p>
        </w:tc>
        <w:tc>
          <w:tcPr>
            <w:tcW w:w="2151" w:type="dxa"/>
            <w:noWrap w:val="0"/>
            <w:vAlign w:val="center"/>
          </w:tcPr>
          <w:p w14:paraId="621DCEA3">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（成）</w:t>
            </w:r>
          </w:p>
        </w:tc>
        <w:tc>
          <w:tcPr>
            <w:tcW w:w="1423" w:type="dxa"/>
            <w:noWrap w:val="0"/>
            <w:vAlign w:val="center"/>
          </w:tcPr>
          <w:p w14:paraId="09A24A21">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1E5582CC">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788EE94D">
            <w:pPr>
              <w:jc w:val="center"/>
              <w:rPr>
                <w:rFonts w:hint="eastAsia" w:ascii="宋体" w:hAnsi="宋体" w:eastAsia="宋体"/>
                <w:bCs/>
                <w:snapToGrid w:val="0"/>
                <w:color w:val="auto"/>
                <w:sz w:val="24"/>
                <w:szCs w:val="24"/>
                <w:highlight w:val="none"/>
                <w:u w:val="single"/>
                <w:lang w:eastAsia="zh-CN"/>
              </w:rPr>
            </w:pPr>
          </w:p>
        </w:tc>
        <w:tc>
          <w:tcPr>
            <w:tcW w:w="1424" w:type="dxa"/>
            <w:noWrap w:val="0"/>
            <w:vAlign w:val="top"/>
          </w:tcPr>
          <w:p w14:paraId="737515D5">
            <w:pPr>
              <w:jc w:val="center"/>
              <w:rPr>
                <w:rFonts w:hint="eastAsia" w:ascii="宋体" w:hAnsi="宋体" w:eastAsia="宋体"/>
                <w:bCs/>
                <w:snapToGrid w:val="0"/>
                <w:color w:val="auto"/>
                <w:sz w:val="24"/>
                <w:szCs w:val="24"/>
                <w:highlight w:val="none"/>
                <w:u w:val="single"/>
                <w:lang w:eastAsia="zh-CN"/>
              </w:rPr>
            </w:pPr>
          </w:p>
        </w:tc>
      </w:tr>
      <w:tr w14:paraId="3AC3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8" w:type="dxa"/>
            <w:noWrap w:val="0"/>
            <w:vAlign w:val="center"/>
          </w:tcPr>
          <w:p w14:paraId="181599E2">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2</w:t>
            </w:r>
          </w:p>
        </w:tc>
        <w:tc>
          <w:tcPr>
            <w:tcW w:w="1530" w:type="dxa"/>
            <w:noWrap w:val="0"/>
            <w:vAlign w:val="center"/>
          </w:tcPr>
          <w:p w14:paraId="2D4D1EA0">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项目负责人</w:t>
            </w:r>
          </w:p>
        </w:tc>
        <w:tc>
          <w:tcPr>
            <w:tcW w:w="2151" w:type="dxa"/>
            <w:noWrap w:val="0"/>
            <w:vAlign w:val="center"/>
          </w:tcPr>
          <w:p w14:paraId="0A899901">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2E209B94">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71ED3004">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552A8620">
            <w:pPr>
              <w:jc w:val="center"/>
              <w:rPr>
                <w:rFonts w:hint="eastAsia" w:ascii="宋体" w:hAnsi="宋体" w:eastAsia="宋体"/>
                <w:bCs/>
                <w:snapToGrid w:val="0"/>
                <w:color w:val="auto"/>
                <w:sz w:val="24"/>
                <w:szCs w:val="24"/>
                <w:highlight w:val="none"/>
                <w:u w:val="single"/>
                <w:lang w:eastAsia="zh-CN"/>
              </w:rPr>
            </w:pPr>
          </w:p>
        </w:tc>
        <w:tc>
          <w:tcPr>
            <w:tcW w:w="1424" w:type="dxa"/>
            <w:noWrap w:val="0"/>
            <w:vAlign w:val="top"/>
          </w:tcPr>
          <w:p w14:paraId="52BE8752">
            <w:pPr>
              <w:jc w:val="center"/>
              <w:rPr>
                <w:rFonts w:hint="eastAsia" w:ascii="宋体" w:hAnsi="宋体" w:eastAsia="宋体"/>
                <w:bCs/>
                <w:snapToGrid w:val="0"/>
                <w:color w:val="auto"/>
                <w:sz w:val="24"/>
                <w:szCs w:val="24"/>
                <w:highlight w:val="none"/>
                <w:u w:val="single"/>
                <w:lang w:eastAsia="zh-CN"/>
              </w:rPr>
            </w:pPr>
          </w:p>
        </w:tc>
      </w:tr>
    </w:tbl>
    <w:p w14:paraId="1D6E26AC">
      <w:pPr>
        <w:ind w:firstLine="550" w:firstLineChars="250"/>
        <w:rPr>
          <w:rFonts w:eastAsia="宋体"/>
          <w:color w:val="auto"/>
          <w:highlight w:val="none"/>
          <w:lang w:eastAsia="zh-CN"/>
        </w:rPr>
      </w:pPr>
      <w:r>
        <w:rPr>
          <w:rFonts w:hint="eastAsia" w:eastAsia="宋体"/>
          <w:color w:val="auto"/>
          <w:highlight w:val="none"/>
          <w:lang w:eastAsia="zh-CN"/>
        </w:rPr>
        <w:t>（主）法定代表人——</w:t>
      </w:r>
    </w:p>
    <w:p w14:paraId="1E6E2386">
      <w:pPr>
        <w:ind w:firstLine="550" w:firstLineChars="250"/>
        <w:rPr>
          <w:rFonts w:eastAsia="宋体"/>
          <w:color w:val="auto"/>
          <w:highlight w:val="none"/>
          <w:lang w:eastAsia="zh-CN"/>
        </w:rPr>
      </w:pPr>
      <w:r>
        <w:rPr>
          <w:rFonts w:hint="eastAsia" w:eastAsia="宋体"/>
          <w:color w:val="auto"/>
          <w:highlight w:val="none"/>
          <w:lang w:eastAsia="zh-CN"/>
        </w:rPr>
        <w:t>（成）法定代表人——</w:t>
      </w:r>
    </w:p>
    <w:p w14:paraId="1C4FC1AA">
      <w:pPr>
        <w:ind w:firstLine="1210" w:firstLineChars="550"/>
        <w:rPr>
          <w:rFonts w:eastAsia="宋体"/>
          <w:color w:val="auto"/>
          <w:highlight w:val="none"/>
          <w:lang w:eastAsia="zh-CN"/>
        </w:rPr>
      </w:pPr>
      <w:r>
        <w:rPr>
          <w:rFonts w:hint="eastAsia" w:eastAsia="宋体"/>
          <w:color w:val="auto"/>
          <w:highlight w:val="none"/>
          <w:lang w:eastAsia="zh-CN"/>
        </w:rPr>
        <w:t>项目负责人——</w:t>
      </w:r>
    </w:p>
    <w:p w14:paraId="5325B660">
      <w:pPr>
        <w:rPr>
          <w:rFonts w:eastAsia="宋体"/>
          <w:color w:val="auto"/>
          <w:highlight w:val="none"/>
          <w:lang w:eastAsia="zh-CN"/>
        </w:rPr>
      </w:pPr>
    </w:p>
    <w:p w14:paraId="27F9BF1A">
      <w:pPr>
        <w:adjustRightInd w:val="0"/>
        <w:snapToGrid w:val="0"/>
        <w:spacing w:line="360" w:lineRule="auto"/>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附件7：</w:t>
      </w:r>
      <w:r>
        <w:rPr>
          <w:rFonts w:hint="eastAsia" w:ascii="宋体" w:hAnsi="宋体" w:eastAsia="宋体"/>
          <w:bCs/>
          <w:snapToGrid w:val="0"/>
          <w:color w:val="auto"/>
          <w:sz w:val="24"/>
          <w:szCs w:val="24"/>
          <w:highlight w:val="none"/>
          <w:lang w:eastAsia="zh-CN"/>
        </w:rPr>
        <w:t>中标通知书（复印件）</w:t>
      </w:r>
    </w:p>
    <w:p w14:paraId="7802F73D">
      <w:pPr>
        <w:adjustRightInd w:val="0"/>
        <w:snapToGrid w:val="0"/>
        <w:spacing w:line="36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附件8：</w:t>
      </w:r>
      <w:r>
        <w:rPr>
          <w:rFonts w:hint="eastAsia" w:ascii="宋体" w:hAnsi="宋体" w:eastAsia="宋体"/>
          <w:bCs/>
          <w:snapToGrid w:val="0"/>
          <w:color w:val="auto"/>
          <w:sz w:val="24"/>
          <w:szCs w:val="24"/>
          <w:highlight w:val="none"/>
          <w:lang w:eastAsia="zh-CN"/>
        </w:rPr>
        <w:t>本项目招标澄清、答疑文件（复印件）</w:t>
      </w:r>
    </w:p>
    <w:p w14:paraId="610FFDB9">
      <w:pPr>
        <w:pStyle w:val="27"/>
        <w:spacing w:after="0"/>
        <w:ind w:left="440" w:firstLine="400"/>
        <w:rPr>
          <w:rFonts w:hint="eastAsia"/>
          <w:color w:val="auto"/>
          <w:highlight w:val="none"/>
          <w:lang w:eastAsia="zh-CN"/>
        </w:rPr>
      </w:pPr>
    </w:p>
    <w:p w14:paraId="447A2379">
      <w:pPr>
        <w:adjustRightInd w:val="0"/>
        <w:snapToGrid w:val="0"/>
        <w:spacing w:line="360" w:lineRule="auto"/>
        <w:jc w:val="both"/>
        <w:rPr>
          <w:rFonts w:hint="eastAsia" w:ascii="宋体" w:eastAsia="宋体"/>
          <w:b/>
          <w:bCs/>
          <w:snapToGrid w:val="0"/>
          <w:color w:val="auto"/>
          <w:sz w:val="24"/>
          <w:szCs w:val="24"/>
          <w:highlight w:val="none"/>
          <w:lang w:eastAsia="zh-CN"/>
        </w:rPr>
      </w:pPr>
    </w:p>
    <w:p w14:paraId="0E68A4C8">
      <w:pPr>
        <w:adjustRightInd w:val="0"/>
        <w:snapToGrid w:val="0"/>
        <w:spacing w:line="360" w:lineRule="auto"/>
        <w:jc w:val="both"/>
        <w:rPr>
          <w:rFonts w:hint="eastAsia" w:ascii="宋体" w:eastAsia="宋体"/>
          <w:b/>
          <w:bCs/>
          <w:snapToGrid w:val="0"/>
          <w:color w:val="auto"/>
          <w:sz w:val="24"/>
          <w:szCs w:val="24"/>
          <w:highlight w:val="none"/>
          <w:lang w:eastAsia="zh-CN"/>
        </w:rPr>
      </w:pPr>
    </w:p>
    <w:p w14:paraId="6A2F8C1B">
      <w:pPr>
        <w:adjustRightInd w:val="0"/>
        <w:snapToGrid w:val="0"/>
        <w:spacing w:line="360" w:lineRule="auto"/>
        <w:jc w:val="both"/>
        <w:rPr>
          <w:rFonts w:hint="eastAsia" w:ascii="宋体" w:eastAsia="宋体"/>
          <w:b/>
          <w:bCs/>
          <w:snapToGrid w:val="0"/>
          <w:color w:val="auto"/>
          <w:sz w:val="24"/>
          <w:szCs w:val="24"/>
          <w:highlight w:val="none"/>
          <w:lang w:eastAsia="zh-CN"/>
        </w:rPr>
      </w:pPr>
    </w:p>
    <w:p w14:paraId="56BCF1E0">
      <w:pPr>
        <w:adjustRightInd w:val="0"/>
        <w:snapToGrid w:val="0"/>
        <w:spacing w:line="360" w:lineRule="auto"/>
        <w:jc w:val="both"/>
        <w:rPr>
          <w:rFonts w:hint="eastAsia" w:ascii="宋体" w:eastAsia="宋体"/>
          <w:b/>
          <w:bCs/>
          <w:snapToGrid w:val="0"/>
          <w:color w:val="auto"/>
          <w:sz w:val="24"/>
          <w:szCs w:val="24"/>
          <w:highlight w:val="none"/>
          <w:lang w:eastAsia="zh-CN"/>
        </w:rPr>
      </w:pPr>
    </w:p>
    <w:p w14:paraId="075EDFCE">
      <w:pPr>
        <w:adjustRightInd w:val="0"/>
        <w:snapToGrid w:val="0"/>
        <w:spacing w:line="360" w:lineRule="auto"/>
        <w:jc w:val="both"/>
        <w:rPr>
          <w:rFonts w:hint="eastAsia" w:ascii="宋体" w:eastAsia="宋体"/>
          <w:b/>
          <w:bCs/>
          <w:snapToGrid w:val="0"/>
          <w:color w:val="auto"/>
          <w:sz w:val="24"/>
          <w:szCs w:val="24"/>
          <w:highlight w:val="none"/>
          <w:lang w:eastAsia="zh-CN"/>
        </w:rPr>
      </w:pPr>
    </w:p>
    <w:p w14:paraId="25F4534B">
      <w:pPr>
        <w:adjustRightInd w:val="0"/>
        <w:snapToGrid w:val="0"/>
        <w:spacing w:line="360" w:lineRule="auto"/>
        <w:jc w:val="both"/>
        <w:rPr>
          <w:rFonts w:hint="eastAsia" w:ascii="宋体" w:eastAsia="宋体"/>
          <w:b/>
          <w:bCs/>
          <w:snapToGrid w:val="0"/>
          <w:color w:val="auto"/>
          <w:sz w:val="24"/>
          <w:szCs w:val="24"/>
          <w:highlight w:val="none"/>
          <w:lang w:eastAsia="zh-CN"/>
        </w:rPr>
      </w:pPr>
    </w:p>
    <w:p w14:paraId="0C3304AB">
      <w:pPr>
        <w:adjustRightInd w:val="0"/>
        <w:snapToGrid w:val="0"/>
        <w:spacing w:line="360" w:lineRule="auto"/>
        <w:jc w:val="both"/>
        <w:rPr>
          <w:rFonts w:hint="eastAsia" w:ascii="宋体" w:eastAsia="宋体"/>
          <w:b/>
          <w:bCs/>
          <w:snapToGrid w:val="0"/>
          <w:color w:val="auto"/>
          <w:sz w:val="24"/>
          <w:szCs w:val="24"/>
          <w:highlight w:val="none"/>
          <w:lang w:eastAsia="zh-CN"/>
        </w:rPr>
      </w:pPr>
    </w:p>
    <w:p w14:paraId="4F0552F4">
      <w:pPr>
        <w:adjustRightInd w:val="0"/>
        <w:snapToGrid w:val="0"/>
        <w:spacing w:line="360" w:lineRule="auto"/>
        <w:jc w:val="both"/>
        <w:rPr>
          <w:rFonts w:hint="eastAsia" w:ascii="宋体" w:eastAsia="宋体"/>
          <w:b/>
          <w:bCs/>
          <w:snapToGrid w:val="0"/>
          <w:color w:val="auto"/>
          <w:sz w:val="24"/>
          <w:szCs w:val="24"/>
          <w:highlight w:val="none"/>
          <w:lang w:eastAsia="zh-CN"/>
        </w:rPr>
      </w:pPr>
    </w:p>
    <w:p w14:paraId="4AF8954C">
      <w:pPr>
        <w:pStyle w:val="27"/>
        <w:spacing w:after="0"/>
        <w:ind w:left="440" w:firstLine="400"/>
        <w:rPr>
          <w:rFonts w:hint="eastAsia" w:eastAsia="宋体"/>
          <w:color w:val="auto"/>
          <w:highlight w:val="none"/>
          <w:lang w:eastAsia="zh-CN"/>
        </w:rPr>
      </w:pPr>
    </w:p>
    <w:p w14:paraId="1F127018">
      <w:pPr>
        <w:pStyle w:val="27"/>
        <w:spacing w:after="0"/>
        <w:ind w:left="440" w:firstLine="400"/>
        <w:rPr>
          <w:rFonts w:hint="eastAsia" w:eastAsia="宋体"/>
          <w:color w:val="auto"/>
          <w:highlight w:val="none"/>
          <w:lang w:eastAsia="zh-CN"/>
        </w:rPr>
      </w:pPr>
    </w:p>
    <w:p w14:paraId="305C6798">
      <w:pPr>
        <w:pStyle w:val="27"/>
        <w:spacing w:after="0"/>
        <w:ind w:left="440" w:firstLine="400"/>
        <w:rPr>
          <w:rFonts w:hint="eastAsia" w:eastAsia="宋体"/>
          <w:color w:val="auto"/>
          <w:highlight w:val="none"/>
          <w:lang w:eastAsia="zh-CN"/>
        </w:rPr>
      </w:pPr>
    </w:p>
    <w:p w14:paraId="33395092">
      <w:pPr>
        <w:adjustRightInd w:val="0"/>
        <w:snapToGrid w:val="0"/>
        <w:spacing w:line="360" w:lineRule="auto"/>
        <w:jc w:val="both"/>
        <w:rPr>
          <w:rFonts w:hint="eastAsia" w:ascii="宋体" w:eastAsia="宋体"/>
          <w:b/>
          <w:bCs/>
          <w:snapToGrid w:val="0"/>
          <w:color w:val="auto"/>
          <w:sz w:val="24"/>
          <w:szCs w:val="24"/>
          <w:highlight w:val="none"/>
          <w:lang w:eastAsia="zh-CN"/>
        </w:rPr>
      </w:pPr>
      <w:r>
        <w:rPr>
          <w:rFonts w:hint="eastAsia" w:ascii="宋体" w:eastAsia="宋体"/>
          <w:b/>
          <w:bCs/>
          <w:snapToGrid w:val="0"/>
          <w:color w:val="auto"/>
          <w:sz w:val="24"/>
          <w:szCs w:val="24"/>
          <w:highlight w:val="none"/>
          <w:lang w:eastAsia="zh-CN"/>
        </w:rPr>
        <w:br w:type="page"/>
      </w:r>
      <w:r>
        <w:rPr>
          <w:rFonts w:hint="eastAsia" w:ascii="宋体" w:eastAsia="宋体"/>
          <w:b/>
          <w:bCs/>
          <w:snapToGrid w:val="0"/>
          <w:color w:val="auto"/>
          <w:sz w:val="24"/>
          <w:szCs w:val="24"/>
          <w:highlight w:val="none"/>
          <w:lang w:eastAsia="zh-CN"/>
        </w:rPr>
        <w:t>附件9：</w:t>
      </w:r>
    </w:p>
    <w:tbl>
      <w:tblPr>
        <w:tblStyle w:val="28"/>
        <w:tblW w:w="10120" w:type="dxa"/>
        <w:tblInd w:w="0" w:type="dxa"/>
        <w:tblLayout w:type="fixed"/>
        <w:tblCellMar>
          <w:top w:w="0" w:type="dxa"/>
          <w:left w:w="108" w:type="dxa"/>
          <w:bottom w:w="0" w:type="dxa"/>
          <w:right w:w="108" w:type="dxa"/>
        </w:tblCellMar>
      </w:tblPr>
      <w:tblGrid>
        <w:gridCol w:w="1132"/>
        <w:gridCol w:w="6575"/>
        <w:gridCol w:w="1035"/>
        <w:gridCol w:w="672"/>
        <w:gridCol w:w="706"/>
      </w:tblGrid>
      <w:tr w14:paraId="2293CFCF">
        <w:tblPrEx>
          <w:tblCellMar>
            <w:top w:w="0" w:type="dxa"/>
            <w:left w:w="108" w:type="dxa"/>
            <w:bottom w:w="0" w:type="dxa"/>
            <w:right w:w="108" w:type="dxa"/>
          </w:tblCellMar>
        </w:tblPrEx>
        <w:trPr>
          <w:trHeight w:val="1212" w:hRule="atLeast"/>
        </w:trPr>
        <w:tc>
          <w:tcPr>
            <w:tcW w:w="10120" w:type="dxa"/>
            <w:gridSpan w:val="5"/>
            <w:tcBorders>
              <w:top w:val="nil"/>
              <w:left w:val="nil"/>
              <w:bottom w:val="single" w:color="auto" w:sz="4" w:space="0"/>
              <w:right w:val="nil"/>
            </w:tcBorders>
            <w:noWrap w:val="0"/>
            <w:vAlign w:val="center"/>
          </w:tcPr>
          <w:p w14:paraId="6B819C74">
            <w:pPr>
              <w:pStyle w:val="68"/>
              <w:widowControl/>
              <w:spacing w:line="240" w:lineRule="auto"/>
              <w:ind w:firstLine="0" w:firstLineChars="0"/>
              <w:jc w:val="center"/>
              <w:rPr>
                <w:b/>
                <w:color w:val="auto"/>
                <w:sz w:val="36"/>
                <w:szCs w:val="36"/>
                <w:highlight w:val="none"/>
              </w:rPr>
            </w:pPr>
            <w:r>
              <w:rPr>
                <w:b/>
                <w:color w:val="auto"/>
                <w:sz w:val="36"/>
                <w:szCs w:val="36"/>
                <w:highlight w:val="none"/>
              </w:rPr>
              <w:t>勘察单位综合考评评价表</w:t>
            </w:r>
          </w:p>
          <w:p w14:paraId="3A33A81C">
            <w:pPr>
              <w:widowControl/>
              <w:rPr>
                <w:rFonts w:ascii="仿宋" w:hAnsi="仿宋" w:cs="宋体"/>
                <w:b/>
                <w:bCs/>
                <w:color w:val="auto"/>
                <w:sz w:val="24"/>
                <w:highlight w:val="none"/>
                <w:u w:val="single"/>
                <w:lang w:eastAsia="zh-CN"/>
              </w:rPr>
            </w:pPr>
            <w:r>
              <w:rPr>
                <w:rFonts w:hint="eastAsia" w:ascii="仿宋" w:hAnsi="仿宋" w:cs="宋体"/>
                <w:b/>
                <w:bCs/>
                <w:color w:val="auto"/>
                <w:sz w:val="24"/>
                <w:highlight w:val="none"/>
                <w:lang w:eastAsia="zh-CN"/>
              </w:rPr>
              <w:t>勘察单位：</w:t>
            </w:r>
            <w:r>
              <w:rPr>
                <w:rFonts w:hint="eastAsia" w:ascii="仿宋" w:hAnsi="仿宋" w:cs="宋体"/>
                <w:b/>
                <w:bCs/>
                <w:color w:val="auto"/>
                <w:sz w:val="24"/>
                <w:highlight w:val="none"/>
                <w:u w:val="single"/>
                <w:lang w:eastAsia="zh-CN"/>
              </w:rPr>
              <w:t xml:space="preserve">    </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 xml:space="preserve">   </w:t>
            </w:r>
            <w:r>
              <w:rPr>
                <w:rFonts w:hint="eastAsia" w:ascii="仿宋" w:hAnsi="仿宋" w:cs="宋体"/>
                <w:b/>
                <w:bCs/>
                <w:color w:val="auto"/>
                <w:sz w:val="24"/>
                <w:highlight w:val="none"/>
                <w:lang w:eastAsia="zh-CN"/>
              </w:rPr>
              <w:t xml:space="preserve">  项目名称：</w:t>
            </w:r>
            <w:r>
              <w:rPr>
                <w:rFonts w:hint="eastAsia" w:ascii="仿宋" w:hAnsi="仿宋" w:cs="宋体"/>
                <w:b/>
                <w:bCs/>
                <w:color w:val="auto"/>
                <w:sz w:val="24"/>
                <w:highlight w:val="none"/>
                <w:u w:val="single"/>
                <w:lang w:eastAsia="zh-CN"/>
              </w:rPr>
              <w:t xml:space="preserve">    </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 xml:space="preserve">   </w:t>
            </w:r>
          </w:p>
          <w:p w14:paraId="7180BABD">
            <w:pPr>
              <w:widowControl/>
              <w:spacing w:after="156" w:afterLines="50"/>
              <w:rPr>
                <w:rFonts w:ascii="仿宋" w:hAnsi="仿宋"/>
                <w:b/>
                <w:bCs/>
                <w:color w:val="auto"/>
                <w:sz w:val="24"/>
                <w:highlight w:val="none"/>
                <w:u w:val="single"/>
                <w:lang w:eastAsia="zh-CN"/>
              </w:rPr>
            </w:pPr>
            <w:r>
              <w:rPr>
                <w:rFonts w:hint="eastAsia" w:ascii="仿宋" w:hAnsi="仿宋" w:cs="宋体"/>
                <w:b/>
                <w:bCs/>
                <w:color w:val="auto"/>
                <w:sz w:val="24"/>
                <w:highlight w:val="none"/>
                <w:lang w:eastAsia="zh-CN"/>
              </w:rPr>
              <w:t>合同编号：</w:t>
            </w:r>
            <w:r>
              <w:rPr>
                <w:rFonts w:hint="eastAsia" w:ascii="仿宋" w:hAnsi="仿宋" w:cs="宋体"/>
                <w:b/>
                <w:bCs/>
                <w:color w:val="auto"/>
                <w:sz w:val="24"/>
                <w:highlight w:val="none"/>
                <w:u w:val="single"/>
                <w:lang w:eastAsia="zh-CN"/>
              </w:rPr>
              <w:t xml:space="preserve">              </w:t>
            </w:r>
            <w:r>
              <w:rPr>
                <w:rFonts w:hint="eastAsia" w:ascii="仿宋" w:hAnsi="仿宋" w:cs="宋体"/>
                <w:b/>
                <w:bCs/>
                <w:color w:val="auto"/>
                <w:sz w:val="24"/>
                <w:highlight w:val="none"/>
                <w:lang w:eastAsia="zh-CN"/>
              </w:rPr>
              <w:t xml:space="preserve">  </w:t>
            </w:r>
            <w:r>
              <w:rPr>
                <w:rFonts w:hint="eastAsia" w:ascii="仿宋" w:hAnsi="仿宋"/>
                <w:b/>
                <w:bCs/>
                <w:color w:val="auto"/>
                <w:sz w:val="24"/>
                <w:highlight w:val="none"/>
                <w:lang w:eastAsia="zh-CN"/>
              </w:rPr>
              <w:t>考评期间：</w:t>
            </w:r>
            <w:r>
              <w:rPr>
                <w:rFonts w:hint="eastAsia" w:ascii="仿宋" w:hAnsi="仿宋" w:cs="宋体"/>
                <w:b/>
                <w:bCs/>
                <w:color w:val="auto"/>
                <w:sz w:val="24"/>
                <w:highlight w:val="none"/>
                <w:u w:val="single"/>
                <w:lang w:eastAsia="zh-CN"/>
              </w:rPr>
              <w:t xml:space="preserve">   </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 xml:space="preserve">  </w:t>
            </w:r>
            <w:r>
              <w:rPr>
                <w:rFonts w:hint="eastAsia" w:ascii="仿宋" w:hAnsi="仿宋" w:cs="宋体"/>
                <w:b/>
                <w:bCs/>
                <w:color w:val="auto"/>
                <w:sz w:val="24"/>
                <w:highlight w:val="none"/>
                <w:lang w:eastAsia="zh-CN"/>
              </w:rPr>
              <w:t xml:space="preserve">  </w:t>
            </w:r>
            <w:r>
              <w:rPr>
                <w:rFonts w:hint="eastAsia" w:ascii="仿宋" w:hAnsi="仿宋"/>
                <w:b/>
                <w:bCs/>
                <w:color w:val="auto"/>
                <w:sz w:val="24"/>
                <w:highlight w:val="none"/>
                <w:lang w:eastAsia="zh-CN"/>
              </w:rPr>
              <w:t>考评时间：</w:t>
            </w:r>
            <w:r>
              <w:rPr>
                <w:rFonts w:hint="eastAsia" w:ascii="仿宋" w:hAnsi="仿宋" w:cs="宋体"/>
                <w:b/>
                <w:bCs/>
                <w:color w:val="auto"/>
                <w:sz w:val="24"/>
                <w:highlight w:val="none"/>
                <w:u w:val="single"/>
                <w:lang w:eastAsia="zh-CN"/>
              </w:rPr>
              <w:t xml:space="preserve"> </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年</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月</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 xml:space="preserve">日 </w:t>
            </w:r>
          </w:p>
        </w:tc>
      </w:tr>
      <w:tr w14:paraId="0A6E5D86">
        <w:tblPrEx>
          <w:tblCellMar>
            <w:top w:w="0" w:type="dxa"/>
            <w:left w:w="108" w:type="dxa"/>
            <w:bottom w:w="0" w:type="dxa"/>
            <w:right w:w="108" w:type="dxa"/>
          </w:tblCellMar>
        </w:tblPrEx>
        <w:trPr>
          <w:trHeight w:val="842" w:hRule="atLeast"/>
        </w:trPr>
        <w:tc>
          <w:tcPr>
            <w:tcW w:w="1132" w:type="dxa"/>
            <w:tcBorders>
              <w:top w:val="nil"/>
              <w:left w:val="single" w:color="auto" w:sz="4" w:space="0"/>
              <w:bottom w:val="single" w:color="auto" w:sz="4" w:space="0"/>
              <w:right w:val="single" w:color="auto" w:sz="4" w:space="0"/>
            </w:tcBorders>
            <w:noWrap/>
            <w:vAlign w:val="center"/>
          </w:tcPr>
          <w:p w14:paraId="67DAE441">
            <w:pPr>
              <w:widowControl/>
              <w:jc w:val="center"/>
              <w:rPr>
                <w:rFonts w:ascii="仿宋" w:hAnsi="仿宋"/>
                <w:b/>
                <w:color w:val="auto"/>
                <w:szCs w:val="21"/>
                <w:highlight w:val="none"/>
              </w:rPr>
            </w:pPr>
            <w:r>
              <w:rPr>
                <w:rFonts w:ascii="仿宋" w:hAnsi="仿宋"/>
                <w:b/>
                <w:color w:val="auto"/>
                <w:szCs w:val="21"/>
                <w:highlight w:val="none"/>
              </w:rPr>
              <w:t>评价内容</w:t>
            </w:r>
          </w:p>
        </w:tc>
        <w:tc>
          <w:tcPr>
            <w:tcW w:w="6575" w:type="dxa"/>
            <w:tcBorders>
              <w:top w:val="nil"/>
              <w:left w:val="nil"/>
              <w:bottom w:val="single" w:color="auto" w:sz="4" w:space="0"/>
              <w:right w:val="single" w:color="auto" w:sz="4" w:space="0"/>
            </w:tcBorders>
            <w:noWrap w:val="0"/>
            <w:vAlign w:val="center"/>
          </w:tcPr>
          <w:p w14:paraId="342420BB">
            <w:pPr>
              <w:widowControl/>
              <w:jc w:val="center"/>
              <w:rPr>
                <w:rFonts w:ascii="仿宋" w:hAnsi="仿宋"/>
                <w:b/>
                <w:color w:val="auto"/>
                <w:szCs w:val="21"/>
                <w:highlight w:val="none"/>
              </w:rPr>
            </w:pPr>
            <w:r>
              <w:rPr>
                <w:rFonts w:ascii="仿宋" w:hAnsi="仿宋"/>
                <w:b/>
                <w:color w:val="auto"/>
                <w:szCs w:val="21"/>
                <w:highlight w:val="none"/>
              </w:rPr>
              <w:t>评价内容细则</w:t>
            </w:r>
          </w:p>
        </w:tc>
        <w:tc>
          <w:tcPr>
            <w:tcW w:w="1035" w:type="dxa"/>
            <w:tcBorders>
              <w:top w:val="nil"/>
              <w:left w:val="nil"/>
              <w:bottom w:val="single" w:color="auto" w:sz="4" w:space="0"/>
              <w:right w:val="single" w:color="auto" w:sz="4" w:space="0"/>
            </w:tcBorders>
            <w:noWrap w:val="0"/>
            <w:vAlign w:val="center"/>
          </w:tcPr>
          <w:p w14:paraId="172FB6F8">
            <w:pPr>
              <w:widowControl/>
              <w:jc w:val="center"/>
              <w:rPr>
                <w:rFonts w:ascii="仿宋" w:hAnsi="仿宋"/>
                <w:b/>
                <w:color w:val="auto"/>
                <w:szCs w:val="21"/>
                <w:highlight w:val="none"/>
              </w:rPr>
            </w:pPr>
            <w:r>
              <w:rPr>
                <w:rFonts w:ascii="仿宋" w:hAnsi="仿宋"/>
                <w:b/>
                <w:color w:val="auto"/>
                <w:szCs w:val="21"/>
                <w:highlight w:val="none"/>
              </w:rPr>
              <w:t>加、扣分及原因</w:t>
            </w:r>
          </w:p>
        </w:tc>
        <w:tc>
          <w:tcPr>
            <w:tcW w:w="672" w:type="dxa"/>
            <w:tcBorders>
              <w:top w:val="nil"/>
              <w:left w:val="nil"/>
              <w:bottom w:val="single" w:color="auto" w:sz="4" w:space="0"/>
              <w:right w:val="single" w:color="auto" w:sz="4" w:space="0"/>
            </w:tcBorders>
            <w:noWrap w:val="0"/>
            <w:vAlign w:val="center"/>
          </w:tcPr>
          <w:p w14:paraId="1753BC27">
            <w:pPr>
              <w:widowControl/>
              <w:jc w:val="center"/>
              <w:rPr>
                <w:rFonts w:ascii="仿宋" w:hAnsi="仿宋"/>
                <w:b/>
                <w:color w:val="auto"/>
                <w:szCs w:val="21"/>
                <w:highlight w:val="none"/>
              </w:rPr>
            </w:pPr>
            <w:r>
              <w:rPr>
                <w:rFonts w:ascii="仿宋" w:hAnsi="仿宋"/>
                <w:b/>
                <w:color w:val="auto"/>
                <w:szCs w:val="21"/>
                <w:highlight w:val="none"/>
              </w:rPr>
              <w:t>本项</w:t>
            </w:r>
          </w:p>
          <w:p w14:paraId="1442261F">
            <w:pPr>
              <w:widowControl/>
              <w:jc w:val="center"/>
              <w:rPr>
                <w:rFonts w:ascii="仿宋" w:hAnsi="仿宋"/>
                <w:b/>
                <w:color w:val="auto"/>
                <w:szCs w:val="21"/>
                <w:highlight w:val="none"/>
              </w:rPr>
            </w:pPr>
            <w:r>
              <w:rPr>
                <w:rFonts w:ascii="仿宋" w:hAnsi="仿宋"/>
                <w:b/>
                <w:color w:val="auto"/>
                <w:szCs w:val="21"/>
                <w:highlight w:val="none"/>
              </w:rPr>
              <w:t>得分</w:t>
            </w:r>
          </w:p>
        </w:tc>
        <w:tc>
          <w:tcPr>
            <w:tcW w:w="706" w:type="dxa"/>
            <w:tcBorders>
              <w:top w:val="nil"/>
              <w:left w:val="nil"/>
              <w:bottom w:val="single" w:color="auto" w:sz="4" w:space="0"/>
              <w:right w:val="single" w:color="auto" w:sz="4" w:space="0"/>
            </w:tcBorders>
            <w:noWrap w:val="0"/>
            <w:vAlign w:val="center"/>
          </w:tcPr>
          <w:p w14:paraId="7DA4E89E">
            <w:pPr>
              <w:widowControl/>
              <w:jc w:val="center"/>
              <w:rPr>
                <w:rFonts w:ascii="仿宋" w:hAnsi="仿宋"/>
                <w:b/>
                <w:color w:val="auto"/>
                <w:szCs w:val="21"/>
                <w:highlight w:val="none"/>
              </w:rPr>
            </w:pPr>
            <w:r>
              <w:rPr>
                <w:rFonts w:ascii="仿宋" w:hAnsi="仿宋"/>
                <w:b/>
                <w:color w:val="auto"/>
                <w:szCs w:val="21"/>
                <w:highlight w:val="none"/>
              </w:rPr>
              <w:t>备注</w:t>
            </w:r>
          </w:p>
        </w:tc>
      </w:tr>
      <w:tr w14:paraId="0624859D">
        <w:tblPrEx>
          <w:tblCellMar>
            <w:top w:w="0" w:type="dxa"/>
            <w:left w:w="108" w:type="dxa"/>
            <w:bottom w:w="0" w:type="dxa"/>
            <w:right w:w="108" w:type="dxa"/>
          </w:tblCellMar>
        </w:tblPrEx>
        <w:trPr>
          <w:trHeight w:val="2784" w:hRule="atLeast"/>
        </w:trPr>
        <w:tc>
          <w:tcPr>
            <w:tcW w:w="1132" w:type="dxa"/>
            <w:tcBorders>
              <w:top w:val="nil"/>
              <w:left w:val="single" w:color="auto" w:sz="4" w:space="0"/>
              <w:bottom w:val="single" w:color="auto" w:sz="4" w:space="0"/>
              <w:right w:val="single" w:color="auto" w:sz="4" w:space="0"/>
            </w:tcBorders>
            <w:noWrap/>
            <w:vAlign w:val="center"/>
          </w:tcPr>
          <w:p w14:paraId="5310A13C">
            <w:pPr>
              <w:widowControl/>
              <w:jc w:val="center"/>
              <w:rPr>
                <w:rFonts w:ascii="仿宋" w:hAnsi="仿宋"/>
                <w:bCs/>
                <w:color w:val="auto"/>
                <w:szCs w:val="21"/>
                <w:highlight w:val="none"/>
                <w:lang w:eastAsia="zh-CN"/>
              </w:rPr>
            </w:pPr>
            <w:r>
              <w:rPr>
                <w:rFonts w:ascii="仿宋" w:hAnsi="仿宋"/>
                <w:b/>
                <w:bCs/>
                <w:color w:val="auto"/>
                <w:szCs w:val="21"/>
                <w:highlight w:val="none"/>
                <w:lang w:eastAsia="zh-CN"/>
              </w:rPr>
              <w:t>一、总体要求、人员配置（15分）</w:t>
            </w:r>
          </w:p>
        </w:tc>
        <w:tc>
          <w:tcPr>
            <w:tcW w:w="6575" w:type="dxa"/>
            <w:tcBorders>
              <w:top w:val="nil"/>
              <w:left w:val="nil"/>
              <w:bottom w:val="single" w:color="auto" w:sz="4" w:space="0"/>
              <w:right w:val="single" w:color="auto" w:sz="4" w:space="0"/>
            </w:tcBorders>
            <w:noWrap w:val="0"/>
            <w:vAlign w:val="center"/>
          </w:tcPr>
          <w:p w14:paraId="4016156E">
            <w:pPr>
              <w:pStyle w:val="69"/>
              <w:widowControl/>
              <w:numPr>
                <w:ilvl w:val="0"/>
                <w:numId w:val="3"/>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因本项目勘察问题被约谈</w:t>
            </w:r>
            <w:r>
              <w:rPr>
                <w:rFonts w:hint="eastAsia" w:ascii="仿宋" w:hAnsi="仿宋"/>
                <w:color w:val="auto"/>
                <w:sz w:val="21"/>
                <w:szCs w:val="21"/>
                <w:highlight w:val="none"/>
                <w:lang w:eastAsia="zh-CN"/>
              </w:rPr>
              <w:t>或通报批评</w:t>
            </w:r>
            <w:r>
              <w:rPr>
                <w:rFonts w:ascii="仿宋" w:hAnsi="仿宋"/>
                <w:color w:val="auto"/>
                <w:sz w:val="21"/>
                <w:szCs w:val="21"/>
                <w:highlight w:val="none"/>
                <w:lang w:eastAsia="zh-CN"/>
              </w:rPr>
              <w:t>的，</w:t>
            </w:r>
            <w:r>
              <w:rPr>
                <w:rFonts w:hint="eastAsia" w:ascii="仿宋" w:hAnsi="仿宋"/>
                <w:color w:val="auto"/>
                <w:sz w:val="21"/>
                <w:szCs w:val="21"/>
                <w:highlight w:val="none"/>
                <w:lang w:eastAsia="zh-CN"/>
              </w:rPr>
              <w:t>按本细则相应条款扣分</w:t>
            </w:r>
            <w:r>
              <w:rPr>
                <w:rFonts w:ascii="仿宋" w:hAnsi="仿宋"/>
                <w:color w:val="auto"/>
                <w:sz w:val="21"/>
                <w:szCs w:val="21"/>
                <w:highlight w:val="none"/>
                <w:lang w:eastAsia="zh-CN"/>
              </w:rPr>
              <w:t>。</w:t>
            </w:r>
          </w:p>
          <w:p w14:paraId="05F0E859">
            <w:pPr>
              <w:pStyle w:val="69"/>
              <w:widowControl/>
              <w:numPr>
                <w:ilvl w:val="0"/>
                <w:numId w:val="3"/>
              </w:numPr>
              <w:ind w:firstLine="0"/>
              <w:jc w:val="both"/>
              <w:rPr>
                <w:rFonts w:ascii="仿宋" w:hAnsi="仿宋"/>
                <w:color w:val="auto"/>
                <w:sz w:val="21"/>
                <w:szCs w:val="21"/>
                <w:highlight w:val="none"/>
                <w:lang w:eastAsia="zh-CN"/>
              </w:rPr>
            </w:pPr>
            <w:r>
              <w:rPr>
                <w:rFonts w:hint="eastAsia" w:ascii="仿宋" w:hAnsi="仿宋"/>
                <w:color w:val="auto"/>
                <w:sz w:val="21"/>
                <w:szCs w:val="21"/>
                <w:highlight w:val="none"/>
                <w:lang w:eastAsia="zh-CN"/>
              </w:rPr>
              <w:t>勘察单位</w:t>
            </w:r>
            <w:r>
              <w:rPr>
                <w:rFonts w:ascii="仿宋" w:hAnsi="仿宋"/>
                <w:color w:val="auto"/>
                <w:sz w:val="21"/>
                <w:szCs w:val="21"/>
                <w:highlight w:val="none"/>
                <w:lang w:eastAsia="zh-CN"/>
              </w:rPr>
              <w:t>未合理制定勘察方案</w:t>
            </w:r>
            <w:r>
              <w:rPr>
                <w:rFonts w:hint="eastAsia" w:ascii="仿宋" w:hAnsi="仿宋"/>
                <w:color w:val="auto"/>
                <w:sz w:val="21"/>
                <w:szCs w:val="21"/>
                <w:highlight w:val="none"/>
                <w:lang w:eastAsia="zh-CN"/>
              </w:rPr>
              <w:t>导致</w:t>
            </w:r>
            <w:r>
              <w:rPr>
                <w:rFonts w:ascii="仿宋" w:hAnsi="仿宋"/>
                <w:color w:val="auto"/>
                <w:sz w:val="21"/>
                <w:szCs w:val="21"/>
                <w:highlight w:val="none"/>
                <w:lang w:eastAsia="zh-CN"/>
              </w:rPr>
              <w:t>勘察费用超合同限价，扣3</w:t>
            </w:r>
            <w:r>
              <w:rPr>
                <w:rFonts w:hint="eastAsia" w:ascii="仿宋" w:hAnsi="仿宋" w:cs="宋体"/>
                <w:color w:val="auto"/>
                <w:sz w:val="21"/>
                <w:szCs w:val="21"/>
                <w:highlight w:val="none"/>
                <w:lang w:eastAsia="zh-CN"/>
              </w:rPr>
              <w:t>～</w:t>
            </w:r>
            <w:r>
              <w:rPr>
                <w:rFonts w:ascii="仿宋" w:hAnsi="仿宋"/>
                <w:color w:val="auto"/>
                <w:sz w:val="21"/>
                <w:szCs w:val="21"/>
                <w:highlight w:val="none"/>
                <w:lang w:eastAsia="zh-CN"/>
              </w:rPr>
              <w:t>5分。</w:t>
            </w:r>
          </w:p>
          <w:p w14:paraId="593E1F9C">
            <w:pPr>
              <w:pStyle w:val="69"/>
              <w:widowControl/>
              <w:numPr>
                <w:ilvl w:val="0"/>
                <w:numId w:val="3"/>
              </w:numPr>
              <w:ind w:firstLine="0"/>
              <w:jc w:val="both"/>
              <w:rPr>
                <w:rFonts w:ascii="仿宋" w:hAnsi="仿宋"/>
                <w:color w:val="auto"/>
                <w:sz w:val="21"/>
                <w:szCs w:val="21"/>
                <w:highlight w:val="none"/>
                <w:lang w:eastAsia="zh-CN"/>
              </w:rPr>
            </w:pPr>
            <w:r>
              <w:rPr>
                <w:rFonts w:hint="eastAsia" w:ascii="仿宋" w:hAnsi="仿宋"/>
                <w:color w:val="auto"/>
                <w:sz w:val="21"/>
                <w:szCs w:val="21"/>
                <w:highlight w:val="none"/>
                <w:lang w:eastAsia="zh-CN"/>
              </w:rPr>
              <w:t>未经业主同意</w:t>
            </w:r>
            <w:r>
              <w:rPr>
                <w:rFonts w:ascii="仿宋" w:hAnsi="仿宋"/>
                <w:color w:val="auto"/>
                <w:sz w:val="21"/>
                <w:szCs w:val="21"/>
                <w:highlight w:val="none"/>
                <w:lang w:eastAsia="zh-CN"/>
              </w:rPr>
              <w:t>擅自更换履约人员，扣2分</w:t>
            </w:r>
            <w:r>
              <w:rPr>
                <w:rFonts w:hint="eastAsia" w:ascii="仿宋" w:hAnsi="仿宋"/>
                <w:bCs/>
                <w:color w:val="auto"/>
                <w:sz w:val="21"/>
                <w:szCs w:val="21"/>
                <w:highlight w:val="none"/>
                <w:lang w:eastAsia="zh-CN"/>
              </w:rPr>
              <w:t>/</w:t>
            </w:r>
            <w:r>
              <w:rPr>
                <w:rFonts w:ascii="仿宋" w:hAnsi="仿宋"/>
                <w:color w:val="auto"/>
                <w:sz w:val="21"/>
                <w:szCs w:val="21"/>
                <w:highlight w:val="none"/>
                <w:lang w:eastAsia="zh-CN"/>
              </w:rPr>
              <w:t>人</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；更换履约人员，扣1分</w:t>
            </w:r>
            <w:r>
              <w:rPr>
                <w:rFonts w:hint="eastAsia" w:ascii="仿宋" w:hAnsi="仿宋"/>
                <w:bCs/>
                <w:color w:val="auto"/>
                <w:sz w:val="21"/>
                <w:szCs w:val="21"/>
                <w:highlight w:val="none"/>
                <w:lang w:eastAsia="zh-CN"/>
              </w:rPr>
              <w:t>/</w:t>
            </w:r>
            <w:r>
              <w:rPr>
                <w:rFonts w:ascii="仿宋" w:hAnsi="仿宋"/>
                <w:color w:val="auto"/>
                <w:sz w:val="21"/>
                <w:szCs w:val="21"/>
                <w:highlight w:val="none"/>
                <w:lang w:eastAsia="zh-CN"/>
              </w:rPr>
              <w:t>人</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w:t>
            </w:r>
          </w:p>
          <w:p w14:paraId="2D372EB9">
            <w:pPr>
              <w:pStyle w:val="69"/>
              <w:widowControl/>
              <w:numPr>
                <w:ilvl w:val="0"/>
                <w:numId w:val="3"/>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未按</w:t>
            </w:r>
            <w:r>
              <w:rPr>
                <w:rFonts w:hint="eastAsia" w:ascii="仿宋" w:hAnsi="仿宋"/>
                <w:color w:val="auto"/>
                <w:sz w:val="21"/>
                <w:szCs w:val="21"/>
                <w:highlight w:val="none"/>
                <w:lang w:eastAsia="zh-CN"/>
              </w:rPr>
              <w:t>业主</w:t>
            </w:r>
            <w:r>
              <w:rPr>
                <w:rFonts w:ascii="仿宋" w:hAnsi="仿宋"/>
                <w:color w:val="auto"/>
                <w:sz w:val="21"/>
                <w:szCs w:val="21"/>
                <w:highlight w:val="none"/>
                <w:lang w:eastAsia="zh-CN"/>
              </w:rPr>
              <w:t>要求更换勘察人员，每逾期1天扣0.5分。</w:t>
            </w:r>
          </w:p>
          <w:p w14:paraId="2BCB22F6">
            <w:pPr>
              <w:pStyle w:val="69"/>
              <w:widowControl/>
              <w:numPr>
                <w:ilvl w:val="0"/>
                <w:numId w:val="3"/>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勘察文件没有相关责任人签字盖章或签字盖章弄虚作假，扣1分</w:t>
            </w:r>
            <w:r>
              <w:rPr>
                <w:rFonts w:hint="eastAsia" w:ascii="仿宋" w:hAnsi="仿宋"/>
                <w:bCs/>
                <w:color w:val="auto"/>
                <w:sz w:val="21"/>
                <w:szCs w:val="21"/>
                <w:highlight w:val="none"/>
                <w:lang w:eastAsia="zh-CN"/>
              </w:rPr>
              <w:t>/</w:t>
            </w:r>
            <w:r>
              <w:rPr>
                <w:rFonts w:hint="eastAsia" w:ascii="仿宋" w:hAnsi="仿宋"/>
                <w:color w:val="auto"/>
                <w:sz w:val="21"/>
                <w:szCs w:val="21"/>
                <w:highlight w:val="none"/>
                <w:lang w:eastAsia="zh-CN"/>
              </w:rPr>
              <w:t>处</w:t>
            </w:r>
            <w:r>
              <w:rPr>
                <w:rFonts w:ascii="仿宋" w:hAnsi="仿宋"/>
                <w:color w:val="auto"/>
                <w:sz w:val="21"/>
                <w:szCs w:val="21"/>
                <w:highlight w:val="none"/>
                <w:lang w:eastAsia="zh-CN"/>
              </w:rPr>
              <w:t>。</w:t>
            </w:r>
          </w:p>
          <w:p w14:paraId="322B8860">
            <w:pPr>
              <w:pStyle w:val="69"/>
              <w:widowControl/>
              <w:numPr>
                <w:ilvl w:val="0"/>
                <w:numId w:val="3"/>
              </w:numPr>
              <w:ind w:firstLine="0"/>
              <w:jc w:val="both"/>
              <w:rPr>
                <w:rFonts w:ascii="仿宋" w:hAnsi="仿宋"/>
                <w:color w:val="auto"/>
                <w:sz w:val="21"/>
                <w:szCs w:val="21"/>
                <w:highlight w:val="none"/>
                <w:lang w:eastAsia="zh-CN"/>
              </w:rPr>
            </w:pPr>
            <w:r>
              <w:rPr>
                <w:rFonts w:ascii="仿宋" w:hAnsi="仿宋"/>
                <w:bCs/>
                <w:color w:val="auto"/>
                <w:sz w:val="21"/>
                <w:szCs w:val="21"/>
                <w:highlight w:val="none"/>
                <w:lang w:eastAsia="zh-CN"/>
              </w:rPr>
              <w:t>勘察人违反廉洁工作要求，存在谋取不正当利益或向相关人员输送不正当利益等行为，扣5分</w:t>
            </w:r>
            <w:r>
              <w:rPr>
                <w:rFonts w:hint="eastAsia" w:ascii="仿宋" w:hAnsi="仿宋"/>
                <w:bCs/>
                <w:color w:val="auto"/>
                <w:sz w:val="21"/>
                <w:szCs w:val="21"/>
                <w:highlight w:val="none"/>
                <w:lang w:eastAsia="zh-CN"/>
              </w:rPr>
              <w:t>/</w:t>
            </w:r>
            <w:r>
              <w:rPr>
                <w:rFonts w:ascii="仿宋" w:hAnsi="仿宋"/>
                <w:color w:val="auto"/>
                <w:sz w:val="21"/>
                <w:szCs w:val="21"/>
                <w:highlight w:val="none"/>
                <w:lang w:eastAsia="zh-CN"/>
              </w:rPr>
              <w:t>人</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tc>
        <w:tc>
          <w:tcPr>
            <w:tcW w:w="1035" w:type="dxa"/>
            <w:tcBorders>
              <w:top w:val="nil"/>
              <w:left w:val="nil"/>
              <w:bottom w:val="single" w:color="auto" w:sz="4" w:space="0"/>
              <w:right w:val="single" w:color="auto" w:sz="4" w:space="0"/>
            </w:tcBorders>
            <w:noWrap w:val="0"/>
            <w:vAlign w:val="center"/>
          </w:tcPr>
          <w:p w14:paraId="09E84E8B">
            <w:pPr>
              <w:widowControl/>
              <w:jc w:val="center"/>
              <w:rPr>
                <w:rFonts w:ascii="仿宋" w:hAnsi="仿宋"/>
                <w:bCs/>
                <w:color w:val="auto"/>
                <w:szCs w:val="21"/>
                <w:highlight w:val="none"/>
                <w:lang w:eastAsia="zh-CN"/>
              </w:rPr>
            </w:pPr>
          </w:p>
        </w:tc>
        <w:tc>
          <w:tcPr>
            <w:tcW w:w="672" w:type="dxa"/>
            <w:tcBorders>
              <w:top w:val="nil"/>
              <w:left w:val="nil"/>
              <w:bottom w:val="single" w:color="auto" w:sz="4" w:space="0"/>
              <w:right w:val="single" w:color="auto" w:sz="4" w:space="0"/>
            </w:tcBorders>
            <w:noWrap w:val="0"/>
            <w:vAlign w:val="center"/>
          </w:tcPr>
          <w:p w14:paraId="06B9FAF9">
            <w:pPr>
              <w:widowControl/>
              <w:jc w:val="center"/>
              <w:rPr>
                <w:rFonts w:ascii="仿宋" w:hAnsi="仿宋"/>
                <w:bCs/>
                <w:color w:val="auto"/>
                <w:szCs w:val="21"/>
                <w:highlight w:val="none"/>
                <w:lang w:eastAsia="zh-CN"/>
              </w:rPr>
            </w:pPr>
          </w:p>
        </w:tc>
        <w:tc>
          <w:tcPr>
            <w:tcW w:w="706" w:type="dxa"/>
            <w:tcBorders>
              <w:top w:val="nil"/>
              <w:left w:val="nil"/>
              <w:bottom w:val="single" w:color="auto" w:sz="4" w:space="0"/>
              <w:right w:val="single" w:color="auto" w:sz="4" w:space="0"/>
            </w:tcBorders>
            <w:noWrap w:val="0"/>
            <w:vAlign w:val="center"/>
          </w:tcPr>
          <w:p w14:paraId="43568BCC">
            <w:pPr>
              <w:widowControl/>
              <w:jc w:val="center"/>
              <w:rPr>
                <w:rFonts w:ascii="仿宋" w:hAnsi="仿宋"/>
                <w:bCs/>
                <w:color w:val="auto"/>
                <w:szCs w:val="21"/>
                <w:highlight w:val="none"/>
              </w:rPr>
            </w:pPr>
            <w:r>
              <w:rPr>
                <w:rFonts w:ascii="仿宋" w:hAnsi="仿宋"/>
                <w:bCs/>
                <w:color w:val="auto"/>
                <w:szCs w:val="21"/>
                <w:highlight w:val="none"/>
              </w:rPr>
              <w:t>4~5项扣分上限5分。</w:t>
            </w:r>
          </w:p>
        </w:tc>
      </w:tr>
      <w:tr w14:paraId="482CF4F3">
        <w:tblPrEx>
          <w:tblCellMar>
            <w:top w:w="0" w:type="dxa"/>
            <w:left w:w="108" w:type="dxa"/>
            <w:bottom w:w="0" w:type="dxa"/>
            <w:right w:w="108" w:type="dxa"/>
          </w:tblCellMar>
        </w:tblPrEx>
        <w:trPr>
          <w:trHeight w:val="3985" w:hRule="atLeast"/>
        </w:trPr>
        <w:tc>
          <w:tcPr>
            <w:tcW w:w="1132" w:type="dxa"/>
            <w:tcBorders>
              <w:top w:val="single" w:color="auto" w:sz="4" w:space="0"/>
              <w:left w:val="single" w:color="auto" w:sz="4" w:space="0"/>
              <w:bottom w:val="single" w:color="auto" w:sz="4" w:space="0"/>
              <w:right w:val="single" w:color="auto" w:sz="4" w:space="0"/>
            </w:tcBorders>
            <w:noWrap/>
            <w:vAlign w:val="center"/>
          </w:tcPr>
          <w:p w14:paraId="276EEC0C">
            <w:pPr>
              <w:widowControl/>
              <w:jc w:val="center"/>
              <w:rPr>
                <w:rFonts w:ascii="仿宋" w:hAnsi="仿宋"/>
                <w:b/>
                <w:bCs/>
                <w:color w:val="auto"/>
                <w:szCs w:val="21"/>
                <w:highlight w:val="none"/>
                <w:lang w:eastAsia="zh-CN"/>
              </w:rPr>
            </w:pPr>
            <w:r>
              <w:rPr>
                <w:rFonts w:ascii="仿宋" w:hAnsi="仿宋"/>
                <w:b/>
                <w:bCs/>
                <w:color w:val="auto"/>
                <w:szCs w:val="21"/>
                <w:highlight w:val="none"/>
                <w:lang w:eastAsia="zh-CN"/>
              </w:rPr>
              <w:t>二、现场勘察工作（30分）</w:t>
            </w:r>
          </w:p>
        </w:tc>
        <w:tc>
          <w:tcPr>
            <w:tcW w:w="6575" w:type="dxa"/>
            <w:tcBorders>
              <w:top w:val="nil"/>
              <w:left w:val="nil"/>
              <w:bottom w:val="single" w:color="auto" w:sz="4" w:space="0"/>
              <w:right w:val="single" w:color="auto" w:sz="4" w:space="0"/>
            </w:tcBorders>
            <w:noWrap w:val="0"/>
            <w:vAlign w:val="center"/>
          </w:tcPr>
          <w:p w14:paraId="72F55186">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缺勘察、物探大纲扣2分，缺技术交底扣1分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201CD97D">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未按勘察、物探大纲、技术交底要求，进行勘察、物探工作，扣2分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1B63A130">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未按计划要求办理占用道路、水域的，或需占用堤岸、管线、地铁、铁路保护范围的手续，扣2分</w:t>
            </w:r>
            <w:r>
              <w:rPr>
                <w:rFonts w:hint="eastAsia" w:ascii="仿宋" w:hAnsi="仿宋"/>
                <w:bCs/>
                <w:color w:val="auto"/>
                <w:sz w:val="21"/>
                <w:szCs w:val="21"/>
                <w:highlight w:val="none"/>
                <w:lang w:eastAsia="zh-CN"/>
              </w:rPr>
              <w:t>/</w:t>
            </w:r>
            <w:r>
              <w:rPr>
                <w:rFonts w:ascii="仿宋" w:hAnsi="仿宋"/>
                <w:bCs/>
                <w:color w:val="auto"/>
                <w:sz w:val="21"/>
                <w:szCs w:val="21"/>
                <w:highlight w:val="none"/>
                <w:lang w:eastAsia="zh-CN"/>
              </w:rPr>
              <w:t>项。</w:t>
            </w:r>
          </w:p>
          <w:p w14:paraId="27643098">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未定期对勘察作业人员进行安全生产教育和安全生产操作技能培训，扣1分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54AE59C4">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缺勘察工作进度台账、试验台账，扣2分</w:t>
            </w:r>
            <w:r>
              <w:rPr>
                <w:rFonts w:hint="eastAsia" w:ascii="仿宋" w:hAnsi="仿宋"/>
                <w:bCs/>
                <w:color w:val="auto"/>
                <w:sz w:val="21"/>
                <w:szCs w:val="21"/>
                <w:highlight w:val="none"/>
                <w:lang w:eastAsia="zh-CN"/>
              </w:rPr>
              <w:t>/</w:t>
            </w:r>
            <w:r>
              <w:rPr>
                <w:rFonts w:ascii="仿宋" w:hAnsi="仿宋"/>
                <w:bCs/>
                <w:color w:val="auto"/>
                <w:sz w:val="21"/>
                <w:szCs w:val="21"/>
                <w:highlight w:val="none"/>
                <w:lang w:eastAsia="zh-CN"/>
              </w:rPr>
              <w:t>项。</w:t>
            </w:r>
          </w:p>
          <w:p w14:paraId="530852B5">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未按相关规定落实现场安全文明施工的，机组未悬挂安全操作规程，进入现场人员未佩戴安全帽，扣1分</w:t>
            </w:r>
            <w:r>
              <w:rPr>
                <w:rFonts w:hint="eastAsia" w:ascii="仿宋" w:hAnsi="仿宋"/>
                <w:bCs/>
                <w:color w:val="auto"/>
                <w:sz w:val="21"/>
                <w:szCs w:val="21"/>
                <w:highlight w:val="none"/>
                <w:lang w:eastAsia="zh-CN"/>
              </w:rPr>
              <w:t>/</w:t>
            </w:r>
            <w:r>
              <w:rPr>
                <w:rFonts w:ascii="仿宋" w:hAnsi="仿宋"/>
                <w:bCs/>
                <w:color w:val="auto"/>
                <w:sz w:val="21"/>
                <w:szCs w:val="21"/>
                <w:highlight w:val="none"/>
                <w:lang w:eastAsia="zh-CN"/>
              </w:rPr>
              <w:t>人。</w:t>
            </w:r>
          </w:p>
          <w:p w14:paraId="44646CD5">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原始记录、现场钻孔照片和现场取样不真实准确、不完整，或存在追记或补记情况的，扣2分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58ED35D6">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勘察开孔、终孔、现场物探未及时报送建设单位现场验收，扣1分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12B2F5AB">
            <w:pPr>
              <w:pStyle w:val="69"/>
              <w:widowControl/>
              <w:numPr>
                <w:ilvl w:val="0"/>
                <w:numId w:val="4"/>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未按建设单位要求配置足够勘察设备，每延迟1天扣1分。</w:t>
            </w:r>
          </w:p>
        </w:tc>
        <w:tc>
          <w:tcPr>
            <w:tcW w:w="1035" w:type="dxa"/>
            <w:tcBorders>
              <w:top w:val="nil"/>
              <w:left w:val="nil"/>
              <w:bottom w:val="single" w:color="auto" w:sz="4" w:space="0"/>
              <w:right w:val="single" w:color="auto" w:sz="4" w:space="0"/>
            </w:tcBorders>
            <w:noWrap w:val="0"/>
            <w:vAlign w:val="center"/>
          </w:tcPr>
          <w:p w14:paraId="322269EB">
            <w:pPr>
              <w:widowControl/>
              <w:jc w:val="center"/>
              <w:rPr>
                <w:rFonts w:ascii="仿宋" w:hAnsi="仿宋"/>
                <w:bCs/>
                <w:color w:val="auto"/>
                <w:szCs w:val="21"/>
                <w:highlight w:val="none"/>
                <w:lang w:eastAsia="zh-CN"/>
              </w:rPr>
            </w:pPr>
          </w:p>
        </w:tc>
        <w:tc>
          <w:tcPr>
            <w:tcW w:w="672" w:type="dxa"/>
            <w:tcBorders>
              <w:top w:val="nil"/>
              <w:left w:val="nil"/>
              <w:bottom w:val="single" w:color="auto" w:sz="4" w:space="0"/>
              <w:right w:val="single" w:color="auto" w:sz="4" w:space="0"/>
            </w:tcBorders>
            <w:noWrap w:val="0"/>
            <w:vAlign w:val="center"/>
          </w:tcPr>
          <w:p w14:paraId="2E24D3A2">
            <w:pPr>
              <w:widowControl/>
              <w:jc w:val="center"/>
              <w:rPr>
                <w:rFonts w:ascii="仿宋" w:hAnsi="仿宋"/>
                <w:bCs/>
                <w:color w:val="auto"/>
                <w:szCs w:val="21"/>
                <w:highlight w:val="none"/>
                <w:lang w:eastAsia="zh-CN"/>
              </w:rPr>
            </w:pPr>
          </w:p>
        </w:tc>
        <w:tc>
          <w:tcPr>
            <w:tcW w:w="706" w:type="dxa"/>
            <w:tcBorders>
              <w:top w:val="nil"/>
              <w:left w:val="nil"/>
              <w:bottom w:val="single" w:color="auto" w:sz="4" w:space="0"/>
              <w:right w:val="single" w:color="auto" w:sz="4" w:space="0"/>
            </w:tcBorders>
            <w:noWrap w:val="0"/>
            <w:vAlign w:val="center"/>
          </w:tcPr>
          <w:p w14:paraId="278DA3D4">
            <w:pPr>
              <w:widowControl/>
              <w:jc w:val="center"/>
              <w:rPr>
                <w:rFonts w:ascii="仿宋" w:hAnsi="仿宋"/>
                <w:bCs/>
                <w:color w:val="auto"/>
                <w:szCs w:val="21"/>
                <w:highlight w:val="none"/>
              </w:rPr>
            </w:pPr>
            <w:r>
              <w:rPr>
                <w:rFonts w:ascii="仿宋" w:hAnsi="仿宋"/>
                <w:bCs/>
                <w:color w:val="auto"/>
                <w:szCs w:val="21"/>
                <w:highlight w:val="none"/>
              </w:rPr>
              <w:t>6~9项扣分上限5分。</w:t>
            </w:r>
          </w:p>
        </w:tc>
      </w:tr>
      <w:tr w14:paraId="654F5440">
        <w:tblPrEx>
          <w:tblCellMar>
            <w:top w:w="0" w:type="dxa"/>
            <w:left w:w="108" w:type="dxa"/>
            <w:bottom w:w="0" w:type="dxa"/>
            <w:right w:w="108" w:type="dxa"/>
          </w:tblCellMar>
        </w:tblPrEx>
        <w:trPr>
          <w:trHeight w:val="719" w:hRule="atLeast"/>
        </w:trPr>
        <w:tc>
          <w:tcPr>
            <w:tcW w:w="1132" w:type="dxa"/>
            <w:tcBorders>
              <w:top w:val="single" w:color="auto" w:sz="4" w:space="0"/>
              <w:left w:val="single" w:color="auto" w:sz="4" w:space="0"/>
              <w:bottom w:val="single" w:color="auto" w:sz="4" w:space="0"/>
              <w:right w:val="single" w:color="auto" w:sz="4" w:space="0"/>
            </w:tcBorders>
            <w:noWrap/>
            <w:vAlign w:val="center"/>
          </w:tcPr>
          <w:p w14:paraId="531E9841">
            <w:pPr>
              <w:rPr>
                <w:rFonts w:ascii="仿宋" w:hAnsi="仿宋"/>
                <w:b/>
                <w:bCs/>
                <w:color w:val="auto"/>
                <w:szCs w:val="21"/>
                <w:highlight w:val="none"/>
              </w:rPr>
            </w:pPr>
            <w:r>
              <w:rPr>
                <w:rFonts w:ascii="仿宋" w:hAnsi="仿宋"/>
                <w:b/>
                <w:bCs/>
                <w:color w:val="auto"/>
                <w:szCs w:val="21"/>
                <w:highlight w:val="none"/>
              </w:rPr>
              <w:t>三、勘察成果（20分）</w:t>
            </w:r>
          </w:p>
        </w:tc>
        <w:tc>
          <w:tcPr>
            <w:tcW w:w="6575" w:type="dxa"/>
            <w:tcBorders>
              <w:top w:val="single" w:color="auto" w:sz="4" w:space="0"/>
              <w:left w:val="nil"/>
              <w:bottom w:val="single" w:color="auto" w:sz="4" w:space="0"/>
              <w:right w:val="single" w:color="auto" w:sz="4" w:space="0"/>
            </w:tcBorders>
            <w:noWrap w:val="0"/>
            <w:vAlign w:val="center"/>
          </w:tcPr>
          <w:p w14:paraId="22F30D6B">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勘察成果资料（含工程测量和物探）编制深度不符合规范要求，内容不完整，扣1分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4A1734C6">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勘察人弄虚作假提供虚假工程勘察资料（含工程测量和物探），扣3分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5CF46516">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因勘察单位原因，未通过初步设计、施工图的专家评审、审查不过关，扣5分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70F7F6A7">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勘察资料采用过期资料和规范，扣2分。</w:t>
            </w:r>
          </w:p>
          <w:p w14:paraId="5C8818AE">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勘察资料装订不完整，存在漏页漏章情况，勘察报告前后矛盾，扣1分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，扣分上限5分。</w:t>
            </w:r>
          </w:p>
          <w:p w14:paraId="2EE210F5">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因勘察原因造成的各类质量、安全事故，扣2分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，扣分上限10分。</w:t>
            </w:r>
          </w:p>
        </w:tc>
        <w:tc>
          <w:tcPr>
            <w:tcW w:w="1035" w:type="dxa"/>
            <w:tcBorders>
              <w:top w:val="single" w:color="auto" w:sz="4" w:space="0"/>
              <w:left w:val="nil"/>
              <w:bottom w:val="single" w:color="auto" w:sz="4" w:space="0"/>
              <w:right w:val="single" w:color="auto" w:sz="4" w:space="0"/>
            </w:tcBorders>
            <w:noWrap w:val="0"/>
            <w:vAlign w:val="center"/>
          </w:tcPr>
          <w:p w14:paraId="0C88B1D0">
            <w:pPr>
              <w:jc w:val="center"/>
              <w:rPr>
                <w:rFonts w:ascii="仿宋" w:hAnsi="仿宋"/>
                <w:bCs/>
                <w:color w:val="auto"/>
                <w:szCs w:val="21"/>
                <w:highlight w:val="none"/>
                <w:lang w:eastAsia="zh-CN"/>
              </w:rPr>
            </w:pPr>
          </w:p>
        </w:tc>
        <w:tc>
          <w:tcPr>
            <w:tcW w:w="672" w:type="dxa"/>
            <w:tcBorders>
              <w:top w:val="single" w:color="auto" w:sz="4" w:space="0"/>
              <w:left w:val="nil"/>
              <w:bottom w:val="single" w:color="auto" w:sz="4" w:space="0"/>
              <w:right w:val="single" w:color="auto" w:sz="4" w:space="0"/>
            </w:tcBorders>
            <w:noWrap w:val="0"/>
            <w:vAlign w:val="center"/>
          </w:tcPr>
          <w:p w14:paraId="2705C940">
            <w:pPr>
              <w:jc w:val="center"/>
              <w:rPr>
                <w:rFonts w:ascii="仿宋" w:hAnsi="仿宋"/>
                <w:bCs/>
                <w:color w:val="auto"/>
                <w:szCs w:val="21"/>
                <w:highlight w:val="none"/>
                <w:lang w:eastAsia="zh-CN"/>
              </w:rPr>
            </w:pPr>
          </w:p>
        </w:tc>
        <w:tc>
          <w:tcPr>
            <w:tcW w:w="706" w:type="dxa"/>
            <w:tcBorders>
              <w:top w:val="single" w:color="auto" w:sz="4" w:space="0"/>
              <w:left w:val="nil"/>
              <w:bottom w:val="single" w:color="auto" w:sz="4" w:space="0"/>
              <w:right w:val="single" w:color="auto" w:sz="4" w:space="0"/>
            </w:tcBorders>
            <w:noWrap w:val="0"/>
            <w:vAlign w:val="center"/>
          </w:tcPr>
          <w:p w14:paraId="13BAF282">
            <w:pPr>
              <w:jc w:val="center"/>
              <w:rPr>
                <w:rFonts w:ascii="仿宋" w:hAnsi="仿宋"/>
                <w:bCs/>
                <w:color w:val="auto"/>
                <w:szCs w:val="21"/>
                <w:highlight w:val="none"/>
                <w:lang w:eastAsia="zh-CN"/>
              </w:rPr>
            </w:pPr>
          </w:p>
        </w:tc>
      </w:tr>
      <w:tr w14:paraId="2C92577B">
        <w:tblPrEx>
          <w:tblCellMar>
            <w:top w:w="0" w:type="dxa"/>
            <w:left w:w="108" w:type="dxa"/>
            <w:bottom w:w="0" w:type="dxa"/>
            <w:right w:w="108" w:type="dxa"/>
          </w:tblCellMar>
        </w:tblPrEx>
        <w:trPr>
          <w:trHeight w:val="1380" w:hRule="atLeast"/>
        </w:trPr>
        <w:tc>
          <w:tcPr>
            <w:tcW w:w="1132" w:type="dxa"/>
            <w:tcBorders>
              <w:top w:val="single" w:color="auto" w:sz="4" w:space="0"/>
              <w:left w:val="single" w:color="auto" w:sz="4" w:space="0"/>
              <w:bottom w:val="single" w:color="auto" w:sz="4" w:space="0"/>
              <w:right w:val="single" w:color="auto" w:sz="4" w:space="0"/>
            </w:tcBorders>
            <w:noWrap/>
            <w:vAlign w:val="center"/>
          </w:tcPr>
          <w:p w14:paraId="7B164733">
            <w:pPr>
              <w:widowControl/>
              <w:rPr>
                <w:rFonts w:ascii="仿宋" w:hAnsi="仿宋"/>
                <w:b/>
                <w:bCs/>
                <w:color w:val="auto"/>
                <w:szCs w:val="21"/>
                <w:highlight w:val="none"/>
              </w:rPr>
            </w:pPr>
            <w:r>
              <w:rPr>
                <w:rFonts w:ascii="仿宋" w:hAnsi="仿宋"/>
                <w:b/>
                <w:bCs/>
                <w:color w:val="auto"/>
                <w:szCs w:val="21"/>
                <w:highlight w:val="none"/>
              </w:rPr>
              <w:t>四、勘察进度（15分）</w:t>
            </w:r>
          </w:p>
        </w:tc>
        <w:tc>
          <w:tcPr>
            <w:tcW w:w="6575" w:type="dxa"/>
            <w:tcBorders>
              <w:top w:val="single" w:color="auto" w:sz="4" w:space="0"/>
              <w:left w:val="nil"/>
              <w:bottom w:val="single" w:color="auto" w:sz="4" w:space="0"/>
              <w:right w:val="single" w:color="auto" w:sz="4" w:space="0"/>
            </w:tcBorders>
            <w:noWrap w:val="0"/>
            <w:vAlign w:val="center"/>
          </w:tcPr>
          <w:p w14:paraId="78DC994A">
            <w:pPr>
              <w:pStyle w:val="69"/>
              <w:widowControl/>
              <w:numPr>
                <w:ilvl w:val="0"/>
                <w:numId w:val="6"/>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未及时提交勘察计划，每延迟1天扣0.5分，扣分上限3分。</w:t>
            </w:r>
          </w:p>
          <w:p w14:paraId="49D6AD27">
            <w:pPr>
              <w:pStyle w:val="69"/>
              <w:widowControl/>
              <w:numPr>
                <w:ilvl w:val="0"/>
                <w:numId w:val="6"/>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未按计划要求进行勘察工作，每延迟1天扣0.5分，扣分上限6分。</w:t>
            </w:r>
          </w:p>
          <w:p w14:paraId="7AAA80E3">
            <w:pPr>
              <w:pStyle w:val="69"/>
              <w:widowControl/>
              <w:numPr>
                <w:ilvl w:val="0"/>
                <w:numId w:val="6"/>
              </w:numPr>
              <w:ind w:firstLine="0"/>
              <w:jc w:val="both"/>
              <w:rPr>
                <w:rFonts w:ascii="仿宋" w:hAnsi="仿宋"/>
                <w:bCs/>
                <w:color w:val="auto"/>
                <w:sz w:val="21"/>
                <w:szCs w:val="21"/>
                <w:highlight w:val="none"/>
                <w:lang w:eastAsia="zh-CN"/>
              </w:rPr>
            </w:pPr>
            <w:r>
              <w:rPr>
                <w:rFonts w:ascii="仿宋" w:hAnsi="仿宋"/>
                <w:color w:val="auto"/>
                <w:sz w:val="21"/>
                <w:szCs w:val="21"/>
                <w:highlight w:val="none"/>
                <w:lang w:eastAsia="zh-CN"/>
              </w:rPr>
              <w:t>未按建设单位要求及时进行现场补勘的，每延迟1天扣0.5分</w:t>
            </w:r>
            <w:r>
              <w:rPr>
                <w:rFonts w:ascii="仿宋" w:hAnsi="仿宋"/>
                <w:bCs/>
                <w:color w:val="auto"/>
                <w:sz w:val="21"/>
                <w:szCs w:val="21"/>
                <w:highlight w:val="none"/>
                <w:lang w:eastAsia="zh-CN"/>
              </w:rPr>
              <w:t>，扣分上限6分。</w:t>
            </w:r>
          </w:p>
        </w:tc>
        <w:tc>
          <w:tcPr>
            <w:tcW w:w="1035" w:type="dxa"/>
            <w:tcBorders>
              <w:top w:val="single" w:color="auto" w:sz="4" w:space="0"/>
              <w:left w:val="nil"/>
              <w:bottom w:val="single" w:color="auto" w:sz="4" w:space="0"/>
              <w:right w:val="single" w:color="auto" w:sz="4" w:space="0"/>
            </w:tcBorders>
            <w:noWrap w:val="0"/>
            <w:vAlign w:val="center"/>
          </w:tcPr>
          <w:p w14:paraId="3F436FD1">
            <w:pPr>
              <w:widowControl/>
              <w:jc w:val="center"/>
              <w:rPr>
                <w:rFonts w:ascii="仿宋" w:hAnsi="仿宋"/>
                <w:bCs/>
                <w:color w:val="auto"/>
                <w:szCs w:val="21"/>
                <w:highlight w:val="none"/>
                <w:lang w:eastAsia="zh-CN"/>
              </w:rPr>
            </w:pPr>
          </w:p>
        </w:tc>
        <w:tc>
          <w:tcPr>
            <w:tcW w:w="672" w:type="dxa"/>
            <w:tcBorders>
              <w:top w:val="single" w:color="auto" w:sz="4" w:space="0"/>
              <w:left w:val="nil"/>
              <w:bottom w:val="single" w:color="auto" w:sz="4" w:space="0"/>
              <w:right w:val="single" w:color="auto" w:sz="4" w:space="0"/>
            </w:tcBorders>
            <w:noWrap w:val="0"/>
            <w:vAlign w:val="center"/>
          </w:tcPr>
          <w:p w14:paraId="102FA772">
            <w:pPr>
              <w:widowControl/>
              <w:jc w:val="center"/>
              <w:rPr>
                <w:rFonts w:ascii="仿宋" w:hAnsi="仿宋"/>
                <w:bCs/>
                <w:color w:val="auto"/>
                <w:szCs w:val="21"/>
                <w:highlight w:val="none"/>
                <w:lang w:eastAsia="zh-CN"/>
              </w:rPr>
            </w:pPr>
          </w:p>
        </w:tc>
        <w:tc>
          <w:tcPr>
            <w:tcW w:w="706" w:type="dxa"/>
            <w:tcBorders>
              <w:top w:val="single" w:color="auto" w:sz="4" w:space="0"/>
              <w:left w:val="nil"/>
              <w:bottom w:val="single" w:color="auto" w:sz="4" w:space="0"/>
              <w:right w:val="single" w:color="auto" w:sz="4" w:space="0"/>
            </w:tcBorders>
            <w:noWrap w:val="0"/>
            <w:vAlign w:val="center"/>
          </w:tcPr>
          <w:p w14:paraId="09D1F904">
            <w:pPr>
              <w:widowControl/>
              <w:jc w:val="center"/>
              <w:rPr>
                <w:rFonts w:ascii="仿宋" w:hAnsi="仿宋"/>
                <w:bCs/>
                <w:color w:val="auto"/>
                <w:szCs w:val="21"/>
                <w:highlight w:val="none"/>
                <w:lang w:eastAsia="zh-CN"/>
              </w:rPr>
            </w:pPr>
          </w:p>
        </w:tc>
      </w:tr>
      <w:tr w14:paraId="0B3A3ACE">
        <w:tblPrEx>
          <w:tblCellMar>
            <w:top w:w="0" w:type="dxa"/>
            <w:left w:w="108" w:type="dxa"/>
            <w:bottom w:w="0" w:type="dxa"/>
            <w:right w:w="108" w:type="dxa"/>
          </w:tblCellMar>
        </w:tblPrEx>
        <w:trPr>
          <w:trHeight w:val="1923" w:hRule="atLeast"/>
        </w:trPr>
        <w:tc>
          <w:tcPr>
            <w:tcW w:w="1132" w:type="dxa"/>
            <w:tcBorders>
              <w:top w:val="single" w:color="auto" w:sz="4" w:space="0"/>
              <w:left w:val="single" w:color="auto" w:sz="4" w:space="0"/>
              <w:bottom w:val="nil"/>
              <w:right w:val="single" w:color="auto" w:sz="4" w:space="0"/>
            </w:tcBorders>
            <w:noWrap w:val="0"/>
            <w:vAlign w:val="center"/>
          </w:tcPr>
          <w:p w14:paraId="708B6CF7">
            <w:pPr>
              <w:widowControl/>
              <w:rPr>
                <w:rFonts w:ascii="仿宋" w:hAnsi="仿宋"/>
                <w:b/>
                <w:color w:val="auto"/>
                <w:szCs w:val="21"/>
                <w:highlight w:val="none"/>
              </w:rPr>
            </w:pPr>
            <w:r>
              <w:rPr>
                <w:rFonts w:ascii="仿宋" w:hAnsi="仿宋"/>
                <w:b/>
                <w:color w:val="auto"/>
                <w:szCs w:val="21"/>
                <w:highlight w:val="none"/>
              </w:rPr>
              <w:t>五、信访投诉（10分）</w:t>
            </w:r>
          </w:p>
        </w:tc>
        <w:tc>
          <w:tcPr>
            <w:tcW w:w="6575" w:type="dxa"/>
            <w:tcBorders>
              <w:top w:val="single" w:color="auto" w:sz="4" w:space="0"/>
              <w:left w:val="nil"/>
              <w:bottom w:val="single" w:color="auto" w:sz="4" w:space="0"/>
              <w:right w:val="single" w:color="auto" w:sz="4" w:space="0"/>
            </w:tcBorders>
            <w:noWrap w:val="0"/>
            <w:vAlign w:val="center"/>
          </w:tcPr>
          <w:p w14:paraId="19B6CA6B">
            <w:pPr>
              <w:pStyle w:val="69"/>
              <w:widowControl/>
              <w:numPr>
                <w:ilvl w:val="0"/>
                <w:numId w:val="7"/>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发生工人上访或群体性抗议，扣10分/次。</w:t>
            </w:r>
          </w:p>
          <w:p w14:paraId="1A55C05D">
            <w:pPr>
              <w:pStyle w:val="69"/>
              <w:widowControl/>
              <w:numPr>
                <w:ilvl w:val="0"/>
                <w:numId w:val="7"/>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收到政府热线转办函，或者媒体曝光、行政通报且造成社会不良影响的，扣6分/次。</w:t>
            </w:r>
          </w:p>
          <w:p w14:paraId="62774636">
            <w:pPr>
              <w:pStyle w:val="69"/>
              <w:widowControl/>
              <w:numPr>
                <w:ilvl w:val="0"/>
                <w:numId w:val="7"/>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交警、城管、交通局等部门的占道施工责令整改通知书或投诉，扣3分/次。</w:t>
            </w:r>
          </w:p>
          <w:p w14:paraId="3CE833D5">
            <w:pPr>
              <w:pStyle w:val="69"/>
              <w:widowControl/>
              <w:numPr>
                <w:ilvl w:val="0"/>
                <w:numId w:val="7"/>
              </w:numPr>
              <w:ind w:firstLine="0"/>
              <w:jc w:val="both"/>
              <w:rPr>
                <w:rFonts w:ascii="仿宋" w:hAnsi="仿宋"/>
                <w:bCs/>
                <w:color w:val="auto"/>
                <w:sz w:val="21"/>
                <w:szCs w:val="21"/>
                <w:highlight w:val="none"/>
                <w:lang w:eastAsia="zh-CN"/>
              </w:rPr>
            </w:pPr>
            <w:r>
              <w:rPr>
                <w:rFonts w:ascii="仿宋" w:hAnsi="仿宋"/>
                <w:color w:val="auto"/>
                <w:sz w:val="21"/>
                <w:szCs w:val="21"/>
                <w:highlight w:val="none"/>
                <w:lang w:eastAsia="zh-CN"/>
              </w:rPr>
              <w:t>业主收到安全文明施工方面的其他社会投诉，扣2分/次。</w:t>
            </w:r>
          </w:p>
        </w:tc>
        <w:tc>
          <w:tcPr>
            <w:tcW w:w="1035" w:type="dxa"/>
            <w:tcBorders>
              <w:top w:val="single" w:color="auto" w:sz="4" w:space="0"/>
              <w:left w:val="nil"/>
              <w:bottom w:val="single" w:color="auto" w:sz="4" w:space="0"/>
              <w:right w:val="single" w:color="auto" w:sz="4" w:space="0"/>
            </w:tcBorders>
            <w:noWrap w:val="0"/>
            <w:vAlign w:val="center"/>
          </w:tcPr>
          <w:p w14:paraId="2E2B9868">
            <w:pPr>
              <w:widowControl/>
              <w:jc w:val="center"/>
              <w:rPr>
                <w:rFonts w:ascii="仿宋" w:hAnsi="仿宋"/>
                <w:bCs/>
                <w:color w:val="auto"/>
                <w:szCs w:val="21"/>
                <w:highlight w:val="none"/>
                <w:lang w:eastAsia="zh-CN"/>
              </w:rPr>
            </w:pPr>
          </w:p>
        </w:tc>
        <w:tc>
          <w:tcPr>
            <w:tcW w:w="672" w:type="dxa"/>
            <w:tcBorders>
              <w:top w:val="single" w:color="auto" w:sz="4" w:space="0"/>
              <w:left w:val="nil"/>
              <w:bottom w:val="single" w:color="auto" w:sz="4" w:space="0"/>
              <w:right w:val="single" w:color="auto" w:sz="4" w:space="0"/>
            </w:tcBorders>
            <w:noWrap w:val="0"/>
            <w:vAlign w:val="center"/>
          </w:tcPr>
          <w:p w14:paraId="155FD81E">
            <w:pPr>
              <w:widowControl/>
              <w:jc w:val="center"/>
              <w:rPr>
                <w:rFonts w:ascii="仿宋" w:hAnsi="仿宋"/>
                <w:bCs/>
                <w:color w:val="auto"/>
                <w:szCs w:val="21"/>
                <w:highlight w:val="none"/>
                <w:lang w:eastAsia="zh-CN"/>
              </w:rPr>
            </w:pPr>
          </w:p>
        </w:tc>
        <w:tc>
          <w:tcPr>
            <w:tcW w:w="706" w:type="dxa"/>
            <w:tcBorders>
              <w:top w:val="single" w:color="auto" w:sz="4" w:space="0"/>
              <w:left w:val="nil"/>
              <w:bottom w:val="single" w:color="auto" w:sz="4" w:space="0"/>
              <w:right w:val="single" w:color="auto" w:sz="4" w:space="0"/>
            </w:tcBorders>
            <w:noWrap w:val="0"/>
            <w:vAlign w:val="center"/>
          </w:tcPr>
          <w:p w14:paraId="21AE1971">
            <w:pPr>
              <w:widowControl/>
              <w:rPr>
                <w:rFonts w:ascii="仿宋" w:hAnsi="仿宋"/>
                <w:bCs/>
                <w:color w:val="auto"/>
                <w:szCs w:val="21"/>
                <w:highlight w:val="none"/>
                <w:lang w:eastAsia="zh-CN"/>
              </w:rPr>
            </w:pPr>
          </w:p>
        </w:tc>
      </w:tr>
      <w:tr w14:paraId="16A6077E">
        <w:tblPrEx>
          <w:tblCellMar>
            <w:top w:w="0" w:type="dxa"/>
            <w:left w:w="108" w:type="dxa"/>
            <w:bottom w:w="0" w:type="dxa"/>
            <w:right w:w="108" w:type="dxa"/>
          </w:tblCellMar>
        </w:tblPrEx>
        <w:trPr>
          <w:trHeight w:val="1661" w:hRule="atLeast"/>
        </w:trPr>
        <w:tc>
          <w:tcPr>
            <w:tcW w:w="1132" w:type="dxa"/>
            <w:tcBorders>
              <w:top w:val="single" w:color="auto" w:sz="4" w:space="0"/>
              <w:left w:val="single" w:color="auto" w:sz="4" w:space="0"/>
              <w:bottom w:val="nil"/>
              <w:right w:val="single" w:color="auto" w:sz="4" w:space="0"/>
            </w:tcBorders>
            <w:noWrap w:val="0"/>
            <w:vAlign w:val="center"/>
          </w:tcPr>
          <w:p w14:paraId="07CC96AB">
            <w:pPr>
              <w:widowControl/>
              <w:rPr>
                <w:rFonts w:ascii="仿宋" w:hAnsi="仿宋"/>
                <w:b/>
                <w:color w:val="auto"/>
                <w:szCs w:val="21"/>
                <w:highlight w:val="none"/>
                <w:lang w:eastAsia="zh-CN"/>
              </w:rPr>
            </w:pPr>
            <w:r>
              <w:rPr>
                <w:rFonts w:ascii="仿宋" w:hAnsi="仿宋"/>
                <w:b/>
                <w:color w:val="auto"/>
                <w:szCs w:val="21"/>
                <w:highlight w:val="none"/>
                <w:lang w:eastAsia="zh-CN"/>
              </w:rPr>
              <w:t>六、信息及档案管理（10分）</w:t>
            </w:r>
          </w:p>
        </w:tc>
        <w:tc>
          <w:tcPr>
            <w:tcW w:w="6575" w:type="dxa"/>
            <w:tcBorders>
              <w:top w:val="single" w:color="auto" w:sz="4" w:space="0"/>
              <w:left w:val="nil"/>
              <w:bottom w:val="single" w:color="auto" w:sz="4" w:space="0"/>
              <w:right w:val="single" w:color="auto" w:sz="4" w:space="0"/>
            </w:tcBorders>
            <w:noWrap w:val="0"/>
            <w:vAlign w:val="center"/>
          </w:tcPr>
          <w:p w14:paraId="452D2202">
            <w:pPr>
              <w:pStyle w:val="69"/>
              <w:widowControl/>
              <w:numPr>
                <w:ilvl w:val="0"/>
                <w:numId w:val="8"/>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集团通知的文件未在2日内及时领取，扣0.5分</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w:t>
            </w:r>
          </w:p>
          <w:p w14:paraId="087B9FF2">
            <w:pPr>
              <w:pStyle w:val="69"/>
              <w:widowControl/>
              <w:numPr>
                <w:ilvl w:val="0"/>
                <w:numId w:val="8"/>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勘察文件未能及时完成归档，扣1分</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w:t>
            </w:r>
          </w:p>
          <w:p w14:paraId="0BC8E9ED">
            <w:pPr>
              <w:pStyle w:val="69"/>
              <w:widowControl/>
              <w:numPr>
                <w:ilvl w:val="0"/>
                <w:numId w:val="8"/>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勘察文件未按照文件编制统一规定或工联单要求格式进行编制、装订、提交的，扣1分</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w:t>
            </w:r>
          </w:p>
          <w:p w14:paraId="17832E5A">
            <w:pPr>
              <w:pStyle w:val="69"/>
              <w:widowControl/>
              <w:numPr>
                <w:ilvl w:val="0"/>
                <w:numId w:val="8"/>
              </w:numPr>
              <w:ind w:firstLine="0"/>
              <w:jc w:val="both"/>
              <w:rPr>
                <w:rFonts w:ascii="仿宋" w:hAnsi="仿宋"/>
                <w:color w:val="auto"/>
                <w:sz w:val="21"/>
                <w:szCs w:val="21"/>
                <w:highlight w:val="none"/>
                <w:lang w:eastAsia="zh-CN"/>
              </w:rPr>
            </w:pPr>
            <w:r>
              <w:rPr>
                <w:rFonts w:hint="eastAsia" w:ascii="仿宋" w:hAnsi="仿宋" w:cs="宋体"/>
                <w:color w:val="auto"/>
                <w:sz w:val="21"/>
                <w:szCs w:val="21"/>
                <w:highlight w:val="none"/>
                <w:lang w:eastAsia="zh-CN"/>
              </w:rPr>
              <w:t>未按时提交勘察设计周报的，扣0</w:t>
            </w:r>
            <w:r>
              <w:rPr>
                <w:rFonts w:ascii="仿宋" w:hAnsi="仿宋" w:cs="宋体"/>
                <w:color w:val="auto"/>
                <w:sz w:val="21"/>
                <w:szCs w:val="21"/>
                <w:highlight w:val="none"/>
                <w:lang w:eastAsia="zh-CN"/>
              </w:rPr>
              <w:t>.5</w:t>
            </w:r>
            <w:r>
              <w:rPr>
                <w:rFonts w:hint="eastAsia" w:ascii="仿宋" w:hAnsi="仿宋" w:cs="宋体"/>
                <w:color w:val="auto"/>
                <w:sz w:val="21"/>
                <w:szCs w:val="21"/>
                <w:highlight w:val="none"/>
                <w:lang w:eastAsia="zh-CN"/>
              </w:rPr>
              <w:t>分/次。</w:t>
            </w:r>
          </w:p>
        </w:tc>
        <w:tc>
          <w:tcPr>
            <w:tcW w:w="1035" w:type="dxa"/>
            <w:tcBorders>
              <w:top w:val="single" w:color="auto" w:sz="4" w:space="0"/>
              <w:left w:val="nil"/>
              <w:bottom w:val="single" w:color="auto" w:sz="4" w:space="0"/>
              <w:right w:val="single" w:color="auto" w:sz="4" w:space="0"/>
            </w:tcBorders>
            <w:noWrap w:val="0"/>
            <w:vAlign w:val="center"/>
          </w:tcPr>
          <w:p w14:paraId="7BDE98AE">
            <w:pPr>
              <w:widowControl/>
              <w:jc w:val="center"/>
              <w:rPr>
                <w:rFonts w:ascii="仿宋" w:hAnsi="仿宋"/>
                <w:bCs/>
                <w:color w:val="auto"/>
                <w:szCs w:val="21"/>
                <w:highlight w:val="none"/>
                <w:lang w:eastAsia="zh-CN"/>
              </w:rPr>
            </w:pPr>
          </w:p>
        </w:tc>
        <w:tc>
          <w:tcPr>
            <w:tcW w:w="672" w:type="dxa"/>
            <w:tcBorders>
              <w:top w:val="single" w:color="auto" w:sz="4" w:space="0"/>
              <w:left w:val="nil"/>
              <w:bottom w:val="single" w:color="auto" w:sz="4" w:space="0"/>
              <w:right w:val="single" w:color="auto" w:sz="4" w:space="0"/>
            </w:tcBorders>
            <w:noWrap w:val="0"/>
            <w:vAlign w:val="center"/>
          </w:tcPr>
          <w:p w14:paraId="083D8EAB">
            <w:pPr>
              <w:widowControl/>
              <w:jc w:val="center"/>
              <w:rPr>
                <w:rFonts w:ascii="仿宋" w:hAnsi="仿宋"/>
                <w:bCs/>
                <w:color w:val="auto"/>
                <w:szCs w:val="21"/>
                <w:highlight w:val="none"/>
                <w:lang w:eastAsia="zh-CN"/>
              </w:rPr>
            </w:pPr>
          </w:p>
        </w:tc>
        <w:tc>
          <w:tcPr>
            <w:tcW w:w="706" w:type="dxa"/>
            <w:tcBorders>
              <w:top w:val="single" w:color="auto" w:sz="4" w:space="0"/>
              <w:left w:val="nil"/>
              <w:bottom w:val="single" w:color="auto" w:sz="4" w:space="0"/>
              <w:right w:val="single" w:color="auto" w:sz="4" w:space="0"/>
            </w:tcBorders>
            <w:noWrap w:val="0"/>
            <w:vAlign w:val="center"/>
          </w:tcPr>
          <w:p w14:paraId="2CAEC115">
            <w:pPr>
              <w:widowControl/>
              <w:rPr>
                <w:rFonts w:ascii="仿宋" w:hAnsi="仿宋"/>
                <w:bCs/>
                <w:color w:val="auto"/>
                <w:szCs w:val="21"/>
                <w:highlight w:val="none"/>
                <w:lang w:eastAsia="zh-CN"/>
              </w:rPr>
            </w:pPr>
          </w:p>
        </w:tc>
      </w:tr>
      <w:tr w14:paraId="64D7BB29">
        <w:tblPrEx>
          <w:tblCellMar>
            <w:top w:w="0" w:type="dxa"/>
            <w:left w:w="108" w:type="dxa"/>
            <w:bottom w:w="0" w:type="dxa"/>
            <w:right w:w="108" w:type="dxa"/>
          </w:tblCellMar>
        </w:tblPrEx>
        <w:trPr>
          <w:trHeight w:val="1106" w:hRule="atLeast"/>
        </w:trPr>
        <w:tc>
          <w:tcPr>
            <w:tcW w:w="1132" w:type="dxa"/>
            <w:tcBorders>
              <w:top w:val="single" w:color="auto" w:sz="4" w:space="0"/>
              <w:left w:val="single" w:color="auto" w:sz="4" w:space="0"/>
              <w:bottom w:val="nil"/>
              <w:right w:val="single" w:color="auto" w:sz="4" w:space="0"/>
            </w:tcBorders>
            <w:noWrap w:val="0"/>
            <w:vAlign w:val="center"/>
          </w:tcPr>
          <w:p w14:paraId="2C96D7E7">
            <w:pPr>
              <w:widowControl/>
              <w:rPr>
                <w:rFonts w:ascii="仿宋" w:hAnsi="仿宋"/>
                <w:b/>
                <w:bCs/>
                <w:color w:val="auto"/>
                <w:szCs w:val="21"/>
                <w:highlight w:val="none"/>
              </w:rPr>
            </w:pPr>
            <w:r>
              <w:rPr>
                <w:rFonts w:ascii="仿宋" w:hAnsi="仿宋"/>
                <w:b/>
                <w:bCs/>
                <w:color w:val="auto"/>
                <w:szCs w:val="21"/>
                <w:highlight w:val="none"/>
              </w:rPr>
              <w:t>七、加分项（10分）</w:t>
            </w:r>
          </w:p>
        </w:tc>
        <w:tc>
          <w:tcPr>
            <w:tcW w:w="6575" w:type="dxa"/>
            <w:tcBorders>
              <w:top w:val="single" w:color="auto" w:sz="4" w:space="0"/>
              <w:left w:val="nil"/>
              <w:bottom w:val="nil"/>
              <w:right w:val="single" w:color="auto" w:sz="4" w:space="0"/>
            </w:tcBorders>
            <w:noWrap w:val="0"/>
            <w:vAlign w:val="center"/>
          </w:tcPr>
          <w:p w14:paraId="49C9CA14">
            <w:pPr>
              <w:pStyle w:val="69"/>
              <w:widowControl/>
              <w:numPr>
                <w:ilvl w:val="0"/>
                <w:numId w:val="9"/>
              </w:numPr>
              <w:ind w:firstLine="0"/>
              <w:jc w:val="both"/>
              <w:rPr>
                <w:rFonts w:ascii="仿宋" w:hAnsi="仿宋"/>
                <w:bCs/>
                <w:color w:val="auto"/>
                <w:sz w:val="21"/>
                <w:szCs w:val="21"/>
                <w:highlight w:val="none"/>
                <w:lang w:eastAsia="zh-CN"/>
              </w:rPr>
            </w:pPr>
            <w:r>
              <w:rPr>
                <w:rFonts w:ascii="仿宋" w:hAnsi="仿宋"/>
                <w:color w:val="auto"/>
                <w:sz w:val="21"/>
                <w:szCs w:val="21"/>
                <w:highlight w:val="none"/>
                <w:lang w:eastAsia="zh-CN"/>
              </w:rPr>
              <w:t>提交论文或课题并得到建设单位评审认可的，论文每篇加1分、课题每项加2分。</w:t>
            </w:r>
          </w:p>
          <w:p w14:paraId="78786C9A">
            <w:pPr>
              <w:pStyle w:val="69"/>
              <w:widowControl/>
              <w:numPr>
                <w:ilvl w:val="0"/>
                <w:numId w:val="9"/>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受到建设单位或</w:t>
            </w:r>
            <w:r>
              <w:rPr>
                <w:rFonts w:ascii="仿宋" w:hAnsi="仿宋"/>
                <w:color w:val="auto"/>
                <w:sz w:val="21"/>
                <w:szCs w:val="21"/>
                <w:highlight w:val="none"/>
                <w:lang w:eastAsia="zh-CN"/>
              </w:rPr>
              <w:t>区级以上建设行政主管部门</w:t>
            </w:r>
            <w:r>
              <w:rPr>
                <w:rFonts w:ascii="仿宋" w:hAnsi="仿宋"/>
                <w:bCs/>
                <w:color w:val="auto"/>
                <w:sz w:val="21"/>
                <w:szCs w:val="21"/>
                <w:highlight w:val="none"/>
                <w:lang w:eastAsia="zh-CN"/>
              </w:rPr>
              <w:t>书面表扬，每次加2分。</w:t>
            </w:r>
          </w:p>
        </w:tc>
        <w:tc>
          <w:tcPr>
            <w:tcW w:w="1035" w:type="dxa"/>
            <w:tcBorders>
              <w:top w:val="single" w:color="auto" w:sz="4" w:space="0"/>
              <w:left w:val="nil"/>
              <w:bottom w:val="nil"/>
              <w:right w:val="single" w:color="auto" w:sz="4" w:space="0"/>
            </w:tcBorders>
            <w:noWrap w:val="0"/>
            <w:vAlign w:val="center"/>
          </w:tcPr>
          <w:p w14:paraId="6CFE9A9C">
            <w:pPr>
              <w:widowControl/>
              <w:jc w:val="center"/>
              <w:rPr>
                <w:rFonts w:ascii="仿宋" w:hAnsi="仿宋"/>
                <w:bCs/>
                <w:color w:val="auto"/>
                <w:szCs w:val="21"/>
                <w:highlight w:val="none"/>
                <w:lang w:eastAsia="zh-CN"/>
              </w:rPr>
            </w:pPr>
          </w:p>
        </w:tc>
        <w:tc>
          <w:tcPr>
            <w:tcW w:w="672" w:type="dxa"/>
            <w:tcBorders>
              <w:top w:val="single" w:color="auto" w:sz="4" w:space="0"/>
              <w:left w:val="nil"/>
              <w:bottom w:val="nil"/>
              <w:right w:val="single" w:color="auto" w:sz="4" w:space="0"/>
            </w:tcBorders>
            <w:noWrap w:val="0"/>
            <w:vAlign w:val="center"/>
          </w:tcPr>
          <w:p w14:paraId="7BFB851C">
            <w:pPr>
              <w:widowControl/>
              <w:jc w:val="center"/>
              <w:rPr>
                <w:rFonts w:ascii="仿宋" w:hAnsi="仿宋"/>
                <w:bCs/>
                <w:color w:val="auto"/>
                <w:szCs w:val="21"/>
                <w:highlight w:val="none"/>
                <w:lang w:eastAsia="zh-CN"/>
              </w:rPr>
            </w:pPr>
          </w:p>
        </w:tc>
        <w:tc>
          <w:tcPr>
            <w:tcW w:w="706" w:type="dxa"/>
            <w:tcBorders>
              <w:top w:val="single" w:color="auto" w:sz="4" w:space="0"/>
              <w:left w:val="nil"/>
              <w:bottom w:val="nil"/>
              <w:right w:val="single" w:color="auto" w:sz="4" w:space="0"/>
            </w:tcBorders>
            <w:noWrap w:val="0"/>
            <w:vAlign w:val="center"/>
          </w:tcPr>
          <w:p w14:paraId="4127E3DD">
            <w:pPr>
              <w:widowControl/>
              <w:jc w:val="center"/>
              <w:rPr>
                <w:rFonts w:ascii="仿宋" w:hAnsi="仿宋"/>
                <w:bCs/>
                <w:color w:val="auto"/>
                <w:szCs w:val="21"/>
                <w:highlight w:val="none"/>
                <w:lang w:eastAsia="zh-CN"/>
              </w:rPr>
            </w:pPr>
          </w:p>
        </w:tc>
      </w:tr>
      <w:tr w14:paraId="623D6394">
        <w:tblPrEx>
          <w:tblCellMar>
            <w:top w:w="0" w:type="dxa"/>
            <w:left w:w="108" w:type="dxa"/>
            <w:bottom w:w="0" w:type="dxa"/>
            <w:right w:w="108" w:type="dxa"/>
          </w:tblCellMar>
        </w:tblPrEx>
        <w:trPr>
          <w:trHeight w:val="132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14:paraId="55677A9B">
            <w:pPr>
              <w:widowControl/>
              <w:jc w:val="center"/>
              <w:rPr>
                <w:rFonts w:ascii="仿宋" w:hAnsi="仿宋"/>
                <w:bCs/>
                <w:color w:val="auto"/>
                <w:szCs w:val="21"/>
                <w:highlight w:val="none"/>
                <w:lang w:eastAsia="zh-CN"/>
              </w:rPr>
            </w:pPr>
            <w:r>
              <w:rPr>
                <w:rFonts w:ascii="仿宋" w:hAnsi="仿宋"/>
                <w:b/>
                <w:bCs/>
                <w:color w:val="auto"/>
                <w:szCs w:val="21"/>
                <w:highlight w:val="none"/>
                <w:lang w:eastAsia="zh-CN"/>
              </w:rPr>
              <w:t>建设单位综合评价意见</w:t>
            </w:r>
          </w:p>
        </w:tc>
        <w:tc>
          <w:tcPr>
            <w:tcW w:w="6575" w:type="dxa"/>
            <w:tcBorders>
              <w:top w:val="single" w:color="auto" w:sz="4" w:space="0"/>
              <w:left w:val="nil"/>
              <w:bottom w:val="single" w:color="auto" w:sz="4" w:space="0"/>
              <w:right w:val="single" w:color="auto" w:sz="4" w:space="0"/>
            </w:tcBorders>
            <w:noWrap w:val="0"/>
            <w:vAlign w:val="center"/>
          </w:tcPr>
          <w:p w14:paraId="6E5AD0CD">
            <w:pPr>
              <w:widowControl/>
              <w:rPr>
                <w:rFonts w:ascii="仿宋" w:hAnsi="仿宋"/>
                <w:bCs/>
                <w:color w:val="auto"/>
                <w:szCs w:val="21"/>
                <w:highlight w:val="none"/>
              </w:rPr>
            </w:pPr>
            <w:r>
              <w:rPr>
                <w:rFonts w:ascii="仿宋" w:hAnsi="仿宋"/>
                <w:bCs/>
                <w:color w:val="auto"/>
                <w:szCs w:val="21"/>
                <w:highlight w:val="none"/>
              </w:rPr>
              <w:t>优秀（得分≥90分）</w:t>
            </w:r>
          </w:p>
          <w:p w14:paraId="1104B643">
            <w:pPr>
              <w:widowControl/>
              <w:rPr>
                <w:rFonts w:ascii="仿宋" w:hAnsi="仿宋"/>
                <w:bCs/>
                <w:color w:val="auto"/>
                <w:szCs w:val="21"/>
                <w:highlight w:val="none"/>
              </w:rPr>
            </w:pPr>
            <w:r>
              <w:rPr>
                <w:rFonts w:ascii="仿宋" w:hAnsi="仿宋"/>
                <w:bCs/>
                <w:color w:val="auto"/>
                <w:szCs w:val="21"/>
                <w:highlight w:val="none"/>
              </w:rPr>
              <w:t>良好（得分≥80分，＜90分）</w:t>
            </w:r>
          </w:p>
          <w:p w14:paraId="12AEF515">
            <w:pPr>
              <w:widowControl/>
              <w:rPr>
                <w:rFonts w:ascii="仿宋" w:hAnsi="仿宋"/>
                <w:bCs/>
                <w:color w:val="auto"/>
                <w:szCs w:val="21"/>
                <w:highlight w:val="none"/>
              </w:rPr>
            </w:pPr>
            <w:r>
              <w:rPr>
                <w:rFonts w:ascii="仿宋" w:hAnsi="仿宋"/>
                <w:bCs/>
                <w:color w:val="auto"/>
                <w:szCs w:val="21"/>
                <w:highlight w:val="none"/>
              </w:rPr>
              <w:t>中等（得分≥70分，＜80分）</w:t>
            </w:r>
          </w:p>
          <w:p w14:paraId="4DFD207B">
            <w:pPr>
              <w:widowControl/>
              <w:rPr>
                <w:rFonts w:ascii="仿宋" w:hAnsi="仿宋"/>
                <w:bCs/>
                <w:color w:val="auto"/>
                <w:szCs w:val="21"/>
                <w:highlight w:val="none"/>
              </w:rPr>
            </w:pPr>
            <w:r>
              <w:rPr>
                <w:rFonts w:ascii="仿宋" w:hAnsi="仿宋"/>
                <w:bCs/>
                <w:color w:val="auto"/>
                <w:szCs w:val="21"/>
                <w:highlight w:val="none"/>
              </w:rPr>
              <w:t>不及格（得分＜70分）</w:t>
            </w:r>
          </w:p>
        </w:tc>
        <w:tc>
          <w:tcPr>
            <w:tcW w:w="2413" w:type="dxa"/>
            <w:gridSpan w:val="3"/>
            <w:tcBorders>
              <w:top w:val="single" w:color="auto" w:sz="4" w:space="0"/>
              <w:left w:val="nil"/>
              <w:bottom w:val="single" w:color="auto" w:sz="4" w:space="0"/>
              <w:right w:val="single" w:color="auto" w:sz="4" w:space="0"/>
            </w:tcBorders>
            <w:noWrap w:val="0"/>
            <w:vAlign w:val="center"/>
          </w:tcPr>
          <w:p w14:paraId="714D37AF">
            <w:pPr>
              <w:widowControl/>
              <w:jc w:val="center"/>
              <w:rPr>
                <w:rFonts w:ascii="仿宋" w:hAnsi="仿宋"/>
                <w:bCs/>
                <w:color w:val="auto"/>
                <w:szCs w:val="21"/>
                <w:highlight w:val="none"/>
              </w:rPr>
            </w:pPr>
          </w:p>
        </w:tc>
      </w:tr>
      <w:tr w14:paraId="0951AE6E">
        <w:tblPrEx>
          <w:tblCellMar>
            <w:top w:w="0" w:type="dxa"/>
            <w:left w:w="108" w:type="dxa"/>
            <w:bottom w:w="0" w:type="dxa"/>
            <w:right w:w="108" w:type="dxa"/>
          </w:tblCellMar>
        </w:tblPrEx>
        <w:trPr>
          <w:trHeight w:val="2548" w:hRule="atLeast"/>
        </w:trPr>
        <w:tc>
          <w:tcPr>
            <w:tcW w:w="1132" w:type="dxa"/>
            <w:tcBorders>
              <w:top w:val="single" w:color="auto" w:sz="4" w:space="0"/>
              <w:left w:val="single" w:color="auto" w:sz="4" w:space="0"/>
              <w:bottom w:val="single" w:color="000000" w:sz="4" w:space="0"/>
              <w:right w:val="single" w:color="auto" w:sz="4" w:space="0"/>
            </w:tcBorders>
            <w:noWrap w:val="0"/>
            <w:vAlign w:val="center"/>
          </w:tcPr>
          <w:p w14:paraId="08E4A77F">
            <w:pPr>
              <w:widowControl/>
              <w:jc w:val="center"/>
              <w:rPr>
                <w:rFonts w:ascii="仿宋" w:hAnsi="仿宋"/>
                <w:b/>
                <w:bCs/>
                <w:color w:val="auto"/>
                <w:szCs w:val="21"/>
                <w:highlight w:val="none"/>
              </w:rPr>
            </w:pPr>
            <w:r>
              <w:rPr>
                <w:rFonts w:ascii="仿宋" w:hAnsi="仿宋"/>
                <w:b/>
                <w:bCs/>
                <w:color w:val="auto"/>
                <w:szCs w:val="21"/>
                <w:highlight w:val="none"/>
              </w:rPr>
              <w:t>考评人员签字</w:t>
            </w:r>
          </w:p>
        </w:tc>
        <w:tc>
          <w:tcPr>
            <w:tcW w:w="8988" w:type="dxa"/>
            <w:gridSpan w:val="4"/>
            <w:tcBorders>
              <w:top w:val="single" w:color="auto" w:sz="4" w:space="0"/>
              <w:left w:val="nil"/>
              <w:bottom w:val="single" w:color="auto" w:sz="4" w:space="0"/>
              <w:right w:val="single" w:color="auto" w:sz="4" w:space="0"/>
            </w:tcBorders>
            <w:noWrap w:val="0"/>
            <w:vAlign w:val="center"/>
          </w:tcPr>
          <w:p w14:paraId="1EF53A0C">
            <w:pPr>
              <w:widowControl/>
              <w:jc w:val="center"/>
              <w:rPr>
                <w:rFonts w:ascii="仿宋" w:hAnsi="仿宋"/>
                <w:bCs/>
                <w:color w:val="auto"/>
                <w:szCs w:val="21"/>
                <w:highlight w:val="none"/>
              </w:rPr>
            </w:pPr>
          </w:p>
        </w:tc>
      </w:tr>
    </w:tbl>
    <w:p w14:paraId="2EECAE45">
      <w:pPr>
        <w:adjustRightInd w:val="0"/>
        <w:snapToGrid w:val="0"/>
        <w:spacing w:line="360" w:lineRule="auto"/>
        <w:jc w:val="both"/>
        <w:rPr>
          <w:rFonts w:hint="eastAsia" w:ascii="宋体" w:eastAsia="宋体"/>
          <w:b/>
          <w:bCs/>
          <w:strike/>
          <w:snapToGrid w:val="0"/>
          <w:color w:val="auto"/>
          <w:sz w:val="24"/>
          <w:szCs w:val="24"/>
          <w:highlight w:val="none"/>
          <w:lang w:eastAsia="zh-CN"/>
        </w:rPr>
        <w:sectPr>
          <w:headerReference r:id="rId3" w:type="default"/>
          <w:footerReference r:id="rId4" w:type="default"/>
          <w:pgSz w:w="11906" w:h="16838"/>
          <w:pgMar w:top="1440" w:right="1080" w:bottom="1440" w:left="1080" w:header="851" w:footer="992" w:gutter="0"/>
          <w:pgNumType w:fmt="decimal"/>
          <w:cols w:space="720" w:num="1"/>
          <w:docGrid w:type="lines" w:linePitch="312" w:charSpace="0"/>
        </w:sectPr>
      </w:pPr>
    </w:p>
    <w:p w14:paraId="01099389">
      <w:pPr>
        <w:adjustRightInd w:val="0"/>
        <w:snapToGrid w:val="0"/>
        <w:spacing w:line="360" w:lineRule="auto"/>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附件10</w:t>
      </w:r>
    </w:p>
    <w:tbl>
      <w:tblPr>
        <w:tblStyle w:val="28"/>
        <w:tblW w:w="10060" w:type="dxa"/>
        <w:jc w:val="center"/>
        <w:tblLayout w:type="fixed"/>
        <w:tblCellMar>
          <w:top w:w="0" w:type="dxa"/>
          <w:left w:w="108" w:type="dxa"/>
          <w:bottom w:w="0" w:type="dxa"/>
          <w:right w:w="108" w:type="dxa"/>
        </w:tblCellMar>
      </w:tblPr>
      <w:tblGrid>
        <w:gridCol w:w="1125"/>
        <w:gridCol w:w="6581"/>
        <w:gridCol w:w="1072"/>
        <w:gridCol w:w="669"/>
        <w:gridCol w:w="613"/>
      </w:tblGrid>
      <w:tr w14:paraId="51AEFB78">
        <w:tblPrEx>
          <w:tblCellMar>
            <w:top w:w="0" w:type="dxa"/>
            <w:left w:w="108" w:type="dxa"/>
            <w:bottom w:w="0" w:type="dxa"/>
            <w:right w:w="108" w:type="dxa"/>
          </w:tblCellMar>
        </w:tblPrEx>
        <w:trPr>
          <w:trHeight w:val="1070" w:hRule="atLeast"/>
          <w:jc w:val="center"/>
        </w:trPr>
        <w:tc>
          <w:tcPr>
            <w:tcW w:w="10060" w:type="dxa"/>
            <w:gridSpan w:val="5"/>
            <w:tcBorders>
              <w:top w:val="nil"/>
              <w:left w:val="nil"/>
              <w:bottom w:val="single" w:color="auto" w:sz="4" w:space="0"/>
              <w:right w:val="nil"/>
            </w:tcBorders>
            <w:noWrap w:val="0"/>
            <w:vAlign w:val="center"/>
          </w:tcPr>
          <w:p w14:paraId="1FBAD545">
            <w:pPr>
              <w:pStyle w:val="68"/>
              <w:spacing w:line="240" w:lineRule="auto"/>
              <w:ind w:firstLine="0" w:firstLineChars="0"/>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设计单位综合考评评价表</w:t>
            </w:r>
          </w:p>
          <w:p w14:paraId="7F5E741A">
            <w:pPr>
              <w:widowControl/>
              <w:rPr>
                <w:rFonts w:ascii="宋体" w:hAnsi="宋体" w:cs="宋体"/>
                <w:b/>
                <w:bCs/>
                <w:color w:val="auto"/>
                <w:sz w:val="24"/>
                <w:highlight w:val="none"/>
                <w:u w:val="single"/>
                <w:lang w:eastAsia="zh-CN"/>
              </w:rPr>
            </w:pPr>
            <w:r>
              <w:rPr>
                <w:rFonts w:hint="eastAsia" w:ascii="宋体" w:hAnsi="宋体" w:cs="宋体"/>
                <w:b/>
                <w:bCs/>
                <w:color w:val="auto"/>
                <w:sz w:val="24"/>
                <w:highlight w:val="none"/>
                <w:lang w:eastAsia="zh-CN"/>
              </w:rPr>
              <w:t>设计单位：</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ascii="宋体" w:hAnsi="宋体" w:cs="宋体"/>
                <w:b/>
                <w:bCs/>
                <w:color w:val="auto"/>
                <w:sz w:val="24"/>
                <w:highlight w:val="none"/>
                <w:lang w:eastAsia="zh-CN"/>
              </w:rPr>
              <w:t xml:space="preserve">  </w:t>
            </w:r>
            <w:r>
              <w:rPr>
                <w:rFonts w:hint="eastAsia" w:ascii="宋体" w:hAnsi="宋体" w:cs="宋体"/>
                <w:b/>
                <w:bCs/>
                <w:color w:val="auto"/>
                <w:sz w:val="24"/>
                <w:highlight w:val="none"/>
                <w:lang w:eastAsia="zh-CN"/>
              </w:rPr>
              <w:t>项目名称：</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p>
          <w:p w14:paraId="7EFD1A45">
            <w:pPr>
              <w:widowControl/>
              <w:rPr>
                <w:rFonts w:ascii="宋体" w:hAnsi="宋体" w:cs="宋体"/>
                <w:b/>
                <w:bCs/>
                <w:color w:val="auto"/>
                <w:sz w:val="24"/>
                <w:highlight w:val="none"/>
                <w:u w:val="single"/>
                <w:lang w:eastAsia="zh-CN"/>
              </w:rPr>
            </w:pPr>
            <w:r>
              <w:rPr>
                <w:rFonts w:hint="eastAsia" w:ascii="宋体" w:hAnsi="宋体" w:cs="宋体"/>
                <w:b/>
                <w:bCs/>
                <w:color w:val="auto"/>
                <w:sz w:val="24"/>
                <w:highlight w:val="none"/>
                <w:lang w:eastAsia="zh-CN"/>
              </w:rPr>
              <w:t>合同编号：</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lang w:eastAsia="zh-CN"/>
              </w:rPr>
              <w:t xml:space="preserve">  </w:t>
            </w:r>
            <w:r>
              <w:rPr>
                <w:rFonts w:ascii="宋体" w:hAnsi="宋体"/>
                <w:b/>
                <w:bCs/>
                <w:color w:val="auto"/>
                <w:sz w:val="24"/>
                <w:highlight w:val="none"/>
                <w:lang w:eastAsia="zh-CN"/>
              </w:rPr>
              <w:t>考评期间：</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lang w:eastAsia="zh-CN"/>
              </w:rPr>
              <w:t xml:space="preserve">  </w:t>
            </w:r>
            <w:r>
              <w:rPr>
                <w:rFonts w:ascii="宋体" w:hAnsi="宋体"/>
                <w:b/>
                <w:bCs/>
                <w:color w:val="auto"/>
                <w:sz w:val="24"/>
                <w:highlight w:val="none"/>
                <w:lang w:eastAsia="zh-CN"/>
              </w:rPr>
              <w:t>考评时间：</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年</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月</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日 </w:t>
            </w:r>
          </w:p>
        </w:tc>
      </w:tr>
      <w:tr w14:paraId="5B95EE9F">
        <w:tblPrEx>
          <w:tblCellMar>
            <w:top w:w="0" w:type="dxa"/>
            <w:left w:w="108" w:type="dxa"/>
            <w:bottom w:w="0" w:type="dxa"/>
            <w:right w:w="108" w:type="dxa"/>
          </w:tblCellMar>
        </w:tblPrEx>
        <w:trPr>
          <w:trHeight w:val="570" w:hRule="atLeast"/>
          <w:jc w:val="center"/>
        </w:trPr>
        <w:tc>
          <w:tcPr>
            <w:tcW w:w="1125" w:type="dxa"/>
            <w:tcBorders>
              <w:top w:val="nil"/>
              <w:left w:val="single" w:color="auto" w:sz="4" w:space="0"/>
              <w:bottom w:val="single" w:color="auto" w:sz="4" w:space="0"/>
              <w:right w:val="single" w:color="auto" w:sz="4" w:space="0"/>
            </w:tcBorders>
            <w:noWrap/>
            <w:vAlign w:val="center"/>
          </w:tcPr>
          <w:p w14:paraId="2D10E42B">
            <w:pPr>
              <w:widowControl/>
              <w:jc w:val="center"/>
              <w:rPr>
                <w:rFonts w:ascii="宋体" w:hAnsi="宋体" w:cs="宋体"/>
                <w:b/>
                <w:color w:val="auto"/>
                <w:szCs w:val="21"/>
                <w:highlight w:val="none"/>
              </w:rPr>
            </w:pPr>
            <w:r>
              <w:rPr>
                <w:rFonts w:hint="eastAsia" w:ascii="宋体" w:hAnsi="宋体" w:cs="宋体"/>
                <w:b/>
                <w:color w:val="auto"/>
                <w:szCs w:val="21"/>
                <w:highlight w:val="none"/>
              </w:rPr>
              <w:t>评价内容</w:t>
            </w:r>
          </w:p>
          <w:p w14:paraId="3D20AEA8">
            <w:pPr>
              <w:widowControl/>
              <w:jc w:val="center"/>
              <w:rPr>
                <w:rFonts w:ascii="宋体" w:hAnsi="宋体" w:cs="宋体"/>
                <w:b/>
                <w:color w:val="auto"/>
                <w:szCs w:val="21"/>
                <w:highlight w:val="none"/>
              </w:rPr>
            </w:pPr>
            <w:r>
              <w:rPr>
                <w:rFonts w:hint="eastAsia" w:ascii="宋体" w:hAnsi="宋体" w:cs="宋体"/>
                <w:b/>
                <w:color w:val="auto"/>
                <w:szCs w:val="21"/>
                <w:highlight w:val="none"/>
              </w:rPr>
              <w:t>和阶段</w:t>
            </w:r>
          </w:p>
        </w:tc>
        <w:tc>
          <w:tcPr>
            <w:tcW w:w="6581" w:type="dxa"/>
            <w:tcBorders>
              <w:top w:val="nil"/>
              <w:left w:val="nil"/>
              <w:bottom w:val="single" w:color="auto" w:sz="4" w:space="0"/>
              <w:right w:val="single" w:color="auto" w:sz="4" w:space="0"/>
            </w:tcBorders>
            <w:noWrap w:val="0"/>
            <w:vAlign w:val="center"/>
          </w:tcPr>
          <w:p w14:paraId="7B54EE15">
            <w:pPr>
              <w:widowControl/>
              <w:jc w:val="center"/>
              <w:rPr>
                <w:rFonts w:ascii="宋体" w:hAnsi="宋体" w:cs="宋体"/>
                <w:b/>
                <w:color w:val="auto"/>
                <w:szCs w:val="21"/>
                <w:highlight w:val="none"/>
              </w:rPr>
            </w:pPr>
            <w:r>
              <w:rPr>
                <w:rFonts w:hint="eastAsia" w:ascii="宋体" w:hAnsi="宋体" w:cs="宋体"/>
                <w:b/>
                <w:color w:val="auto"/>
                <w:szCs w:val="21"/>
                <w:highlight w:val="none"/>
              </w:rPr>
              <w:t>评价内容细则</w:t>
            </w:r>
          </w:p>
        </w:tc>
        <w:tc>
          <w:tcPr>
            <w:tcW w:w="1072" w:type="dxa"/>
            <w:tcBorders>
              <w:top w:val="nil"/>
              <w:left w:val="nil"/>
              <w:bottom w:val="single" w:color="auto" w:sz="4" w:space="0"/>
              <w:right w:val="single" w:color="auto" w:sz="4" w:space="0"/>
            </w:tcBorders>
            <w:noWrap w:val="0"/>
            <w:vAlign w:val="center"/>
          </w:tcPr>
          <w:p w14:paraId="773332CF">
            <w:pPr>
              <w:widowControl/>
              <w:jc w:val="center"/>
              <w:rPr>
                <w:rFonts w:ascii="宋体" w:hAnsi="宋体" w:cs="宋体"/>
                <w:b/>
                <w:color w:val="auto"/>
                <w:szCs w:val="21"/>
                <w:highlight w:val="none"/>
              </w:rPr>
            </w:pPr>
            <w:r>
              <w:rPr>
                <w:rFonts w:hint="eastAsia" w:ascii="宋体" w:hAnsi="宋体" w:cs="宋体"/>
                <w:b/>
                <w:color w:val="auto"/>
                <w:szCs w:val="21"/>
                <w:highlight w:val="none"/>
              </w:rPr>
              <w:t>加、扣分及原因</w:t>
            </w:r>
          </w:p>
        </w:tc>
        <w:tc>
          <w:tcPr>
            <w:tcW w:w="669" w:type="dxa"/>
            <w:tcBorders>
              <w:top w:val="nil"/>
              <w:left w:val="nil"/>
              <w:bottom w:val="single" w:color="auto" w:sz="4" w:space="0"/>
              <w:right w:val="single" w:color="auto" w:sz="4" w:space="0"/>
            </w:tcBorders>
            <w:noWrap w:val="0"/>
            <w:vAlign w:val="center"/>
          </w:tcPr>
          <w:p w14:paraId="49460FDD">
            <w:pPr>
              <w:widowControl/>
              <w:jc w:val="center"/>
              <w:rPr>
                <w:rFonts w:ascii="宋体" w:hAnsi="宋体" w:cs="宋体"/>
                <w:b/>
                <w:color w:val="auto"/>
                <w:szCs w:val="21"/>
                <w:highlight w:val="none"/>
              </w:rPr>
            </w:pPr>
            <w:r>
              <w:rPr>
                <w:rFonts w:hint="eastAsia" w:ascii="宋体" w:hAnsi="宋体" w:cs="宋体"/>
                <w:b/>
                <w:color w:val="auto"/>
                <w:szCs w:val="21"/>
                <w:highlight w:val="none"/>
              </w:rPr>
              <w:t>本项得分</w:t>
            </w:r>
          </w:p>
        </w:tc>
        <w:tc>
          <w:tcPr>
            <w:tcW w:w="613" w:type="dxa"/>
            <w:tcBorders>
              <w:top w:val="nil"/>
              <w:left w:val="nil"/>
              <w:bottom w:val="single" w:color="auto" w:sz="4" w:space="0"/>
              <w:right w:val="single" w:color="auto" w:sz="4" w:space="0"/>
            </w:tcBorders>
            <w:noWrap w:val="0"/>
            <w:vAlign w:val="center"/>
          </w:tcPr>
          <w:p w14:paraId="07180ABC">
            <w:pPr>
              <w:widowControl/>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77CB01E2">
        <w:tblPrEx>
          <w:tblCellMar>
            <w:top w:w="0" w:type="dxa"/>
            <w:left w:w="108" w:type="dxa"/>
            <w:bottom w:w="0" w:type="dxa"/>
            <w:right w:w="108" w:type="dxa"/>
          </w:tblCellMar>
        </w:tblPrEx>
        <w:trPr>
          <w:trHeight w:val="2251" w:hRule="atLeast"/>
          <w:jc w:val="center"/>
        </w:trPr>
        <w:tc>
          <w:tcPr>
            <w:tcW w:w="1125" w:type="dxa"/>
            <w:tcBorders>
              <w:top w:val="nil"/>
              <w:left w:val="single" w:color="auto" w:sz="4" w:space="0"/>
              <w:bottom w:val="single" w:color="auto" w:sz="4" w:space="0"/>
              <w:right w:val="single" w:color="auto" w:sz="4" w:space="0"/>
            </w:tcBorders>
            <w:noWrap/>
            <w:vAlign w:val="center"/>
          </w:tcPr>
          <w:p w14:paraId="6F5855ED">
            <w:pPr>
              <w:widowControl/>
              <w:rPr>
                <w:rFonts w:ascii="宋体" w:hAnsi="宋体" w:cs="宋体"/>
                <w:b/>
                <w:bCs/>
                <w:color w:val="auto"/>
                <w:szCs w:val="21"/>
                <w:highlight w:val="none"/>
              </w:rPr>
            </w:pPr>
            <w:r>
              <w:rPr>
                <w:rFonts w:hint="eastAsia" w:ascii="宋体" w:hAnsi="宋体" w:cs="宋体"/>
                <w:b/>
                <w:bCs/>
                <w:color w:val="auto"/>
                <w:szCs w:val="21"/>
                <w:highlight w:val="none"/>
              </w:rPr>
              <w:t>一、人员配置（</w:t>
            </w:r>
            <w:r>
              <w:rPr>
                <w:rFonts w:ascii="宋体" w:hAnsi="宋体" w:cs="宋体"/>
                <w:b/>
                <w:bCs/>
                <w:color w:val="auto"/>
                <w:szCs w:val="21"/>
                <w:highlight w:val="none"/>
              </w:rPr>
              <w:t>1</w:t>
            </w:r>
            <w:r>
              <w:rPr>
                <w:rFonts w:hint="eastAsia" w:ascii="宋体" w:hAnsi="宋体" w:cs="宋体"/>
                <w:b/>
                <w:bCs/>
                <w:color w:val="auto"/>
                <w:szCs w:val="21"/>
                <w:highlight w:val="none"/>
              </w:rPr>
              <w:t>0分）</w:t>
            </w:r>
          </w:p>
        </w:tc>
        <w:tc>
          <w:tcPr>
            <w:tcW w:w="6581" w:type="dxa"/>
            <w:tcBorders>
              <w:top w:val="nil"/>
              <w:left w:val="nil"/>
              <w:bottom w:val="single" w:color="auto" w:sz="4" w:space="0"/>
              <w:right w:val="single" w:color="auto" w:sz="4" w:space="0"/>
            </w:tcBorders>
            <w:noWrap w:val="0"/>
            <w:vAlign w:val="center"/>
          </w:tcPr>
          <w:p w14:paraId="279186F3">
            <w:pPr>
              <w:widowControl/>
              <w:numPr>
                <w:ilvl w:val="0"/>
                <w:numId w:val="10"/>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项目负责人无故缺席业主要求参加的会议，扣3分/人次；专业负责人无故缺席业主要求参加的会议，扣2分/人次。并另按合同违约责任相关条款扣罚。</w:t>
            </w:r>
          </w:p>
          <w:p w14:paraId="29EA5A75">
            <w:pPr>
              <w:widowControl/>
              <w:numPr>
                <w:ilvl w:val="0"/>
                <w:numId w:val="10"/>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人员配置与合同不符或人员变更未按程序上报审批，未经批准每发生一人次，项目负责人扣5分，其他人员扣3分，并另按合同违约责任相关条款扣罚。</w:t>
            </w:r>
          </w:p>
          <w:p w14:paraId="2C0C7DF7">
            <w:pPr>
              <w:widowControl/>
              <w:numPr>
                <w:ilvl w:val="0"/>
                <w:numId w:val="10"/>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履约检查人员点名到位率无故低于70%，当次考核得分低于70分。</w:t>
            </w:r>
          </w:p>
        </w:tc>
        <w:tc>
          <w:tcPr>
            <w:tcW w:w="1072" w:type="dxa"/>
            <w:tcBorders>
              <w:top w:val="nil"/>
              <w:left w:val="nil"/>
              <w:bottom w:val="single" w:color="auto" w:sz="4" w:space="0"/>
              <w:right w:val="single" w:color="auto" w:sz="4" w:space="0"/>
            </w:tcBorders>
            <w:noWrap w:val="0"/>
            <w:vAlign w:val="center"/>
          </w:tcPr>
          <w:p w14:paraId="5A43262C">
            <w:pPr>
              <w:widowControl/>
              <w:jc w:val="center"/>
              <w:rPr>
                <w:rFonts w:ascii="宋体" w:hAnsi="宋体" w:cs="宋体"/>
                <w:b/>
                <w:color w:val="auto"/>
                <w:szCs w:val="21"/>
                <w:highlight w:val="none"/>
                <w:lang w:eastAsia="zh-CN"/>
              </w:rPr>
            </w:pPr>
          </w:p>
        </w:tc>
        <w:tc>
          <w:tcPr>
            <w:tcW w:w="669" w:type="dxa"/>
            <w:tcBorders>
              <w:top w:val="nil"/>
              <w:left w:val="nil"/>
              <w:bottom w:val="single" w:color="auto" w:sz="4" w:space="0"/>
              <w:right w:val="single" w:color="auto" w:sz="4" w:space="0"/>
            </w:tcBorders>
            <w:noWrap w:val="0"/>
            <w:vAlign w:val="center"/>
          </w:tcPr>
          <w:p w14:paraId="3CD531E4">
            <w:pPr>
              <w:widowControl/>
              <w:jc w:val="center"/>
              <w:rPr>
                <w:rFonts w:ascii="宋体" w:hAnsi="宋体" w:cs="宋体"/>
                <w:b/>
                <w:color w:val="auto"/>
                <w:szCs w:val="21"/>
                <w:highlight w:val="none"/>
                <w:lang w:eastAsia="zh-CN"/>
              </w:rPr>
            </w:pPr>
          </w:p>
        </w:tc>
        <w:tc>
          <w:tcPr>
            <w:tcW w:w="613" w:type="dxa"/>
            <w:tcBorders>
              <w:top w:val="nil"/>
              <w:left w:val="nil"/>
              <w:bottom w:val="single" w:color="auto" w:sz="4" w:space="0"/>
              <w:right w:val="single" w:color="auto" w:sz="4" w:space="0"/>
            </w:tcBorders>
            <w:noWrap w:val="0"/>
            <w:vAlign w:val="center"/>
          </w:tcPr>
          <w:p w14:paraId="317F6B4C">
            <w:pPr>
              <w:widowControl/>
              <w:rPr>
                <w:rFonts w:ascii="宋体" w:hAnsi="宋体" w:cs="宋体"/>
                <w:bCs/>
                <w:color w:val="auto"/>
                <w:szCs w:val="21"/>
                <w:highlight w:val="none"/>
                <w:lang w:eastAsia="zh-CN"/>
              </w:rPr>
            </w:pPr>
          </w:p>
        </w:tc>
      </w:tr>
      <w:tr w14:paraId="35465681">
        <w:tblPrEx>
          <w:tblCellMar>
            <w:top w:w="0" w:type="dxa"/>
            <w:left w:w="108" w:type="dxa"/>
            <w:bottom w:w="0" w:type="dxa"/>
            <w:right w:w="108" w:type="dxa"/>
          </w:tblCellMar>
        </w:tblPrEx>
        <w:trPr>
          <w:trHeight w:val="1691"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1996FFD0">
            <w:pPr>
              <w:widowControl/>
              <w:jc w:val="center"/>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二、廉洁、恪守职业操守（5分）</w:t>
            </w:r>
          </w:p>
        </w:tc>
        <w:tc>
          <w:tcPr>
            <w:tcW w:w="6581" w:type="dxa"/>
            <w:tcBorders>
              <w:top w:val="single" w:color="auto" w:sz="4" w:space="0"/>
              <w:left w:val="nil"/>
              <w:bottom w:val="single" w:color="auto" w:sz="4" w:space="0"/>
              <w:right w:val="single" w:color="auto" w:sz="4" w:space="0"/>
            </w:tcBorders>
            <w:noWrap w:val="0"/>
            <w:vAlign w:val="center"/>
          </w:tcPr>
          <w:p w14:paraId="75C3B0A2">
            <w:pPr>
              <w:pStyle w:val="6"/>
              <w:widowControl/>
              <w:numPr>
                <w:ilvl w:val="0"/>
                <w:numId w:val="11"/>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设计人违反廉洁协议，存在谋取不正当利益或向相关人员输送不正当利益行为，扣5分/人次。</w:t>
            </w:r>
          </w:p>
          <w:p w14:paraId="3B4ADCE8">
            <w:pPr>
              <w:pStyle w:val="6"/>
              <w:widowControl/>
              <w:numPr>
                <w:ilvl w:val="0"/>
                <w:numId w:val="11"/>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设计人与他人串通，设计方案、设计材料、设计设备损害建设单位利益，扣5分/次。</w:t>
            </w:r>
          </w:p>
          <w:p w14:paraId="1B5E6222">
            <w:pPr>
              <w:pStyle w:val="6"/>
              <w:widowControl/>
              <w:numPr>
                <w:ilvl w:val="0"/>
                <w:numId w:val="11"/>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在设计文件中擅自指定工程相关材料、产品、设备的生产厂家或供应商，扣5分/次。</w:t>
            </w:r>
          </w:p>
        </w:tc>
        <w:tc>
          <w:tcPr>
            <w:tcW w:w="1072" w:type="dxa"/>
            <w:tcBorders>
              <w:top w:val="single" w:color="auto" w:sz="4" w:space="0"/>
              <w:left w:val="nil"/>
              <w:bottom w:val="single" w:color="auto" w:sz="4" w:space="0"/>
              <w:right w:val="single" w:color="auto" w:sz="4" w:space="0"/>
            </w:tcBorders>
            <w:noWrap w:val="0"/>
            <w:vAlign w:val="center"/>
          </w:tcPr>
          <w:p w14:paraId="7A3A5590">
            <w:pPr>
              <w:widowControl/>
              <w:jc w:val="center"/>
              <w:rPr>
                <w:rFonts w:ascii="宋体" w:hAnsi="宋体" w:cs="宋体"/>
                <w:b/>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5BD689C6">
            <w:pPr>
              <w:widowControl/>
              <w:jc w:val="center"/>
              <w:rPr>
                <w:rFonts w:ascii="宋体" w:hAnsi="宋体" w:cs="宋体"/>
                <w:b/>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4999B6D0">
            <w:pPr>
              <w:widowControl/>
              <w:rPr>
                <w:rFonts w:ascii="宋体" w:hAnsi="宋体" w:cs="宋体"/>
                <w:bCs/>
                <w:color w:val="auto"/>
                <w:szCs w:val="21"/>
                <w:highlight w:val="none"/>
                <w:lang w:eastAsia="zh-CN"/>
              </w:rPr>
            </w:pPr>
          </w:p>
        </w:tc>
      </w:tr>
      <w:tr w14:paraId="44287920">
        <w:tblPrEx>
          <w:tblCellMar>
            <w:top w:w="0" w:type="dxa"/>
            <w:left w:w="108" w:type="dxa"/>
            <w:bottom w:w="0" w:type="dxa"/>
            <w:right w:w="108" w:type="dxa"/>
          </w:tblCellMar>
        </w:tblPrEx>
        <w:trPr>
          <w:trHeight w:val="3092"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27406CB2">
            <w:pPr>
              <w:widowControl/>
              <w:rPr>
                <w:rFonts w:ascii="宋体" w:hAnsi="宋体" w:cs="宋体"/>
                <w:b/>
                <w:bCs/>
                <w:color w:val="auto"/>
                <w:szCs w:val="21"/>
                <w:highlight w:val="none"/>
              </w:rPr>
            </w:pPr>
            <w:r>
              <w:rPr>
                <w:rFonts w:hint="eastAsia" w:ascii="宋体" w:hAnsi="宋体" w:cs="宋体"/>
                <w:b/>
                <w:bCs/>
                <w:color w:val="auto"/>
                <w:szCs w:val="21"/>
                <w:highlight w:val="none"/>
              </w:rPr>
              <w:t>三、计划进度（15分）</w:t>
            </w:r>
          </w:p>
        </w:tc>
        <w:tc>
          <w:tcPr>
            <w:tcW w:w="6581" w:type="dxa"/>
            <w:tcBorders>
              <w:top w:val="single" w:color="auto" w:sz="4" w:space="0"/>
              <w:left w:val="nil"/>
              <w:bottom w:val="single" w:color="auto" w:sz="4" w:space="0"/>
              <w:right w:val="single" w:color="auto" w:sz="4" w:space="0"/>
            </w:tcBorders>
            <w:noWrap w:val="0"/>
            <w:vAlign w:val="center"/>
          </w:tcPr>
          <w:p w14:paraId="327E0558">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设计进度或提交接口资料无故滞后，影响出图或相关单位设计进度的，扣2分/次。</w:t>
            </w:r>
          </w:p>
          <w:p w14:paraId="2E3E021F">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无外界控制条件情况下，不按设计计划提交设计图纸文件的，推迟3天以上，每册每次扣0.5分；影响外部审查关键时间节点、招标时间节点、现场施工的, 当次考核得分低于70分。</w:t>
            </w:r>
          </w:p>
          <w:p w14:paraId="564F7B8E">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各类工作联系单或专题报告无故未上报、落实不及时、影响任务进度的，扣1分/次。</w:t>
            </w:r>
          </w:p>
          <w:p w14:paraId="42C1CB24">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与外单位不主动进行协调或无故不协调，且影响任务进度的，视情况扣</w:t>
            </w:r>
            <w:r>
              <w:rPr>
                <w:rFonts w:ascii="宋体" w:hAnsi="宋体" w:cs="宋体"/>
                <w:color w:val="auto"/>
                <w:szCs w:val="21"/>
                <w:highlight w:val="none"/>
                <w:lang w:eastAsia="zh-CN"/>
              </w:rPr>
              <w:t>2</w:t>
            </w:r>
            <w:r>
              <w:rPr>
                <w:rFonts w:hint="eastAsia" w:ascii="宋体" w:hAnsi="宋体" w:cs="宋体"/>
                <w:color w:val="auto"/>
                <w:szCs w:val="21"/>
                <w:highlight w:val="none"/>
                <w:lang w:eastAsia="zh-CN"/>
              </w:rPr>
              <w:t>～</w:t>
            </w:r>
            <w:r>
              <w:rPr>
                <w:rFonts w:ascii="宋体" w:hAnsi="宋体" w:cs="宋体"/>
                <w:color w:val="auto"/>
                <w:szCs w:val="21"/>
                <w:highlight w:val="none"/>
                <w:lang w:eastAsia="zh-CN"/>
              </w:rPr>
              <w:t>5</w:t>
            </w:r>
            <w:r>
              <w:rPr>
                <w:rFonts w:hint="eastAsia" w:ascii="宋体" w:hAnsi="宋体" w:cs="宋体"/>
                <w:color w:val="auto"/>
                <w:szCs w:val="21"/>
                <w:highlight w:val="none"/>
                <w:lang w:eastAsia="zh-CN"/>
              </w:rPr>
              <w:t>分/次。</w:t>
            </w:r>
          </w:p>
          <w:p w14:paraId="3F522B86">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根据集团公司要求结合实际情况适时调整工作进度计划，出现问题未及时上报，影响后续工作，扣2分/次。</w:t>
            </w:r>
          </w:p>
        </w:tc>
        <w:tc>
          <w:tcPr>
            <w:tcW w:w="1072" w:type="dxa"/>
            <w:tcBorders>
              <w:top w:val="single" w:color="auto" w:sz="4" w:space="0"/>
              <w:left w:val="nil"/>
              <w:bottom w:val="single" w:color="auto" w:sz="4" w:space="0"/>
              <w:right w:val="single" w:color="auto" w:sz="4" w:space="0"/>
            </w:tcBorders>
            <w:noWrap w:val="0"/>
            <w:vAlign w:val="center"/>
          </w:tcPr>
          <w:p w14:paraId="17C699DA">
            <w:pPr>
              <w:widowControl/>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1736CB76">
            <w:pPr>
              <w:widowControl/>
              <w:rPr>
                <w:rFonts w:ascii="宋体" w:hAnsi="宋体" w:cs="宋体"/>
                <w:bCs/>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23FA819F">
            <w:pPr>
              <w:widowControl/>
              <w:rPr>
                <w:rFonts w:ascii="宋体" w:hAnsi="宋体" w:cs="宋体"/>
                <w:bCs/>
                <w:color w:val="auto"/>
                <w:szCs w:val="21"/>
                <w:highlight w:val="none"/>
                <w:lang w:eastAsia="zh-CN"/>
              </w:rPr>
            </w:pPr>
          </w:p>
        </w:tc>
      </w:tr>
      <w:tr w14:paraId="24286D5F">
        <w:tblPrEx>
          <w:tblCellMar>
            <w:top w:w="0" w:type="dxa"/>
            <w:left w:w="108" w:type="dxa"/>
            <w:bottom w:w="0" w:type="dxa"/>
            <w:right w:w="108" w:type="dxa"/>
          </w:tblCellMar>
        </w:tblPrEx>
        <w:trPr>
          <w:trHeight w:val="2812"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553BD9AD">
            <w:pPr>
              <w:widowControl/>
              <w:rPr>
                <w:rFonts w:ascii="宋体" w:hAnsi="宋体" w:cs="宋体"/>
                <w:b/>
                <w:bCs/>
                <w:color w:val="auto"/>
                <w:szCs w:val="21"/>
                <w:highlight w:val="none"/>
              </w:rPr>
            </w:pPr>
            <w:r>
              <w:rPr>
                <w:rFonts w:hint="eastAsia" w:ascii="宋体" w:hAnsi="宋体" w:cs="宋体"/>
                <w:b/>
                <w:bCs/>
                <w:color w:val="auto"/>
                <w:szCs w:val="21"/>
                <w:highlight w:val="none"/>
              </w:rPr>
              <w:t>四、质量控制（</w:t>
            </w:r>
            <w:r>
              <w:rPr>
                <w:rFonts w:ascii="宋体" w:hAnsi="宋体" w:cs="宋体"/>
                <w:b/>
                <w:bCs/>
                <w:color w:val="auto"/>
                <w:szCs w:val="21"/>
                <w:highlight w:val="none"/>
              </w:rPr>
              <w:t>25</w:t>
            </w:r>
            <w:r>
              <w:rPr>
                <w:rFonts w:hint="eastAsia" w:ascii="宋体" w:hAnsi="宋体" w:cs="宋体"/>
                <w:b/>
                <w:bCs/>
                <w:color w:val="auto"/>
                <w:szCs w:val="21"/>
                <w:highlight w:val="none"/>
              </w:rPr>
              <w:t>分）</w:t>
            </w:r>
          </w:p>
        </w:tc>
        <w:tc>
          <w:tcPr>
            <w:tcW w:w="6581" w:type="dxa"/>
            <w:tcBorders>
              <w:top w:val="single" w:color="auto" w:sz="4" w:space="0"/>
              <w:left w:val="nil"/>
              <w:bottom w:val="single" w:color="auto" w:sz="4" w:space="0"/>
              <w:right w:val="single" w:color="auto" w:sz="4" w:space="0"/>
            </w:tcBorders>
            <w:noWrap w:val="0"/>
            <w:vAlign w:val="center"/>
          </w:tcPr>
          <w:p w14:paraId="62D64331">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未按相关规范、规程或流程、技术要求进行设计，扣5～10分/次；造成质量安全事故，当次考核得分低于70分。</w:t>
            </w:r>
          </w:p>
          <w:p w14:paraId="60578D08">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应有完善的质量管理体系，抽查发现内部审核程序不到位或记录不完整、会签不全的，扣</w:t>
            </w:r>
            <w:r>
              <w:rPr>
                <w:rFonts w:ascii="宋体" w:hAnsi="宋体" w:cs="宋体"/>
                <w:color w:val="auto"/>
                <w:szCs w:val="21"/>
                <w:highlight w:val="none"/>
                <w:lang w:eastAsia="zh-CN"/>
              </w:rPr>
              <w:t>2</w:t>
            </w:r>
            <w:r>
              <w:rPr>
                <w:rFonts w:hint="eastAsia" w:ascii="宋体" w:hAnsi="宋体" w:cs="宋体"/>
                <w:color w:val="auto"/>
                <w:szCs w:val="21"/>
                <w:highlight w:val="none"/>
                <w:lang w:eastAsia="zh-CN"/>
              </w:rPr>
              <w:t>分/次。</w:t>
            </w:r>
          </w:p>
          <w:p w14:paraId="0C3839F6">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无特殊原因，未经内部三级校审并修改后送审的，扣</w:t>
            </w:r>
            <w:r>
              <w:rPr>
                <w:rFonts w:ascii="宋体" w:hAnsi="宋体" w:cs="宋体"/>
                <w:color w:val="auto"/>
                <w:szCs w:val="21"/>
                <w:highlight w:val="none"/>
                <w:lang w:eastAsia="zh-CN"/>
              </w:rPr>
              <w:t>3</w:t>
            </w:r>
            <w:r>
              <w:rPr>
                <w:rFonts w:hint="eastAsia" w:ascii="宋体" w:hAnsi="宋体" w:cs="宋体"/>
                <w:color w:val="auto"/>
                <w:szCs w:val="21"/>
                <w:highlight w:val="none"/>
                <w:lang w:eastAsia="zh-CN"/>
              </w:rPr>
              <w:t>分/次。</w:t>
            </w:r>
          </w:p>
          <w:p w14:paraId="17704C94">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设计单位未执行集团公司下发的技术标准要求引起设计质量问题，扣5分/次。</w:t>
            </w:r>
          </w:p>
          <w:p w14:paraId="5755D5FA">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设计方案和接口的协调管理不到位，导致设计错漏，扣5分/次。</w:t>
            </w:r>
          </w:p>
          <w:p w14:paraId="70237695">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应执行而未落实各级部门审查意见和设计咨询的情况，扣</w:t>
            </w:r>
            <w:r>
              <w:rPr>
                <w:rFonts w:ascii="宋体" w:hAnsi="宋体" w:cs="宋体"/>
                <w:color w:val="auto"/>
                <w:szCs w:val="21"/>
                <w:highlight w:val="none"/>
                <w:lang w:eastAsia="zh-CN"/>
              </w:rPr>
              <w:t>2</w:t>
            </w:r>
            <w:r>
              <w:rPr>
                <w:rFonts w:hint="eastAsia" w:ascii="宋体" w:hAnsi="宋体" w:cs="宋体"/>
                <w:color w:val="auto"/>
                <w:szCs w:val="21"/>
                <w:highlight w:val="none"/>
                <w:lang w:eastAsia="zh-CN"/>
              </w:rPr>
              <w:t>分/项。</w:t>
            </w:r>
          </w:p>
        </w:tc>
        <w:tc>
          <w:tcPr>
            <w:tcW w:w="1072" w:type="dxa"/>
            <w:tcBorders>
              <w:top w:val="single" w:color="auto" w:sz="4" w:space="0"/>
              <w:left w:val="nil"/>
              <w:bottom w:val="single" w:color="auto" w:sz="4" w:space="0"/>
              <w:right w:val="single" w:color="auto" w:sz="4" w:space="0"/>
            </w:tcBorders>
            <w:noWrap w:val="0"/>
            <w:vAlign w:val="center"/>
          </w:tcPr>
          <w:p w14:paraId="5D6C6CC7">
            <w:pPr>
              <w:widowControl/>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0452F801">
            <w:pPr>
              <w:widowControl/>
              <w:jc w:val="center"/>
              <w:rPr>
                <w:rFonts w:ascii="宋体" w:hAnsi="宋体" w:cs="宋体"/>
                <w:b/>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6C0CA38B">
            <w:pPr>
              <w:widowControl/>
              <w:rPr>
                <w:rFonts w:ascii="宋体" w:hAnsi="宋体" w:cs="宋体"/>
                <w:bCs/>
                <w:color w:val="auto"/>
                <w:szCs w:val="21"/>
                <w:highlight w:val="none"/>
                <w:lang w:eastAsia="zh-CN"/>
              </w:rPr>
            </w:pPr>
          </w:p>
        </w:tc>
      </w:tr>
      <w:tr w14:paraId="0431451E">
        <w:tblPrEx>
          <w:tblCellMar>
            <w:top w:w="0" w:type="dxa"/>
            <w:left w:w="108" w:type="dxa"/>
            <w:bottom w:w="0" w:type="dxa"/>
            <w:right w:w="108" w:type="dxa"/>
          </w:tblCellMar>
        </w:tblPrEx>
        <w:trPr>
          <w:trHeight w:val="1691"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38CBBCD2">
            <w:pPr>
              <w:widowControl/>
              <w:rPr>
                <w:rFonts w:ascii="宋体" w:hAnsi="宋体" w:cs="宋体"/>
                <w:b/>
                <w:color w:val="auto"/>
                <w:szCs w:val="21"/>
                <w:highlight w:val="none"/>
              </w:rPr>
            </w:pPr>
            <w:r>
              <w:rPr>
                <w:rFonts w:hint="eastAsia" w:ascii="宋体" w:hAnsi="宋体" w:cs="宋体"/>
                <w:b/>
                <w:color w:val="auto"/>
                <w:szCs w:val="21"/>
                <w:highlight w:val="none"/>
              </w:rPr>
              <w:t>五、配合服务（20分）</w:t>
            </w:r>
          </w:p>
        </w:tc>
        <w:tc>
          <w:tcPr>
            <w:tcW w:w="6581" w:type="dxa"/>
            <w:tcBorders>
              <w:top w:val="single" w:color="auto" w:sz="4" w:space="0"/>
              <w:left w:val="nil"/>
              <w:bottom w:val="single" w:color="auto" w:sz="4" w:space="0"/>
              <w:right w:val="single" w:color="auto" w:sz="4" w:space="0"/>
            </w:tcBorders>
            <w:noWrap w:val="0"/>
            <w:vAlign w:val="center"/>
          </w:tcPr>
          <w:p w14:paraId="318B95C7">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相关人员无故不参加业主组织的各种方案审查会、协调会，扣2分/人次；汇报准备不足，质量较差，或与会人员不熟悉情况，扣2～5分/次。</w:t>
            </w:r>
          </w:p>
          <w:p w14:paraId="7D977379">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无故不参加设计例会，扣</w:t>
            </w:r>
            <w:r>
              <w:rPr>
                <w:rFonts w:ascii="宋体" w:hAnsi="宋体" w:cs="宋体"/>
                <w:color w:val="auto"/>
                <w:szCs w:val="21"/>
                <w:highlight w:val="none"/>
                <w:lang w:eastAsia="zh-CN"/>
              </w:rPr>
              <w:t>2</w:t>
            </w:r>
            <w:r>
              <w:rPr>
                <w:rFonts w:hint="eastAsia" w:ascii="宋体" w:hAnsi="宋体" w:cs="宋体"/>
                <w:color w:val="auto"/>
                <w:szCs w:val="21"/>
                <w:highlight w:val="none"/>
                <w:lang w:eastAsia="zh-CN"/>
              </w:rPr>
              <w:t>分/次。</w:t>
            </w:r>
          </w:p>
          <w:p w14:paraId="06871B00">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集团公司以会议纪要、工作联系单布置的任务未予以落实，每拖延1个工作日扣1分。</w:t>
            </w:r>
          </w:p>
          <w:p w14:paraId="7C0EE1DB">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提交资料的质量不满足集团公司要求，扣2分/次。</w:t>
            </w:r>
          </w:p>
          <w:p w14:paraId="794A8943">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设计审批和证照办理的配合情况，发生不配合的情况，扣2分/次；资料不符合要求，扣2分/次。</w:t>
            </w:r>
          </w:p>
          <w:p w14:paraId="7078EFD4">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未按时提交勘察设计周报的，扣0</w:t>
            </w:r>
            <w:r>
              <w:rPr>
                <w:rFonts w:ascii="宋体" w:hAnsi="宋体" w:cs="宋体"/>
                <w:color w:val="auto"/>
                <w:szCs w:val="21"/>
                <w:highlight w:val="none"/>
                <w:lang w:eastAsia="zh-CN"/>
              </w:rPr>
              <w:t>.5</w:t>
            </w:r>
            <w:r>
              <w:rPr>
                <w:rFonts w:hint="eastAsia" w:ascii="宋体" w:hAnsi="宋体" w:cs="宋体"/>
                <w:color w:val="auto"/>
                <w:szCs w:val="21"/>
                <w:highlight w:val="none"/>
                <w:lang w:eastAsia="zh-CN"/>
              </w:rPr>
              <w:t>分/次。</w:t>
            </w:r>
          </w:p>
        </w:tc>
        <w:tc>
          <w:tcPr>
            <w:tcW w:w="1072" w:type="dxa"/>
            <w:tcBorders>
              <w:top w:val="single" w:color="auto" w:sz="4" w:space="0"/>
              <w:left w:val="nil"/>
              <w:bottom w:val="single" w:color="auto" w:sz="4" w:space="0"/>
              <w:right w:val="single" w:color="auto" w:sz="4" w:space="0"/>
            </w:tcBorders>
            <w:noWrap w:val="0"/>
            <w:vAlign w:val="center"/>
          </w:tcPr>
          <w:p w14:paraId="21447228">
            <w:pPr>
              <w:widowControl/>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10B6CDD6">
            <w:pPr>
              <w:widowControl/>
              <w:jc w:val="center"/>
              <w:rPr>
                <w:rFonts w:ascii="宋体" w:hAnsi="宋体" w:cs="宋体"/>
                <w:b/>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054A1140">
            <w:pPr>
              <w:widowControl/>
              <w:rPr>
                <w:rFonts w:ascii="宋体" w:hAnsi="宋体" w:cs="宋体"/>
                <w:bCs/>
                <w:color w:val="auto"/>
                <w:szCs w:val="21"/>
                <w:highlight w:val="none"/>
                <w:lang w:eastAsia="zh-CN"/>
              </w:rPr>
            </w:pPr>
          </w:p>
        </w:tc>
      </w:tr>
      <w:tr w14:paraId="07767EB1">
        <w:tblPrEx>
          <w:tblCellMar>
            <w:top w:w="0" w:type="dxa"/>
            <w:left w:w="108" w:type="dxa"/>
            <w:bottom w:w="0" w:type="dxa"/>
            <w:right w:w="108" w:type="dxa"/>
          </w:tblCellMar>
        </w:tblPrEx>
        <w:trPr>
          <w:trHeight w:val="2251"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1BADE695">
            <w:pPr>
              <w:widowControl/>
              <w:rPr>
                <w:rFonts w:ascii="宋体" w:hAnsi="宋体" w:cs="宋体"/>
                <w:b/>
                <w:color w:val="auto"/>
                <w:szCs w:val="21"/>
                <w:highlight w:val="none"/>
              </w:rPr>
            </w:pPr>
            <w:r>
              <w:rPr>
                <w:rFonts w:hint="eastAsia" w:ascii="宋体" w:hAnsi="宋体" w:cs="宋体"/>
                <w:b/>
                <w:color w:val="auto"/>
                <w:szCs w:val="21"/>
                <w:highlight w:val="none"/>
              </w:rPr>
              <w:t>六、投资控制（1</w:t>
            </w:r>
            <w:r>
              <w:rPr>
                <w:rFonts w:ascii="宋体" w:hAnsi="宋体" w:cs="宋体"/>
                <w:b/>
                <w:color w:val="auto"/>
                <w:szCs w:val="21"/>
                <w:highlight w:val="none"/>
              </w:rPr>
              <w:t>0</w:t>
            </w:r>
            <w:r>
              <w:rPr>
                <w:rFonts w:hint="eastAsia" w:ascii="宋体" w:hAnsi="宋体" w:cs="宋体"/>
                <w:b/>
                <w:color w:val="auto"/>
                <w:szCs w:val="21"/>
                <w:highlight w:val="none"/>
              </w:rPr>
              <w:t>分）</w:t>
            </w:r>
          </w:p>
        </w:tc>
        <w:tc>
          <w:tcPr>
            <w:tcW w:w="6581" w:type="dxa"/>
            <w:tcBorders>
              <w:top w:val="single" w:color="auto" w:sz="4" w:space="0"/>
              <w:left w:val="nil"/>
              <w:bottom w:val="single" w:color="auto" w:sz="4" w:space="0"/>
              <w:right w:val="single" w:color="auto" w:sz="4" w:space="0"/>
            </w:tcBorders>
            <w:noWrap w:val="0"/>
            <w:vAlign w:val="center"/>
          </w:tcPr>
          <w:p w14:paraId="2BF828EC">
            <w:pPr>
              <w:pStyle w:val="6"/>
              <w:widowControl/>
              <w:numPr>
                <w:ilvl w:val="0"/>
                <w:numId w:val="15"/>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在初步设计及修改初步设计概算财评等工作阶段，非本单位原因响应不及时、配合不到位，被业主、评审单位投诉的，扣3分/次。</w:t>
            </w:r>
          </w:p>
          <w:p w14:paraId="7FFFC3A7">
            <w:pPr>
              <w:pStyle w:val="6"/>
              <w:widowControl/>
              <w:numPr>
                <w:ilvl w:val="0"/>
                <w:numId w:val="15"/>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初步设计概算不合理、缺漏错项、指标错误，导致影响技术评审决策或工程实施的，扣3分/次。</w:t>
            </w:r>
          </w:p>
          <w:p w14:paraId="38BA527C">
            <w:pPr>
              <w:pStyle w:val="6"/>
              <w:widowControl/>
              <w:numPr>
                <w:ilvl w:val="0"/>
                <w:numId w:val="15"/>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初步设计概算经政府部门终审后，由于设计原因造成的初步设计概算核减大于8%，扣5分/次。</w:t>
            </w:r>
          </w:p>
          <w:p w14:paraId="4F861BFF">
            <w:pPr>
              <w:pStyle w:val="6"/>
              <w:widowControl/>
              <w:numPr>
                <w:ilvl w:val="0"/>
                <w:numId w:val="15"/>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由于设计单位自身责任，未能按时间节点通过初步设计概算审查的，扣10分。</w:t>
            </w:r>
          </w:p>
        </w:tc>
        <w:tc>
          <w:tcPr>
            <w:tcW w:w="1072" w:type="dxa"/>
            <w:tcBorders>
              <w:top w:val="single" w:color="auto" w:sz="4" w:space="0"/>
              <w:left w:val="nil"/>
              <w:bottom w:val="single" w:color="auto" w:sz="4" w:space="0"/>
              <w:right w:val="single" w:color="auto" w:sz="4" w:space="0"/>
            </w:tcBorders>
            <w:noWrap w:val="0"/>
            <w:vAlign w:val="center"/>
          </w:tcPr>
          <w:p w14:paraId="37DAB3AA">
            <w:pPr>
              <w:widowControl/>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77542203">
            <w:pPr>
              <w:widowControl/>
              <w:jc w:val="center"/>
              <w:rPr>
                <w:rFonts w:ascii="宋体" w:hAnsi="宋体" w:cs="宋体"/>
                <w:b/>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6E7E34B1">
            <w:pPr>
              <w:widowControl/>
              <w:rPr>
                <w:rFonts w:ascii="宋体" w:hAnsi="宋体" w:cs="宋体"/>
                <w:bCs/>
                <w:color w:val="auto"/>
                <w:szCs w:val="21"/>
                <w:highlight w:val="none"/>
                <w:lang w:eastAsia="zh-CN"/>
              </w:rPr>
            </w:pPr>
          </w:p>
        </w:tc>
      </w:tr>
      <w:tr w14:paraId="09DB73CC">
        <w:tblPrEx>
          <w:tblCellMar>
            <w:top w:w="0" w:type="dxa"/>
            <w:left w:w="108" w:type="dxa"/>
            <w:bottom w:w="0" w:type="dxa"/>
            <w:right w:w="108" w:type="dxa"/>
          </w:tblCellMar>
        </w:tblPrEx>
        <w:trPr>
          <w:trHeight w:val="1971" w:hRule="atLeast"/>
          <w:jc w:val="center"/>
        </w:trPr>
        <w:tc>
          <w:tcPr>
            <w:tcW w:w="1125" w:type="dxa"/>
            <w:tcBorders>
              <w:top w:val="nil"/>
              <w:left w:val="single" w:color="auto" w:sz="4" w:space="0"/>
              <w:bottom w:val="single" w:color="auto" w:sz="4" w:space="0"/>
              <w:right w:val="single" w:color="auto" w:sz="4" w:space="0"/>
            </w:tcBorders>
            <w:noWrap w:val="0"/>
            <w:vAlign w:val="center"/>
          </w:tcPr>
          <w:p w14:paraId="77D702E2">
            <w:pPr>
              <w:widowControl/>
              <w:rPr>
                <w:rFonts w:ascii="宋体" w:hAnsi="宋体" w:cs="宋体"/>
                <w:b/>
                <w:bCs/>
                <w:color w:val="auto"/>
                <w:szCs w:val="21"/>
                <w:highlight w:val="none"/>
              </w:rPr>
            </w:pPr>
            <w:r>
              <w:rPr>
                <w:rFonts w:hint="eastAsia" w:ascii="宋体" w:hAnsi="宋体" w:cs="宋体"/>
                <w:b/>
                <w:bCs/>
                <w:color w:val="auto"/>
                <w:szCs w:val="21"/>
                <w:highlight w:val="none"/>
              </w:rPr>
              <w:t>七、报批报建</w:t>
            </w:r>
            <w:r>
              <w:rPr>
                <w:rFonts w:hint="eastAsia" w:ascii="宋体" w:hAnsi="宋体" w:cs="宋体"/>
                <w:b/>
                <w:color w:val="auto"/>
                <w:szCs w:val="21"/>
                <w:highlight w:val="none"/>
              </w:rPr>
              <w:t>（10分）</w:t>
            </w:r>
          </w:p>
        </w:tc>
        <w:tc>
          <w:tcPr>
            <w:tcW w:w="6581" w:type="dxa"/>
            <w:tcBorders>
              <w:top w:val="nil"/>
              <w:left w:val="nil"/>
              <w:bottom w:val="single" w:color="auto" w:sz="4" w:space="0"/>
              <w:right w:val="single" w:color="auto" w:sz="4" w:space="0"/>
            </w:tcBorders>
            <w:noWrap w:val="0"/>
            <w:vAlign w:val="center"/>
          </w:tcPr>
          <w:p w14:paraId="4BCF30BC">
            <w:pPr>
              <w:pStyle w:val="6"/>
              <w:widowControl/>
              <w:numPr>
                <w:ilvl w:val="0"/>
                <w:numId w:val="16"/>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 xml:space="preserve">在外部条件稳定的前提下，未按计划完成报建图，报建资料不能满足报建要求或质量存在问题的，每案扣3分；造成严重影响的每案扣5分。 </w:t>
            </w:r>
          </w:p>
          <w:p w14:paraId="52853DDB">
            <w:pPr>
              <w:pStyle w:val="6"/>
              <w:widowControl/>
              <w:numPr>
                <w:ilvl w:val="0"/>
                <w:numId w:val="16"/>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规划条件变化时，未及时核查并修改上报，影响报建进度的，扣1分/次，造成严重影响的扣5分/次。</w:t>
            </w:r>
          </w:p>
          <w:p w14:paraId="2F19ED64">
            <w:pPr>
              <w:pStyle w:val="6"/>
              <w:widowControl/>
              <w:numPr>
                <w:ilvl w:val="0"/>
                <w:numId w:val="16"/>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因图纸质量不达标或方案变更后不满足规划要求，且沟通协调不及时，严重影响报建工作推进，当次考核得分低于70分。</w:t>
            </w:r>
          </w:p>
        </w:tc>
        <w:tc>
          <w:tcPr>
            <w:tcW w:w="1072" w:type="dxa"/>
            <w:tcBorders>
              <w:top w:val="nil"/>
              <w:left w:val="nil"/>
              <w:bottom w:val="single" w:color="auto" w:sz="4" w:space="0"/>
              <w:right w:val="single" w:color="auto" w:sz="4" w:space="0"/>
            </w:tcBorders>
            <w:noWrap w:val="0"/>
            <w:vAlign w:val="center"/>
          </w:tcPr>
          <w:p w14:paraId="7C2F1CA3">
            <w:pPr>
              <w:widowControl/>
              <w:jc w:val="center"/>
              <w:rPr>
                <w:rFonts w:ascii="宋体" w:hAnsi="宋体" w:cs="宋体"/>
                <w:color w:val="auto"/>
                <w:szCs w:val="21"/>
                <w:highlight w:val="none"/>
                <w:lang w:eastAsia="zh-CN"/>
              </w:rPr>
            </w:pPr>
          </w:p>
        </w:tc>
        <w:tc>
          <w:tcPr>
            <w:tcW w:w="669" w:type="dxa"/>
            <w:tcBorders>
              <w:top w:val="nil"/>
              <w:left w:val="nil"/>
              <w:bottom w:val="single" w:color="auto" w:sz="4" w:space="0"/>
              <w:right w:val="single" w:color="auto" w:sz="4" w:space="0"/>
            </w:tcBorders>
            <w:noWrap w:val="0"/>
            <w:vAlign w:val="center"/>
          </w:tcPr>
          <w:p w14:paraId="72C80D87">
            <w:pPr>
              <w:widowControl/>
              <w:jc w:val="center"/>
              <w:rPr>
                <w:rFonts w:ascii="宋体" w:hAnsi="宋体" w:cs="宋体"/>
                <w:color w:val="auto"/>
                <w:szCs w:val="21"/>
                <w:highlight w:val="none"/>
                <w:lang w:eastAsia="zh-CN"/>
              </w:rPr>
            </w:pPr>
          </w:p>
        </w:tc>
        <w:tc>
          <w:tcPr>
            <w:tcW w:w="613" w:type="dxa"/>
            <w:tcBorders>
              <w:top w:val="nil"/>
              <w:left w:val="nil"/>
              <w:bottom w:val="single" w:color="auto" w:sz="4" w:space="0"/>
              <w:right w:val="single" w:color="auto" w:sz="4" w:space="0"/>
            </w:tcBorders>
            <w:noWrap w:val="0"/>
            <w:vAlign w:val="center"/>
          </w:tcPr>
          <w:p w14:paraId="29AD1439">
            <w:pPr>
              <w:widowControl/>
              <w:rPr>
                <w:rFonts w:ascii="宋体" w:hAnsi="宋体" w:cs="宋体"/>
                <w:bCs/>
                <w:color w:val="auto"/>
                <w:szCs w:val="21"/>
                <w:highlight w:val="none"/>
                <w:lang w:eastAsia="zh-CN"/>
              </w:rPr>
            </w:pPr>
          </w:p>
        </w:tc>
      </w:tr>
      <w:tr w14:paraId="6A948EE1">
        <w:tblPrEx>
          <w:tblCellMar>
            <w:top w:w="0" w:type="dxa"/>
            <w:left w:w="108" w:type="dxa"/>
            <w:bottom w:w="0" w:type="dxa"/>
            <w:right w:w="108" w:type="dxa"/>
          </w:tblCellMar>
        </w:tblPrEx>
        <w:trPr>
          <w:trHeight w:val="850" w:hRule="atLeast"/>
          <w:jc w:val="center"/>
        </w:trPr>
        <w:tc>
          <w:tcPr>
            <w:tcW w:w="1125" w:type="dxa"/>
            <w:tcBorders>
              <w:top w:val="single" w:color="auto" w:sz="4" w:space="0"/>
              <w:left w:val="single" w:color="auto" w:sz="4" w:space="0"/>
              <w:bottom w:val="single" w:color="auto" w:sz="4" w:space="0"/>
              <w:right w:val="single" w:color="auto" w:sz="4" w:space="0"/>
            </w:tcBorders>
            <w:noWrap w:val="0"/>
            <w:vAlign w:val="center"/>
          </w:tcPr>
          <w:p w14:paraId="0AC04D35">
            <w:pPr>
              <w:widowControl/>
              <w:rPr>
                <w:rFonts w:ascii="宋体" w:hAnsi="宋体" w:cs="宋体"/>
                <w:b/>
                <w:bCs/>
                <w:color w:val="auto"/>
                <w:szCs w:val="21"/>
                <w:highlight w:val="none"/>
              </w:rPr>
            </w:pPr>
            <w:r>
              <w:rPr>
                <w:rFonts w:hint="eastAsia" w:ascii="宋体" w:hAnsi="宋体" w:cs="宋体"/>
                <w:b/>
                <w:bCs/>
                <w:color w:val="auto"/>
                <w:szCs w:val="21"/>
                <w:highlight w:val="none"/>
              </w:rPr>
              <w:t>八、信息管理</w:t>
            </w:r>
            <w:r>
              <w:rPr>
                <w:rFonts w:hint="eastAsia" w:ascii="宋体" w:hAnsi="宋体" w:cs="宋体"/>
                <w:b/>
                <w:color w:val="auto"/>
                <w:szCs w:val="21"/>
                <w:highlight w:val="none"/>
              </w:rPr>
              <w:t>（5分）</w:t>
            </w:r>
          </w:p>
        </w:tc>
        <w:tc>
          <w:tcPr>
            <w:tcW w:w="6581" w:type="dxa"/>
            <w:tcBorders>
              <w:top w:val="single" w:color="auto" w:sz="4" w:space="0"/>
              <w:left w:val="single" w:color="auto" w:sz="4" w:space="0"/>
              <w:bottom w:val="single" w:color="auto" w:sz="4" w:space="0"/>
              <w:right w:val="single" w:color="auto" w:sz="4" w:space="0"/>
            </w:tcBorders>
            <w:noWrap w:val="0"/>
            <w:vAlign w:val="center"/>
          </w:tcPr>
          <w:p w14:paraId="3CFD8774">
            <w:pPr>
              <w:pStyle w:val="6"/>
              <w:widowControl/>
              <w:numPr>
                <w:ilvl w:val="0"/>
                <w:numId w:val="17"/>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集团公司通知的文件未在2日内及时领取，扣1分/次。</w:t>
            </w:r>
          </w:p>
          <w:p w14:paraId="679B281D">
            <w:pPr>
              <w:pStyle w:val="6"/>
              <w:widowControl/>
              <w:numPr>
                <w:ilvl w:val="0"/>
                <w:numId w:val="17"/>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未按业主要求对设计成果文件立卷归档，视情节严重情况，扣</w:t>
            </w:r>
            <w:r>
              <w:rPr>
                <w:rFonts w:ascii="宋体" w:hAnsi="宋体" w:cs="宋体"/>
                <w:color w:val="auto"/>
                <w:szCs w:val="21"/>
                <w:highlight w:val="none"/>
                <w:lang w:eastAsia="zh-CN"/>
              </w:rPr>
              <w:t>1～5</w:t>
            </w:r>
            <w:r>
              <w:rPr>
                <w:rFonts w:hint="eastAsia" w:ascii="宋体" w:hAnsi="宋体" w:cs="宋体"/>
                <w:color w:val="auto"/>
                <w:szCs w:val="21"/>
                <w:highlight w:val="none"/>
                <w:lang w:eastAsia="zh-CN"/>
              </w:rPr>
              <w:t>分/次。</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D43A166">
            <w:pPr>
              <w:widowControl/>
              <w:jc w:val="center"/>
              <w:rPr>
                <w:rFonts w:ascii="宋体" w:hAnsi="宋体" w:cs="宋体"/>
                <w:color w:val="auto"/>
                <w:szCs w:val="21"/>
                <w:highlight w:val="none"/>
                <w:lang w:eastAsia="zh-CN"/>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44AAA9E7">
            <w:pPr>
              <w:widowControl/>
              <w:jc w:val="center"/>
              <w:rPr>
                <w:rFonts w:ascii="宋体" w:hAnsi="宋体" w:cs="宋体"/>
                <w:color w:val="auto"/>
                <w:szCs w:val="21"/>
                <w:highlight w:val="none"/>
                <w:lang w:eastAsia="zh-CN"/>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30F01DC4">
            <w:pPr>
              <w:widowControl/>
              <w:rPr>
                <w:rFonts w:ascii="宋体" w:hAnsi="宋体" w:cs="宋体"/>
                <w:bCs/>
                <w:color w:val="auto"/>
                <w:szCs w:val="21"/>
                <w:highlight w:val="none"/>
                <w:lang w:eastAsia="zh-CN"/>
              </w:rPr>
            </w:pPr>
          </w:p>
        </w:tc>
      </w:tr>
      <w:tr w14:paraId="7FA3507E">
        <w:tblPrEx>
          <w:tblCellMar>
            <w:top w:w="0" w:type="dxa"/>
            <w:left w:w="108" w:type="dxa"/>
            <w:bottom w:w="0" w:type="dxa"/>
            <w:right w:w="108" w:type="dxa"/>
          </w:tblCellMar>
        </w:tblPrEx>
        <w:trPr>
          <w:trHeight w:val="2812" w:hRule="atLeast"/>
          <w:jc w:val="center"/>
        </w:trPr>
        <w:tc>
          <w:tcPr>
            <w:tcW w:w="1125" w:type="dxa"/>
            <w:tcBorders>
              <w:top w:val="single" w:color="auto" w:sz="4" w:space="0"/>
              <w:left w:val="single" w:color="auto" w:sz="4" w:space="0"/>
              <w:bottom w:val="single" w:color="auto" w:sz="4" w:space="0"/>
              <w:right w:val="single" w:color="auto" w:sz="4" w:space="0"/>
            </w:tcBorders>
            <w:noWrap w:val="0"/>
            <w:vAlign w:val="center"/>
          </w:tcPr>
          <w:p w14:paraId="1281E334">
            <w:pPr>
              <w:widowControl/>
              <w:rPr>
                <w:rFonts w:ascii="宋体" w:hAnsi="宋体" w:cs="宋体"/>
                <w:b/>
                <w:bCs/>
                <w:color w:val="auto"/>
                <w:szCs w:val="21"/>
                <w:highlight w:val="none"/>
              </w:rPr>
            </w:pPr>
            <w:r>
              <w:rPr>
                <w:rFonts w:hint="eastAsia" w:ascii="宋体" w:hAnsi="宋体" w:cs="宋体"/>
                <w:b/>
                <w:bCs/>
                <w:color w:val="auto"/>
                <w:szCs w:val="21"/>
                <w:highlight w:val="none"/>
              </w:rPr>
              <w:t>九、加分项</w:t>
            </w:r>
          </w:p>
          <w:p w14:paraId="253C9139">
            <w:pPr>
              <w:widowControl/>
              <w:jc w:val="center"/>
              <w:rPr>
                <w:rFonts w:ascii="宋体" w:hAnsi="宋体"/>
                <w:b/>
                <w:bCs/>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10</w:t>
            </w:r>
            <w:r>
              <w:rPr>
                <w:rFonts w:hint="eastAsia" w:ascii="宋体" w:hAnsi="宋体" w:cs="宋体"/>
                <w:b/>
                <w:color w:val="auto"/>
                <w:szCs w:val="21"/>
                <w:highlight w:val="none"/>
              </w:rPr>
              <w:t>分）</w:t>
            </w:r>
          </w:p>
        </w:tc>
        <w:tc>
          <w:tcPr>
            <w:tcW w:w="6581" w:type="dxa"/>
            <w:tcBorders>
              <w:top w:val="single" w:color="auto" w:sz="4" w:space="0"/>
              <w:left w:val="nil"/>
              <w:bottom w:val="single" w:color="auto" w:sz="4" w:space="0"/>
              <w:right w:val="single" w:color="auto" w:sz="4" w:space="0"/>
            </w:tcBorders>
            <w:noWrap w:val="0"/>
            <w:vAlign w:val="center"/>
          </w:tcPr>
          <w:p w14:paraId="2A1B516A">
            <w:pPr>
              <w:pStyle w:val="6"/>
              <w:numPr>
                <w:ilvl w:val="0"/>
                <w:numId w:val="18"/>
              </w:numPr>
              <w:ind w:firstLine="0"/>
              <w:jc w:val="both"/>
              <w:rPr>
                <w:rFonts w:ascii="宋体" w:hAnsi="宋体" w:cs="宋体"/>
                <w:color w:val="auto"/>
                <w:szCs w:val="21"/>
                <w:highlight w:val="none"/>
              </w:rPr>
            </w:pPr>
            <w:r>
              <w:rPr>
                <w:rFonts w:hint="eastAsia" w:ascii="宋体" w:hAnsi="宋体" w:cs="宋体"/>
                <w:color w:val="auto"/>
                <w:szCs w:val="21"/>
                <w:highlight w:val="none"/>
                <w:lang w:eastAsia="zh-CN"/>
              </w:rPr>
              <w:t>提交论文或课题并得到建设单位评审认可的，论文每篇加1分、课题每项加2分。</w:t>
            </w:r>
            <w:r>
              <w:rPr>
                <w:rFonts w:hint="eastAsia" w:ascii="宋体" w:hAnsi="宋体" w:cs="宋体"/>
                <w:color w:val="auto"/>
                <w:szCs w:val="21"/>
                <w:highlight w:val="none"/>
              </w:rPr>
              <w:t>本项最高得分5分。</w:t>
            </w:r>
          </w:p>
          <w:p w14:paraId="0663F9EA">
            <w:pPr>
              <w:pStyle w:val="6"/>
              <w:numPr>
                <w:ilvl w:val="0"/>
                <w:numId w:val="18"/>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积极提出新技术、新工艺、新材料、新设备在本项目中应用，具有一定的技术经济效益在项目中应用，每项加1分，本项最高得分5分。</w:t>
            </w:r>
          </w:p>
          <w:p w14:paraId="46F6D2FA">
            <w:pPr>
              <w:pStyle w:val="6"/>
              <w:numPr>
                <w:ilvl w:val="0"/>
                <w:numId w:val="18"/>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设计单位举证，提出合理化方案、建议，节省投资，或缩减工期，或提高质量，或具有绿色、节能、智慧、智能等特征并有一定社会、经济效应的，经考评人2/</w:t>
            </w:r>
            <w:r>
              <w:rPr>
                <w:rFonts w:ascii="宋体" w:hAnsi="宋体" w:cs="宋体"/>
                <w:color w:val="auto"/>
                <w:szCs w:val="21"/>
                <w:highlight w:val="none"/>
                <w:lang w:eastAsia="zh-CN"/>
              </w:rPr>
              <w:t>3</w:t>
            </w:r>
            <w:r>
              <w:rPr>
                <w:rFonts w:hint="eastAsia" w:ascii="宋体" w:hAnsi="宋体" w:cs="宋体"/>
                <w:color w:val="auto"/>
                <w:szCs w:val="21"/>
                <w:highlight w:val="none"/>
                <w:lang w:eastAsia="zh-CN"/>
              </w:rPr>
              <w:t>的多数同意，适当加1～</w:t>
            </w:r>
            <w:r>
              <w:rPr>
                <w:rFonts w:ascii="宋体" w:hAnsi="宋体" w:cs="宋体"/>
                <w:color w:val="auto"/>
                <w:szCs w:val="21"/>
                <w:highlight w:val="none"/>
                <w:lang w:eastAsia="zh-CN"/>
              </w:rPr>
              <w:t>5</w:t>
            </w:r>
            <w:r>
              <w:rPr>
                <w:rFonts w:hint="eastAsia" w:ascii="宋体" w:hAnsi="宋体" w:cs="宋体"/>
                <w:color w:val="auto"/>
                <w:szCs w:val="21"/>
                <w:highlight w:val="none"/>
                <w:lang w:eastAsia="zh-CN"/>
              </w:rPr>
              <w:t>分。</w:t>
            </w:r>
          </w:p>
          <w:p w14:paraId="1D91C748">
            <w:pPr>
              <w:pStyle w:val="6"/>
              <w:numPr>
                <w:ilvl w:val="0"/>
                <w:numId w:val="18"/>
              </w:numPr>
              <w:ind w:firstLine="0"/>
              <w:jc w:val="both"/>
              <w:rPr>
                <w:rFonts w:ascii="宋体" w:hAnsi="宋体" w:cs="宋体"/>
                <w:color w:val="auto"/>
                <w:szCs w:val="21"/>
                <w:highlight w:val="none"/>
                <w:lang w:eastAsia="zh-CN"/>
              </w:rPr>
            </w:pPr>
            <w:r>
              <w:rPr>
                <w:rFonts w:hint="eastAsia" w:ascii="宋体" w:hAnsi="宋体" w:cs="宋体"/>
                <w:bCs/>
                <w:color w:val="auto"/>
                <w:szCs w:val="21"/>
                <w:highlight w:val="none"/>
                <w:lang w:eastAsia="zh-CN"/>
              </w:rPr>
              <w:t>受到建设单位或</w:t>
            </w:r>
            <w:r>
              <w:rPr>
                <w:rFonts w:hint="eastAsia" w:ascii="宋体" w:hAnsi="宋体" w:cs="宋体"/>
                <w:color w:val="auto"/>
                <w:szCs w:val="21"/>
                <w:highlight w:val="none"/>
                <w:lang w:eastAsia="zh-CN"/>
              </w:rPr>
              <w:t>区级以上建设行政主管部门</w:t>
            </w:r>
            <w:r>
              <w:rPr>
                <w:rFonts w:hint="eastAsia" w:ascii="宋体" w:hAnsi="宋体" w:cs="宋体"/>
                <w:bCs/>
                <w:color w:val="auto"/>
                <w:szCs w:val="21"/>
                <w:highlight w:val="none"/>
                <w:lang w:eastAsia="zh-CN"/>
              </w:rPr>
              <w:t>书面表扬，每次加2分。</w:t>
            </w:r>
          </w:p>
        </w:tc>
        <w:tc>
          <w:tcPr>
            <w:tcW w:w="1072" w:type="dxa"/>
            <w:tcBorders>
              <w:top w:val="single" w:color="auto" w:sz="4" w:space="0"/>
              <w:left w:val="nil"/>
              <w:bottom w:val="single" w:color="auto" w:sz="4" w:space="0"/>
              <w:right w:val="single" w:color="auto" w:sz="4" w:space="0"/>
            </w:tcBorders>
            <w:noWrap w:val="0"/>
            <w:vAlign w:val="center"/>
          </w:tcPr>
          <w:p w14:paraId="07519098">
            <w:pPr>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775C42CF">
            <w:pPr>
              <w:jc w:val="center"/>
              <w:rPr>
                <w:rFonts w:ascii="宋体" w:hAnsi="宋体" w:cs="宋体"/>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07147D75">
            <w:pPr>
              <w:widowControl/>
              <w:rPr>
                <w:rFonts w:ascii="宋体" w:hAnsi="宋体" w:cs="宋体"/>
                <w:bCs/>
                <w:color w:val="auto"/>
                <w:szCs w:val="21"/>
                <w:highlight w:val="none"/>
                <w:lang w:eastAsia="zh-CN"/>
              </w:rPr>
            </w:pPr>
          </w:p>
        </w:tc>
      </w:tr>
      <w:tr w14:paraId="5087AC8D">
        <w:tblPrEx>
          <w:tblCellMar>
            <w:top w:w="0" w:type="dxa"/>
            <w:left w:w="108" w:type="dxa"/>
            <w:bottom w:w="0" w:type="dxa"/>
            <w:right w:w="108" w:type="dxa"/>
          </w:tblCellMar>
        </w:tblPrEx>
        <w:trPr>
          <w:trHeight w:val="1131" w:hRule="atLeast"/>
          <w:jc w:val="center"/>
        </w:trPr>
        <w:tc>
          <w:tcPr>
            <w:tcW w:w="1125" w:type="dxa"/>
            <w:tcBorders>
              <w:top w:val="single" w:color="auto" w:sz="4" w:space="0"/>
              <w:left w:val="single" w:color="auto" w:sz="4" w:space="0"/>
              <w:bottom w:val="single" w:color="auto" w:sz="4" w:space="0"/>
              <w:right w:val="single" w:color="auto" w:sz="4" w:space="0"/>
            </w:tcBorders>
            <w:noWrap w:val="0"/>
            <w:vAlign w:val="center"/>
          </w:tcPr>
          <w:p w14:paraId="42074AEE">
            <w:pPr>
              <w:widowControl/>
              <w:jc w:val="center"/>
              <w:rPr>
                <w:rFonts w:ascii="宋体" w:hAnsi="宋体" w:cs="宋体"/>
                <w:b/>
                <w:color w:val="auto"/>
                <w:szCs w:val="21"/>
                <w:highlight w:val="none"/>
                <w:lang w:eastAsia="zh-CN"/>
              </w:rPr>
            </w:pPr>
            <w:r>
              <w:rPr>
                <w:rFonts w:hint="eastAsia" w:ascii="宋体" w:hAnsi="宋体" w:cs="宋体"/>
                <w:b/>
                <w:color w:val="auto"/>
                <w:szCs w:val="21"/>
                <w:highlight w:val="none"/>
                <w:lang w:eastAsia="zh-CN"/>
              </w:rPr>
              <w:t>建设单位综合评价意见</w:t>
            </w:r>
          </w:p>
        </w:tc>
        <w:tc>
          <w:tcPr>
            <w:tcW w:w="6581" w:type="dxa"/>
            <w:tcBorders>
              <w:top w:val="single" w:color="auto" w:sz="4" w:space="0"/>
              <w:left w:val="nil"/>
              <w:bottom w:val="single" w:color="auto" w:sz="4" w:space="0"/>
              <w:right w:val="single" w:color="auto" w:sz="4" w:space="0"/>
            </w:tcBorders>
            <w:noWrap w:val="0"/>
            <w:vAlign w:val="center"/>
          </w:tcPr>
          <w:p w14:paraId="3C6B54EC">
            <w:pPr>
              <w:rPr>
                <w:rFonts w:ascii="宋体" w:hAnsi="宋体" w:cs="宋体"/>
                <w:color w:val="auto"/>
                <w:szCs w:val="21"/>
                <w:highlight w:val="none"/>
              </w:rPr>
            </w:pPr>
            <w:r>
              <w:rPr>
                <w:rFonts w:hint="eastAsia" w:ascii="宋体" w:hAnsi="宋体" w:cs="宋体"/>
                <w:color w:val="auto"/>
                <w:szCs w:val="21"/>
                <w:highlight w:val="none"/>
              </w:rPr>
              <w:t>优秀（得分≥90分）</w:t>
            </w:r>
          </w:p>
          <w:p w14:paraId="14B14B9D">
            <w:pPr>
              <w:rPr>
                <w:rFonts w:ascii="宋体" w:hAnsi="宋体" w:cs="宋体"/>
                <w:color w:val="auto"/>
                <w:szCs w:val="21"/>
                <w:highlight w:val="none"/>
              </w:rPr>
            </w:pPr>
            <w:r>
              <w:rPr>
                <w:rFonts w:hint="eastAsia" w:ascii="宋体" w:hAnsi="宋体" w:cs="宋体"/>
                <w:color w:val="auto"/>
                <w:szCs w:val="21"/>
                <w:highlight w:val="none"/>
              </w:rPr>
              <w:t>良好（得分≥80分且＜90分）</w:t>
            </w:r>
          </w:p>
          <w:p w14:paraId="60483EFE">
            <w:pPr>
              <w:rPr>
                <w:rFonts w:ascii="宋体" w:hAnsi="宋体" w:cs="宋体"/>
                <w:color w:val="auto"/>
                <w:szCs w:val="21"/>
                <w:highlight w:val="none"/>
              </w:rPr>
            </w:pPr>
            <w:r>
              <w:rPr>
                <w:rFonts w:hint="eastAsia" w:ascii="宋体" w:hAnsi="宋体" w:cs="宋体"/>
                <w:color w:val="auto"/>
                <w:szCs w:val="21"/>
                <w:highlight w:val="none"/>
              </w:rPr>
              <w:t>合格（得分≥70分且＜80分）</w:t>
            </w:r>
          </w:p>
          <w:p w14:paraId="2FEFBF52">
            <w:pPr>
              <w:rPr>
                <w:rFonts w:ascii="宋体" w:hAnsi="宋体" w:cs="宋体"/>
                <w:color w:val="auto"/>
                <w:szCs w:val="21"/>
                <w:highlight w:val="none"/>
              </w:rPr>
            </w:pPr>
            <w:r>
              <w:rPr>
                <w:rFonts w:hint="eastAsia" w:ascii="宋体" w:hAnsi="宋体" w:cs="宋体"/>
                <w:color w:val="auto"/>
                <w:szCs w:val="21"/>
                <w:highlight w:val="none"/>
              </w:rPr>
              <w:t>不合格（得分＜70分）</w:t>
            </w:r>
          </w:p>
        </w:tc>
        <w:tc>
          <w:tcPr>
            <w:tcW w:w="2354" w:type="dxa"/>
            <w:gridSpan w:val="3"/>
            <w:tcBorders>
              <w:top w:val="single" w:color="auto" w:sz="4" w:space="0"/>
              <w:left w:val="nil"/>
              <w:bottom w:val="single" w:color="auto" w:sz="4" w:space="0"/>
              <w:right w:val="single" w:color="auto" w:sz="4" w:space="0"/>
            </w:tcBorders>
            <w:noWrap w:val="0"/>
            <w:vAlign w:val="center"/>
          </w:tcPr>
          <w:p w14:paraId="6780C42A">
            <w:pPr>
              <w:widowControl/>
              <w:rPr>
                <w:rFonts w:ascii="宋体" w:hAnsi="宋体" w:cs="宋体"/>
                <w:bCs/>
                <w:color w:val="auto"/>
                <w:szCs w:val="21"/>
                <w:highlight w:val="none"/>
              </w:rPr>
            </w:pPr>
          </w:p>
        </w:tc>
      </w:tr>
      <w:tr w14:paraId="15EC9AEF">
        <w:tblPrEx>
          <w:tblCellMar>
            <w:top w:w="0" w:type="dxa"/>
            <w:left w:w="108" w:type="dxa"/>
            <w:bottom w:w="0" w:type="dxa"/>
            <w:right w:w="108" w:type="dxa"/>
          </w:tblCellMar>
        </w:tblPrEx>
        <w:trPr>
          <w:trHeight w:val="2163" w:hRule="atLeast"/>
          <w:jc w:val="center"/>
        </w:trPr>
        <w:tc>
          <w:tcPr>
            <w:tcW w:w="1125" w:type="dxa"/>
            <w:tcBorders>
              <w:top w:val="single" w:color="auto" w:sz="4" w:space="0"/>
              <w:left w:val="single" w:color="auto" w:sz="4" w:space="0"/>
              <w:bottom w:val="single" w:color="000000" w:sz="4" w:space="0"/>
              <w:right w:val="single" w:color="auto" w:sz="4" w:space="0"/>
            </w:tcBorders>
            <w:noWrap w:val="0"/>
            <w:vAlign w:val="center"/>
          </w:tcPr>
          <w:p w14:paraId="21E098D4">
            <w:pPr>
              <w:jc w:val="center"/>
              <w:rPr>
                <w:rFonts w:ascii="宋体" w:hAnsi="宋体"/>
                <w:b/>
                <w:bCs/>
                <w:color w:val="auto"/>
                <w:szCs w:val="21"/>
                <w:highlight w:val="none"/>
              </w:rPr>
            </w:pPr>
            <w:r>
              <w:rPr>
                <w:rFonts w:hint="eastAsia" w:ascii="宋体" w:hAnsi="宋体"/>
                <w:b/>
                <w:bCs/>
                <w:color w:val="auto"/>
                <w:szCs w:val="21"/>
                <w:highlight w:val="none"/>
              </w:rPr>
              <w:t>考评人员签字</w:t>
            </w:r>
          </w:p>
        </w:tc>
        <w:tc>
          <w:tcPr>
            <w:tcW w:w="8935" w:type="dxa"/>
            <w:gridSpan w:val="4"/>
            <w:tcBorders>
              <w:top w:val="single" w:color="auto" w:sz="4" w:space="0"/>
              <w:left w:val="nil"/>
              <w:bottom w:val="single" w:color="auto" w:sz="4" w:space="0"/>
              <w:right w:val="single" w:color="auto" w:sz="4" w:space="0"/>
            </w:tcBorders>
            <w:noWrap w:val="0"/>
            <w:vAlign w:val="center"/>
          </w:tcPr>
          <w:p w14:paraId="7E25D357">
            <w:pPr>
              <w:jc w:val="center"/>
              <w:rPr>
                <w:rFonts w:ascii="宋体" w:hAnsi="宋体" w:cs="宋体"/>
                <w:b/>
                <w:bCs/>
                <w:color w:val="auto"/>
                <w:szCs w:val="21"/>
                <w:highlight w:val="none"/>
              </w:rPr>
            </w:pPr>
          </w:p>
        </w:tc>
      </w:tr>
    </w:tbl>
    <w:p w14:paraId="09560689">
      <w:pPr>
        <w:pStyle w:val="4"/>
        <w:spacing w:line="360" w:lineRule="auto"/>
        <w:ind w:left="0"/>
        <w:rPr>
          <w:rFonts w:hint="eastAsia" w:ascii="宋体" w:hAnsi="宋体" w:eastAsia="宋体"/>
          <w:color w:val="auto"/>
          <w:highlight w:val="none"/>
          <w:lang w:eastAsia="zh-CN"/>
        </w:rPr>
      </w:pPr>
    </w:p>
    <w:sectPr>
      <w:footerReference r:id="rId7" w:type="first"/>
      <w:headerReference r:id="rId5" w:type="default"/>
      <w:footerReference r:id="rId6" w:type="default"/>
      <w:pgSz w:w="11905" w:h="16838"/>
      <w:pgMar w:top="1440" w:right="1440" w:bottom="1440" w:left="1440" w:header="0" w:footer="918"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Webdings">
    <w:panose1 w:val="05030102010509060703"/>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004AE">
    <w:pPr>
      <w:pStyle w:val="1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E52377">
                          <w:pPr>
                            <w:pStyle w:val="18"/>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106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DJr8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lDiuMWBX358v/z8ffn1jSyr&#10;m9dZoT5AjYn3AVPT8NYPOXvyAzoz8UFFm79IiWAc9T1f9ZVDIiI/Wq/W6wpDAmPzBXHYw/MQIb2T&#10;3pJsNDTiAIuu/PQB0pg6p+Rqzt9pY9DPa+P+ciBm9rDc+9hjttKwH6bG9749I58eZ99Qh6tOiXnv&#10;UNq8JrMRZ2M/G8cQ9aEre5TrQXhzTNhE6S1XGGGnwji0wm5asLwVj+8l6+Gn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GAya/LAQAAnAMAAA4AAAAAAAAAAQAgAAAAHgEAAGRycy9lMm9E&#10;b2MueG1sUEsFBgAAAAAGAAYAWQEAAFsFAAAAAA==&#10;">
              <v:fill on="f" focussize="0,0"/>
              <v:stroke on="f"/>
              <v:imagedata o:title=""/>
              <o:lock v:ext="edit" aspectratio="f"/>
              <v:textbox inset="0mm,0mm,0mm,0mm" style="mso-fit-shape-to-text:t;">
                <w:txbxContent>
                  <w:p w14:paraId="04E52377">
                    <w:pPr>
                      <w:pStyle w:val="1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2D7F">
    <w:pPr>
      <w:spacing w:line="14" w:lineRule="auto"/>
      <w:rPr>
        <w:rFonts w:hint="eastAsia" w:eastAsia="宋体"/>
        <w:sz w:val="20"/>
        <w:szCs w:val="20"/>
        <w:lang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E310EE">
                          <w:pPr>
                            <w:pStyle w:val="18"/>
                          </w:pPr>
                          <w:r>
                            <w:fldChar w:fldCharType="begin"/>
                          </w:r>
                          <w:r>
                            <w:instrText xml:space="preserve"> PAGE  \* MERGEFORMAT </w:instrText>
                          </w:r>
                          <w:r>
                            <w:fldChar w:fldCharType="separate"/>
                          </w:r>
                          <w:r>
                            <w:t>186</w:t>
                          </w:r>
                          <w:r>
                            <w:fldChar w:fldCharType="end"/>
                          </w:r>
                        </w:p>
                      </w:txbxContent>
                    </wps:txbx>
                    <wps:bodyPr vert="horz" wrap="none" lIns="0" tIns="0" rIns="0" bIns="0" anchor="t" anchorCtr="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KnbW98BAADBAwAADgAAAAAA&#10;AAABACAAAAAeAQAAZHJzL2Uyb0RvYy54bWxQSwUGAAAAAAYABgBZAQAAbwUAAAAA&#10;">
              <v:fill on="f" focussize="0,0"/>
              <v:stroke on="f"/>
              <v:imagedata o:title=""/>
              <o:lock v:ext="edit" aspectratio="f"/>
              <v:textbox inset="0mm,0mm,0mm,0mm" style="mso-fit-shape-to-text:t;">
                <w:txbxContent>
                  <w:p w14:paraId="78E310EE">
                    <w:pPr>
                      <w:pStyle w:val="18"/>
                    </w:pPr>
                    <w:r>
                      <w:fldChar w:fldCharType="begin"/>
                    </w:r>
                    <w:r>
                      <w:instrText xml:space="preserve"> PAGE  \* MERGEFORMAT </w:instrText>
                    </w:r>
                    <w:r>
                      <w:fldChar w:fldCharType="separate"/>
                    </w:r>
                    <w:r>
                      <w:t>186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214A2">
    <w:pPr>
      <w:pStyle w:val="18"/>
      <w:jc w:val="center"/>
    </w:pPr>
    <w:r>
      <w:fldChar w:fldCharType="begin"/>
    </w:r>
    <w:r>
      <w:instrText xml:space="preserve"> PAGE   \* MERGEFORMAT </w:instrText>
    </w:r>
    <w:r>
      <w:fldChar w:fldCharType="separate"/>
    </w:r>
    <w:r>
      <w:rPr>
        <w:lang w:val="zh-CN"/>
      </w:rPr>
      <w:t>82</w:t>
    </w:r>
    <w:r>
      <w:fldChar w:fldCharType="end"/>
    </w:r>
  </w:p>
  <w:p w14:paraId="6991BFFA">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E3991">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8732">
    <w:pPr>
      <w:pStyle w:val="1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B0EDF"/>
    <w:multiLevelType w:val="singleLevel"/>
    <w:tmpl w:val="8DEB0EDF"/>
    <w:lvl w:ilvl="0" w:tentative="0">
      <w:start w:val="1"/>
      <w:numFmt w:val="decimal"/>
      <w:suff w:val="nothing"/>
      <w:lvlText w:val="%1．"/>
      <w:lvlJc w:val="left"/>
      <w:pPr>
        <w:ind w:left="0" w:firstLine="400"/>
      </w:pPr>
      <w:rPr>
        <w:rFonts w:hint="default"/>
      </w:rPr>
    </w:lvl>
  </w:abstractNum>
  <w:abstractNum w:abstractNumId="1">
    <w:nsid w:val="DD32603F"/>
    <w:multiLevelType w:val="singleLevel"/>
    <w:tmpl w:val="DD32603F"/>
    <w:lvl w:ilvl="0" w:tentative="0">
      <w:start w:val="1"/>
      <w:numFmt w:val="decimal"/>
      <w:suff w:val="nothing"/>
      <w:lvlText w:val="（%1）"/>
      <w:lvlJc w:val="left"/>
      <w:rPr>
        <w:rFonts w:hint="default"/>
        <w:highlight w:val="yellow"/>
      </w:rPr>
    </w:lvl>
  </w:abstractNum>
  <w:abstractNum w:abstractNumId="2">
    <w:nsid w:val="E44C637B"/>
    <w:multiLevelType w:val="singleLevel"/>
    <w:tmpl w:val="E44C637B"/>
    <w:lvl w:ilvl="0" w:tentative="0">
      <w:start w:val="1"/>
      <w:numFmt w:val="decimal"/>
      <w:suff w:val="nothing"/>
      <w:lvlText w:val="%1．"/>
      <w:lvlJc w:val="left"/>
      <w:pPr>
        <w:ind w:left="0" w:firstLine="400"/>
      </w:pPr>
      <w:rPr>
        <w:rFonts w:hint="default"/>
      </w:rPr>
    </w:lvl>
  </w:abstractNum>
  <w:abstractNum w:abstractNumId="3">
    <w:nsid w:val="EFF5AA8F"/>
    <w:multiLevelType w:val="singleLevel"/>
    <w:tmpl w:val="EFF5AA8F"/>
    <w:lvl w:ilvl="0" w:tentative="0">
      <w:start w:val="1"/>
      <w:numFmt w:val="decimal"/>
      <w:suff w:val="nothing"/>
      <w:lvlText w:val="%1．"/>
      <w:lvlJc w:val="left"/>
      <w:pPr>
        <w:ind w:left="0" w:firstLine="400"/>
      </w:pPr>
      <w:rPr>
        <w:rFonts w:hint="default"/>
      </w:rPr>
    </w:lvl>
  </w:abstractNum>
  <w:abstractNum w:abstractNumId="4">
    <w:nsid w:val="15337CD4"/>
    <w:multiLevelType w:val="singleLevel"/>
    <w:tmpl w:val="15337CD4"/>
    <w:lvl w:ilvl="0" w:tentative="0">
      <w:start w:val="1"/>
      <w:numFmt w:val="decimal"/>
      <w:suff w:val="nothing"/>
      <w:lvlText w:val="%1．"/>
      <w:lvlJc w:val="left"/>
      <w:pPr>
        <w:ind w:left="0" w:firstLine="400"/>
      </w:pPr>
      <w:rPr>
        <w:rFonts w:hint="default"/>
      </w:rPr>
    </w:lvl>
  </w:abstractNum>
  <w:abstractNum w:abstractNumId="5">
    <w:nsid w:val="216D2D6B"/>
    <w:multiLevelType w:val="singleLevel"/>
    <w:tmpl w:val="216D2D6B"/>
    <w:lvl w:ilvl="0" w:tentative="0">
      <w:start w:val="1"/>
      <w:numFmt w:val="decimal"/>
      <w:suff w:val="nothing"/>
      <w:lvlText w:val="%1．"/>
      <w:lvlJc w:val="left"/>
      <w:pPr>
        <w:ind w:left="0" w:firstLine="400"/>
      </w:pPr>
      <w:rPr>
        <w:rFonts w:hint="default"/>
      </w:rPr>
    </w:lvl>
  </w:abstractNum>
  <w:abstractNum w:abstractNumId="6">
    <w:nsid w:val="2BEF1457"/>
    <w:multiLevelType w:val="singleLevel"/>
    <w:tmpl w:val="2BEF1457"/>
    <w:lvl w:ilvl="0" w:tentative="0">
      <w:start w:val="1"/>
      <w:numFmt w:val="decimal"/>
      <w:suff w:val="nothing"/>
      <w:lvlText w:val="%1．"/>
      <w:lvlJc w:val="left"/>
      <w:pPr>
        <w:ind w:left="0" w:firstLine="400"/>
      </w:pPr>
      <w:rPr>
        <w:rFonts w:hint="default"/>
      </w:rPr>
    </w:lvl>
  </w:abstractNum>
  <w:abstractNum w:abstractNumId="7">
    <w:nsid w:val="2F652B90"/>
    <w:multiLevelType w:val="singleLevel"/>
    <w:tmpl w:val="2F652B90"/>
    <w:lvl w:ilvl="0" w:tentative="0">
      <w:start w:val="1"/>
      <w:numFmt w:val="decimal"/>
      <w:suff w:val="nothing"/>
      <w:lvlText w:val="%1．"/>
      <w:lvlJc w:val="left"/>
      <w:pPr>
        <w:ind w:left="0" w:firstLine="400"/>
      </w:pPr>
      <w:rPr>
        <w:rFonts w:hint="default"/>
      </w:rPr>
    </w:lvl>
  </w:abstractNum>
  <w:abstractNum w:abstractNumId="8">
    <w:nsid w:val="30DAC3DC"/>
    <w:multiLevelType w:val="singleLevel"/>
    <w:tmpl w:val="30DAC3DC"/>
    <w:lvl w:ilvl="0" w:tentative="0">
      <w:start w:val="1"/>
      <w:numFmt w:val="decimal"/>
      <w:suff w:val="nothing"/>
      <w:lvlText w:val="%1．"/>
      <w:lvlJc w:val="left"/>
      <w:pPr>
        <w:ind w:left="0" w:firstLine="400"/>
      </w:pPr>
      <w:rPr>
        <w:rFonts w:hint="default"/>
      </w:rPr>
    </w:lvl>
  </w:abstractNum>
  <w:abstractNum w:abstractNumId="9">
    <w:nsid w:val="3D6C202E"/>
    <w:multiLevelType w:val="singleLevel"/>
    <w:tmpl w:val="3D6C202E"/>
    <w:lvl w:ilvl="0" w:tentative="0">
      <w:start w:val="1"/>
      <w:numFmt w:val="decimal"/>
      <w:suff w:val="nothing"/>
      <w:lvlText w:val="%1．"/>
      <w:lvlJc w:val="left"/>
      <w:pPr>
        <w:ind w:left="0" w:firstLine="400"/>
      </w:pPr>
      <w:rPr>
        <w:rFonts w:hint="default"/>
      </w:rPr>
    </w:lvl>
  </w:abstractNum>
  <w:abstractNum w:abstractNumId="10">
    <w:nsid w:val="48493162"/>
    <w:multiLevelType w:val="singleLevel"/>
    <w:tmpl w:val="48493162"/>
    <w:lvl w:ilvl="0" w:tentative="0">
      <w:start w:val="1"/>
      <w:numFmt w:val="decimal"/>
      <w:suff w:val="nothing"/>
      <w:lvlText w:val="%1．"/>
      <w:lvlJc w:val="left"/>
      <w:pPr>
        <w:ind w:left="0" w:firstLine="400"/>
      </w:pPr>
      <w:rPr>
        <w:rFonts w:hint="default"/>
      </w:rPr>
    </w:lvl>
  </w:abstractNum>
  <w:abstractNum w:abstractNumId="11">
    <w:nsid w:val="49F40793"/>
    <w:multiLevelType w:val="singleLevel"/>
    <w:tmpl w:val="49F40793"/>
    <w:lvl w:ilvl="0" w:tentative="0">
      <w:start w:val="1"/>
      <w:numFmt w:val="decimal"/>
      <w:suff w:val="nothing"/>
      <w:lvlText w:val="%1．"/>
      <w:lvlJc w:val="left"/>
      <w:pPr>
        <w:ind w:left="0" w:firstLine="400"/>
      </w:pPr>
      <w:rPr>
        <w:rFonts w:hint="default"/>
      </w:rPr>
    </w:lvl>
  </w:abstractNum>
  <w:abstractNum w:abstractNumId="12">
    <w:nsid w:val="536CA5A0"/>
    <w:multiLevelType w:val="singleLevel"/>
    <w:tmpl w:val="536CA5A0"/>
    <w:lvl w:ilvl="0" w:tentative="0">
      <w:start w:val="1"/>
      <w:numFmt w:val="decimal"/>
      <w:suff w:val="nothing"/>
      <w:lvlText w:val="%1．"/>
      <w:lvlJc w:val="left"/>
      <w:pPr>
        <w:ind w:left="0" w:firstLine="400"/>
      </w:pPr>
      <w:rPr>
        <w:rFonts w:hint="default"/>
      </w:rPr>
    </w:lvl>
  </w:abstractNum>
  <w:abstractNum w:abstractNumId="13">
    <w:nsid w:val="55F15025"/>
    <w:multiLevelType w:val="singleLevel"/>
    <w:tmpl w:val="55F15025"/>
    <w:lvl w:ilvl="0" w:tentative="0">
      <w:start w:val="1"/>
      <w:numFmt w:val="decimal"/>
      <w:suff w:val="nothing"/>
      <w:lvlText w:val="%1．"/>
      <w:lvlJc w:val="left"/>
      <w:pPr>
        <w:ind w:left="0" w:firstLine="400"/>
      </w:pPr>
      <w:rPr>
        <w:rFonts w:hint="default"/>
      </w:rPr>
    </w:lvl>
  </w:abstractNum>
  <w:abstractNum w:abstractNumId="14">
    <w:nsid w:val="5751F496"/>
    <w:multiLevelType w:val="singleLevel"/>
    <w:tmpl w:val="5751F496"/>
    <w:lvl w:ilvl="0" w:tentative="0">
      <w:start w:val="2"/>
      <w:numFmt w:val="decimal"/>
      <w:suff w:val="nothing"/>
      <w:lvlText w:val="%1、"/>
      <w:lvlJc w:val="left"/>
    </w:lvl>
  </w:abstractNum>
  <w:abstractNum w:abstractNumId="15">
    <w:nsid w:val="5F33432B"/>
    <w:multiLevelType w:val="singleLevel"/>
    <w:tmpl w:val="5F33432B"/>
    <w:lvl w:ilvl="0" w:tentative="0">
      <w:start w:val="1"/>
      <w:numFmt w:val="decimal"/>
      <w:suff w:val="nothing"/>
      <w:lvlText w:val="%1．"/>
      <w:lvlJc w:val="left"/>
      <w:pPr>
        <w:ind w:left="0" w:firstLine="400"/>
      </w:pPr>
      <w:rPr>
        <w:rFonts w:hint="default"/>
      </w:rPr>
    </w:lvl>
  </w:abstractNum>
  <w:abstractNum w:abstractNumId="16">
    <w:nsid w:val="662FD161"/>
    <w:multiLevelType w:val="singleLevel"/>
    <w:tmpl w:val="662FD161"/>
    <w:lvl w:ilvl="0" w:tentative="0">
      <w:start w:val="1"/>
      <w:numFmt w:val="decimal"/>
      <w:suff w:val="nothing"/>
      <w:lvlText w:val="%1．"/>
      <w:lvlJc w:val="left"/>
      <w:pPr>
        <w:ind w:left="0" w:firstLine="400"/>
      </w:pPr>
      <w:rPr>
        <w:rFonts w:hint="default"/>
      </w:rPr>
    </w:lvl>
  </w:abstractNum>
  <w:abstractNum w:abstractNumId="17">
    <w:nsid w:val="66E803FA"/>
    <w:multiLevelType w:val="singleLevel"/>
    <w:tmpl w:val="66E803FA"/>
    <w:lvl w:ilvl="0" w:tentative="0">
      <w:start w:val="1"/>
      <w:numFmt w:val="decimal"/>
      <w:suff w:val="nothing"/>
      <w:lvlText w:val="%1．"/>
      <w:lvlJc w:val="left"/>
      <w:pPr>
        <w:ind w:left="0" w:firstLine="400"/>
      </w:pPr>
      <w:rPr>
        <w:rFonts w:hint="default"/>
      </w:rPr>
    </w:lvl>
  </w:abstractNum>
  <w:num w:numId="1">
    <w:abstractNumId w:val="1"/>
  </w:num>
  <w:num w:numId="2">
    <w:abstractNumId w:val="14"/>
  </w:num>
  <w:num w:numId="3">
    <w:abstractNumId w:val="15"/>
  </w:num>
  <w:num w:numId="4">
    <w:abstractNumId w:val="11"/>
  </w:num>
  <w:num w:numId="5">
    <w:abstractNumId w:val="2"/>
  </w:num>
  <w:num w:numId="6">
    <w:abstractNumId w:val="5"/>
  </w:num>
  <w:num w:numId="7">
    <w:abstractNumId w:val="13"/>
  </w:num>
  <w:num w:numId="8">
    <w:abstractNumId w:val="9"/>
  </w:num>
  <w:num w:numId="9">
    <w:abstractNumId w:val="16"/>
  </w:num>
  <w:num w:numId="10">
    <w:abstractNumId w:val="6"/>
  </w:num>
  <w:num w:numId="11">
    <w:abstractNumId w:val="7"/>
  </w:num>
  <w:num w:numId="12">
    <w:abstractNumId w:val="10"/>
  </w:num>
  <w:num w:numId="13">
    <w:abstractNumId w:val="3"/>
  </w:num>
  <w:num w:numId="14">
    <w:abstractNumId w:val="0"/>
  </w:num>
  <w:num w:numId="15">
    <w:abstractNumId w:val="17"/>
  </w:num>
  <w:num w:numId="16">
    <w:abstractNumId w:val="4"/>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720"/>
  <w:hyphenationZone w:val="360"/>
  <w:drawingGridHorizontalSpacing w:val="110"/>
  <w:displayHorizontalDrawingGridEvery w:val="0"/>
  <w:displayVerticalDrawingGridEvery w:val="2"/>
  <w:characterSpacingControl w:val="doNotCompress"/>
  <w:hdrShapeDefaults>
    <o:shapelayout v:ext="edit">
      <o:idmap v:ext="edit" data="1,3"/>
    </o:shapelayout>
  </w:hdrShapeDefault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jY1ZjA0NTU2OTZkMTgxOTZlZTJiNDg1YjQ2MDUifQ=="/>
  </w:docVars>
  <w:rsids>
    <w:rsidRoot w:val="0049116E"/>
    <w:rsid w:val="00002E1E"/>
    <w:rsid w:val="000041BB"/>
    <w:rsid w:val="00005B1D"/>
    <w:rsid w:val="00006645"/>
    <w:rsid w:val="00006CF7"/>
    <w:rsid w:val="00020EBD"/>
    <w:rsid w:val="0002129C"/>
    <w:rsid w:val="0003676C"/>
    <w:rsid w:val="00041453"/>
    <w:rsid w:val="000431A2"/>
    <w:rsid w:val="00043D4C"/>
    <w:rsid w:val="00045482"/>
    <w:rsid w:val="00051484"/>
    <w:rsid w:val="000571E8"/>
    <w:rsid w:val="00057907"/>
    <w:rsid w:val="00065168"/>
    <w:rsid w:val="00066D9E"/>
    <w:rsid w:val="00071145"/>
    <w:rsid w:val="000711A5"/>
    <w:rsid w:val="0007462E"/>
    <w:rsid w:val="0007508E"/>
    <w:rsid w:val="00075306"/>
    <w:rsid w:val="00075D03"/>
    <w:rsid w:val="00075F10"/>
    <w:rsid w:val="00077A1D"/>
    <w:rsid w:val="00087ADF"/>
    <w:rsid w:val="00093E85"/>
    <w:rsid w:val="00095A86"/>
    <w:rsid w:val="00097FC6"/>
    <w:rsid w:val="000A0428"/>
    <w:rsid w:val="000A04C3"/>
    <w:rsid w:val="000A4B77"/>
    <w:rsid w:val="000A581E"/>
    <w:rsid w:val="000B1B26"/>
    <w:rsid w:val="000B6F6F"/>
    <w:rsid w:val="000B7706"/>
    <w:rsid w:val="000C201F"/>
    <w:rsid w:val="000C645E"/>
    <w:rsid w:val="000C705F"/>
    <w:rsid w:val="000D13B2"/>
    <w:rsid w:val="000D2844"/>
    <w:rsid w:val="000D29A3"/>
    <w:rsid w:val="000D437E"/>
    <w:rsid w:val="000D60A3"/>
    <w:rsid w:val="000E1067"/>
    <w:rsid w:val="000E1790"/>
    <w:rsid w:val="000E35CE"/>
    <w:rsid w:val="000E3603"/>
    <w:rsid w:val="000E415C"/>
    <w:rsid w:val="000E7DA8"/>
    <w:rsid w:val="000F031F"/>
    <w:rsid w:val="000F228F"/>
    <w:rsid w:val="000F36B4"/>
    <w:rsid w:val="000F424E"/>
    <w:rsid w:val="000F6D55"/>
    <w:rsid w:val="000F6F40"/>
    <w:rsid w:val="000F7F73"/>
    <w:rsid w:val="00101CC6"/>
    <w:rsid w:val="001026DE"/>
    <w:rsid w:val="001026DF"/>
    <w:rsid w:val="00103C9C"/>
    <w:rsid w:val="00105082"/>
    <w:rsid w:val="00112D30"/>
    <w:rsid w:val="001178DA"/>
    <w:rsid w:val="001249CC"/>
    <w:rsid w:val="001301C9"/>
    <w:rsid w:val="00130A52"/>
    <w:rsid w:val="001313EC"/>
    <w:rsid w:val="0013258A"/>
    <w:rsid w:val="00132AE0"/>
    <w:rsid w:val="00135708"/>
    <w:rsid w:val="00137065"/>
    <w:rsid w:val="00142B5C"/>
    <w:rsid w:val="00145A97"/>
    <w:rsid w:val="001474D2"/>
    <w:rsid w:val="00147C98"/>
    <w:rsid w:val="001533BC"/>
    <w:rsid w:val="00157F21"/>
    <w:rsid w:val="00160045"/>
    <w:rsid w:val="0016005C"/>
    <w:rsid w:val="00162757"/>
    <w:rsid w:val="00172552"/>
    <w:rsid w:val="00181618"/>
    <w:rsid w:val="0018216B"/>
    <w:rsid w:val="00182D09"/>
    <w:rsid w:val="00183EC0"/>
    <w:rsid w:val="00184BF2"/>
    <w:rsid w:val="001874CE"/>
    <w:rsid w:val="00187E73"/>
    <w:rsid w:val="0019123E"/>
    <w:rsid w:val="00194518"/>
    <w:rsid w:val="00194A8C"/>
    <w:rsid w:val="001957BD"/>
    <w:rsid w:val="001A10A9"/>
    <w:rsid w:val="001A3C19"/>
    <w:rsid w:val="001A58F7"/>
    <w:rsid w:val="001A792C"/>
    <w:rsid w:val="001B10F1"/>
    <w:rsid w:val="001B7141"/>
    <w:rsid w:val="001B7FE6"/>
    <w:rsid w:val="001C1A80"/>
    <w:rsid w:val="001C2108"/>
    <w:rsid w:val="001C393B"/>
    <w:rsid w:val="001C72BB"/>
    <w:rsid w:val="001C73AF"/>
    <w:rsid w:val="001C78A0"/>
    <w:rsid w:val="001D15FD"/>
    <w:rsid w:val="001D1C87"/>
    <w:rsid w:val="001D288C"/>
    <w:rsid w:val="001D75FF"/>
    <w:rsid w:val="001E46F0"/>
    <w:rsid w:val="001E5BB5"/>
    <w:rsid w:val="001E7E32"/>
    <w:rsid w:val="001F0A06"/>
    <w:rsid w:val="001F211D"/>
    <w:rsid w:val="001F54D0"/>
    <w:rsid w:val="001F76AF"/>
    <w:rsid w:val="00205063"/>
    <w:rsid w:val="0021566B"/>
    <w:rsid w:val="002161A2"/>
    <w:rsid w:val="00225D06"/>
    <w:rsid w:val="0022670D"/>
    <w:rsid w:val="00232B02"/>
    <w:rsid w:val="0023649F"/>
    <w:rsid w:val="00245026"/>
    <w:rsid w:val="00246913"/>
    <w:rsid w:val="00246B78"/>
    <w:rsid w:val="002507AF"/>
    <w:rsid w:val="00251424"/>
    <w:rsid w:val="002532BE"/>
    <w:rsid w:val="00254451"/>
    <w:rsid w:val="00262811"/>
    <w:rsid w:val="00272969"/>
    <w:rsid w:val="00274B86"/>
    <w:rsid w:val="002859C9"/>
    <w:rsid w:val="00286A97"/>
    <w:rsid w:val="00295DAE"/>
    <w:rsid w:val="00297927"/>
    <w:rsid w:val="002A078E"/>
    <w:rsid w:val="002A438E"/>
    <w:rsid w:val="002A5B3C"/>
    <w:rsid w:val="002A6CB7"/>
    <w:rsid w:val="002A7F98"/>
    <w:rsid w:val="002B0681"/>
    <w:rsid w:val="002B34CC"/>
    <w:rsid w:val="002B78D9"/>
    <w:rsid w:val="002C0571"/>
    <w:rsid w:val="002C3CB8"/>
    <w:rsid w:val="002C65B4"/>
    <w:rsid w:val="002D2310"/>
    <w:rsid w:val="002E0D89"/>
    <w:rsid w:val="002E3119"/>
    <w:rsid w:val="002E36E3"/>
    <w:rsid w:val="002E7413"/>
    <w:rsid w:val="002F096D"/>
    <w:rsid w:val="002F1A3F"/>
    <w:rsid w:val="002F4E72"/>
    <w:rsid w:val="00306AAA"/>
    <w:rsid w:val="00306DF6"/>
    <w:rsid w:val="003170B1"/>
    <w:rsid w:val="00323167"/>
    <w:rsid w:val="00325247"/>
    <w:rsid w:val="00325929"/>
    <w:rsid w:val="003274B2"/>
    <w:rsid w:val="0033507A"/>
    <w:rsid w:val="0033628B"/>
    <w:rsid w:val="00336FB2"/>
    <w:rsid w:val="003375C4"/>
    <w:rsid w:val="0034009A"/>
    <w:rsid w:val="00342226"/>
    <w:rsid w:val="00346D3C"/>
    <w:rsid w:val="003540E5"/>
    <w:rsid w:val="00355CA9"/>
    <w:rsid w:val="0037209E"/>
    <w:rsid w:val="00372421"/>
    <w:rsid w:val="00373B99"/>
    <w:rsid w:val="00377340"/>
    <w:rsid w:val="00380DBD"/>
    <w:rsid w:val="00381CD8"/>
    <w:rsid w:val="003827E7"/>
    <w:rsid w:val="003842E8"/>
    <w:rsid w:val="00384DBE"/>
    <w:rsid w:val="0038564E"/>
    <w:rsid w:val="00385DC1"/>
    <w:rsid w:val="003908DB"/>
    <w:rsid w:val="0039323F"/>
    <w:rsid w:val="00394B64"/>
    <w:rsid w:val="00397131"/>
    <w:rsid w:val="003A0784"/>
    <w:rsid w:val="003A127B"/>
    <w:rsid w:val="003A1A3F"/>
    <w:rsid w:val="003A3597"/>
    <w:rsid w:val="003B03E0"/>
    <w:rsid w:val="003B6953"/>
    <w:rsid w:val="003B6C8A"/>
    <w:rsid w:val="003C238F"/>
    <w:rsid w:val="003C2792"/>
    <w:rsid w:val="003D02C9"/>
    <w:rsid w:val="003D0844"/>
    <w:rsid w:val="003D25E3"/>
    <w:rsid w:val="003D3715"/>
    <w:rsid w:val="003D5589"/>
    <w:rsid w:val="003D621E"/>
    <w:rsid w:val="003D6392"/>
    <w:rsid w:val="003D7263"/>
    <w:rsid w:val="003E5EEF"/>
    <w:rsid w:val="003F2517"/>
    <w:rsid w:val="003F51D2"/>
    <w:rsid w:val="003F54C4"/>
    <w:rsid w:val="003F6053"/>
    <w:rsid w:val="003F64CF"/>
    <w:rsid w:val="00400A6F"/>
    <w:rsid w:val="00403A0E"/>
    <w:rsid w:val="00403B70"/>
    <w:rsid w:val="004101F8"/>
    <w:rsid w:val="004129AD"/>
    <w:rsid w:val="00413721"/>
    <w:rsid w:val="00421DA0"/>
    <w:rsid w:val="0042324B"/>
    <w:rsid w:val="004249A7"/>
    <w:rsid w:val="004252B3"/>
    <w:rsid w:val="00426A03"/>
    <w:rsid w:val="004310A5"/>
    <w:rsid w:val="00434103"/>
    <w:rsid w:val="00436CBD"/>
    <w:rsid w:val="0043782D"/>
    <w:rsid w:val="004378EE"/>
    <w:rsid w:val="004427D1"/>
    <w:rsid w:val="004443F1"/>
    <w:rsid w:val="00445995"/>
    <w:rsid w:val="0044733B"/>
    <w:rsid w:val="0045059A"/>
    <w:rsid w:val="0045297E"/>
    <w:rsid w:val="0045320C"/>
    <w:rsid w:val="00462341"/>
    <w:rsid w:val="00464528"/>
    <w:rsid w:val="00466A67"/>
    <w:rsid w:val="004677B1"/>
    <w:rsid w:val="00476754"/>
    <w:rsid w:val="00477C90"/>
    <w:rsid w:val="004805E2"/>
    <w:rsid w:val="00481055"/>
    <w:rsid w:val="0048281B"/>
    <w:rsid w:val="00484B4C"/>
    <w:rsid w:val="0048514F"/>
    <w:rsid w:val="0049116E"/>
    <w:rsid w:val="0049121A"/>
    <w:rsid w:val="00493501"/>
    <w:rsid w:val="00494182"/>
    <w:rsid w:val="0049423D"/>
    <w:rsid w:val="004A07D4"/>
    <w:rsid w:val="004A11B0"/>
    <w:rsid w:val="004A13EB"/>
    <w:rsid w:val="004A2623"/>
    <w:rsid w:val="004A54D0"/>
    <w:rsid w:val="004A7CEF"/>
    <w:rsid w:val="004A7DD2"/>
    <w:rsid w:val="004B6F67"/>
    <w:rsid w:val="004C0658"/>
    <w:rsid w:val="004D0A13"/>
    <w:rsid w:val="004D1C08"/>
    <w:rsid w:val="004D2008"/>
    <w:rsid w:val="004D24C1"/>
    <w:rsid w:val="004D2791"/>
    <w:rsid w:val="004D2D28"/>
    <w:rsid w:val="004D5CA4"/>
    <w:rsid w:val="004D5F9B"/>
    <w:rsid w:val="004D6603"/>
    <w:rsid w:val="004E0863"/>
    <w:rsid w:val="004E3B64"/>
    <w:rsid w:val="004E6C53"/>
    <w:rsid w:val="004F1F79"/>
    <w:rsid w:val="004F2385"/>
    <w:rsid w:val="004F4F2D"/>
    <w:rsid w:val="004F5157"/>
    <w:rsid w:val="004F6D53"/>
    <w:rsid w:val="005003C6"/>
    <w:rsid w:val="00500DBE"/>
    <w:rsid w:val="00501C11"/>
    <w:rsid w:val="00503401"/>
    <w:rsid w:val="0051142C"/>
    <w:rsid w:val="005140B1"/>
    <w:rsid w:val="005205A1"/>
    <w:rsid w:val="00521386"/>
    <w:rsid w:val="005235E2"/>
    <w:rsid w:val="005247F6"/>
    <w:rsid w:val="00526011"/>
    <w:rsid w:val="005261B3"/>
    <w:rsid w:val="00526D42"/>
    <w:rsid w:val="00530884"/>
    <w:rsid w:val="005316D2"/>
    <w:rsid w:val="00536710"/>
    <w:rsid w:val="0053779D"/>
    <w:rsid w:val="00544412"/>
    <w:rsid w:val="0054463F"/>
    <w:rsid w:val="005451E2"/>
    <w:rsid w:val="0055045C"/>
    <w:rsid w:val="005515EE"/>
    <w:rsid w:val="00551CEE"/>
    <w:rsid w:val="00552CDB"/>
    <w:rsid w:val="0055475B"/>
    <w:rsid w:val="00555429"/>
    <w:rsid w:val="00556383"/>
    <w:rsid w:val="005578FB"/>
    <w:rsid w:val="005629C1"/>
    <w:rsid w:val="00565D8C"/>
    <w:rsid w:val="005669AC"/>
    <w:rsid w:val="00567470"/>
    <w:rsid w:val="00570533"/>
    <w:rsid w:val="005712C7"/>
    <w:rsid w:val="00585D48"/>
    <w:rsid w:val="00586FC7"/>
    <w:rsid w:val="005916E0"/>
    <w:rsid w:val="00594324"/>
    <w:rsid w:val="005A03AB"/>
    <w:rsid w:val="005A17DB"/>
    <w:rsid w:val="005A22B6"/>
    <w:rsid w:val="005A45B3"/>
    <w:rsid w:val="005A5853"/>
    <w:rsid w:val="005A59F9"/>
    <w:rsid w:val="005B320B"/>
    <w:rsid w:val="005C033F"/>
    <w:rsid w:val="005C1BDE"/>
    <w:rsid w:val="005C3957"/>
    <w:rsid w:val="005C75FB"/>
    <w:rsid w:val="005D0484"/>
    <w:rsid w:val="005D53D7"/>
    <w:rsid w:val="005E066D"/>
    <w:rsid w:val="005E6C63"/>
    <w:rsid w:val="006019A5"/>
    <w:rsid w:val="006067A7"/>
    <w:rsid w:val="0061655F"/>
    <w:rsid w:val="00617EA7"/>
    <w:rsid w:val="006248ED"/>
    <w:rsid w:val="006278A1"/>
    <w:rsid w:val="00631DDB"/>
    <w:rsid w:val="0064070E"/>
    <w:rsid w:val="00641FC3"/>
    <w:rsid w:val="006426CA"/>
    <w:rsid w:val="006469B6"/>
    <w:rsid w:val="00650DFA"/>
    <w:rsid w:val="006542FF"/>
    <w:rsid w:val="006606B0"/>
    <w:rsid w:val="00661296"/>
    <w:rsid w:val="00661349"/>
    <w:rsid w:val="00662EB5"/>
    <w:rsid w:val="00663763"/>
    <w:rsid w:val="006651A6"/>
    <w:rsid w:val="00673B32"/>
    <w:rsid w:val="00675BFB"/>
    <w:rsid w:val="00677FA2"/>
    <w:rsid w:val="00680432"/>
    <w:rsid w:val="006835EB"/>
    <w:rsid w:val="006841E3"/>
    <w:rsid w:val="00690FBB"/>
    <w:rsid w:val="006916A3"/>
    <w:rsid w:val="00693E10"/>
    <w:rsid w:val="00695542"/>
    <w:rsid w:val="006A3C81"/>
    <w:rsid w:val="006A47A0"/>
    <w:rsid w:val="006A6ED6"/>
    <w:rsid w:val="006A7114"/>
    <w:rsid w:val="006A78ED"/>
    <w:rsid w:val="006B573D"/>
    <w:rsid w:val="006B7B09"/>
    <w:rsid w:val="006C0800"/>
    <w:rsid w:val="006C2358"/>
    <w:rsid w:val="006C2B6F"/>
    <w:rsid w:val="006C4A92"/>
    <w:rsid w:val="006C506C"/>
    <w:rsid w:val="006D1ABB"/>
    <w:rsid w:val="006D3B0F"/>
    <w:rsid w:val="006D3B3C"/>
    <w:rsid w:val="006D44B9"/>
    <w:rsid w:val="006D5284"/>
    <w:rsid w:val="006D7EDF"/>
    <w:rsid w:val="006E365C"/>
    <w:rsid w:val="006E43BC"/>
    <w:rsid w:val="006E6057"/>
    <w:rsid w:val="006E7C68"/>
    <w:rsid w:val="006F0D0C"/>
    <w:rsid w:val="006F1CA3"/>
    <w:rsid w:val="006F2C95"/>
    <w:rsid w:val="006F47A6"/>
    <w:rsid w:val="00702A45"/>
    <w:rsid w:val="00703D4E"/>
    <w:rsid w:val="00704807"/>
    <w:rsid w:val="00706946"/>
    <w:rsid w:val="00707B0A"/>
    <w:rsid w:val="00710F28"/>
    <w:rsid w:val="0071165C"/>
    <w:rsid w:val="0072164D"/>
    <w:rsid w:val="00724A0A"/>
    <w:rsid w:val="00732502"/>
    <w:rsid w:val="00733553"/>
    <w:rsid w:val="00735597"/>
    <w:rsid w:val="00735797"/>
    <w:rsid w:val="00737C48"/>
    <w:rsid w:val="0074013A"/>
    <w:rsid w:val="00742857"/>
    <w:rsid w:val="00744027"/>
    <w:rsid w:val="00745723"/>
    <w:rsid w:val="00745D7C"/>
    <w:rsid w:val="00753989"/>
    <w:rsid w:val="007547F2"/>
    <w:rsid w:val="0075533B"/>
    <w:rsid w:val="0075624D"/>
    <w:rsid w:val="00762E49"/>
    <w:rsid w:val="007636E2"/>
    <w:rsid w:val="0076477E"/>
    <w:rsid w:val="00767627"/>
    <w:rsid w:val="007709EA"/>
    <w:rsid w:val="0077127E"/>
    <w:rsid w:val="007746BF"/>
    <w:rsid w:val="0077526A"/>
    <w:rsid w:val="0077676F"/>
    <w:rsid w:val="00780376"/>
    <w:rsid w:val="00782B82"/>
    <w:rsid w:val="00783068"/>
    <w:rsid w:val="00784816"/>
    <w:rsid w:val="00785888"/>
    <w:rsid w:val="007955CD"/>
    <w:rsid w:val="007959F7"/>
    <w:rsid w:val="007B1846"/>
    <w:rsid w:val="007B3633"/>
    <w:rsid w:val="007B6FBE"/>
    <w:rsid w:val="007B79BE"/>
    <w:rsid w:val="007C0547"/>
    <w:rsid w:val="007C240E"/>
    <w:rsid w:val="007C2EF7"/>
    <w:rsid w:val="007C3110"/>
    <w:rsid w:val="007C6A65"/>
    <w:rsid w:val="007C6E70"/>
    <w:rsid w:val="007D34F4"/>
    <w:rsid w:val="007D4E13"/>
    <w:rsid w:val="007D5F1A"/>
    <w:rsid w:val="007E00F9"/>
    <w:rsid w:val="007E2BE3"/>
    <w:rsid w:val="007E3433"/>
    <w:rsid w:val="007E713C"/>
    <w:rsid w:val="007E742D"/>
    <w:rsid w:val="007F2E94"/>
    <w:rsid w:val="007F6E44"/>
    <w:rsid w:val="008005FD"/>
    <w:rsid w:val="008054C6"/>
    <w:rsid w:val="00810630"/>
    <w:rsid w:val="00811309"/>
    <w:rsid w:val="00811CFC"/>
    <w:rsid w:val="008123AB"/>
    <w:rsid w:val="00813357"/>
    <w:rsid w:val="008136F2"/>
    <w:rsid w:val="008143F6"/>
    <w:rsid w:val="0081506D"/>
    <w:rsid w:val="00825DDB"/>
    <w:rsid w:val="00826951"/>
    <w:rsid w:val="00830D37"/>
    <w:rsid w:val="008316F8"/>
    <w:rsid w:val="00834856"/>
    <w:rsid w:val="0084073F"/>
    <w:rsid w:val="00845AB7"/>
    <w:rsid w:val="00846BF6"/>
    <w:rsid w:val="008513D7"/>
    <w:rsid w:val="00853F00"/>
    <w:rsid w:val="008609FC"/>
    <w:rsid w:val="00861AB9"/>
    <w:rsid w:val="00862D79"/>
    <w:rsid w:val="0086330A"/>
    <w:rsid w:val="00866C48"/>
    <w:rsid w:val="008701C2"/>
    <w:rsid w:val="0087792D"/>
    <w:rsid w:val="008829BE"/>
    <w:rsid w:val="008839EA"/>
    <w:rsid w:val="0088414E"/>
    <w:rsid w:val="008852AB"/>
    <w:rsid w:val="008860FD"/>
    <w:rsid w:val="008934C8"/>
    <w:rsid w:val="00895822"/>
    <w:rsid w:val="008A2FE7"/>
    <w:rsid w:val="008A5326"/>
    <w:rsid w:val="008A5E6B"/>
    <w:rsid w:val="008B27ED"/>
    <w:rsid w:val="008B7FDE"/>
    <w:rsid w:val="008C0EB3"/>
    <w:rsid w:val="008C12E5"/>
    <w:rsid w:val="008C5F8C"/>
    <w:rsid w:val="008C6E86"/>
    <w:rsid w:val="008D0720"/>
    <w:rsid w:val="008D3F59"/>
    <w:rsid w:val="008D40B1"/>
    <w:rsid w:val="008E29C7"/>
    <w:rsid w:val="008E3F00"/>
    <w:rsid w:val="008E666B"/>
    <w:rsid w:val="008F0DCD"/>
    <w:rsid w:val="008F163F"/>
    <w:rsid w:val="008F33B2"/>
    <w:rsid w:val="00901D79"/>
    <w:rsid w:val="009050E8"/>
    <w:rsid w:val="009067F8"/>
    <w:rsid w:val="00910159"/>
    <w:rsid w:val="0091209B"/>
    <w:rsid w:val="00916AAE"/>
    <w:rsid w:val="009239D7"/>
    <w:rsid w:val="00924082"/>
    <w:rsid w:val="00942C3E"/>
    <w:rsid w:val="00950333"/>
    <w:rsid w:val="009523F9"/>
    <w:rsid w:val="009614FD"/>
    <w:rsid w:val="009626A8"/>
    <w:rsid w:val="00962BE1"/>
    <w:rsid w:val="0096733C"/>
    <w:rsid w:val="00976163"/>
    <w:rsid w:val="00976724"/>
    <w:rsid w:val="0098150A"/>
    <w:rsid w:val="00982E90"/>
    <w:rsid w:val="0098418D"/>
    <w:rsid w:val="0098767C"/>
    <w:rsid w:val="00991AE9"/>
    <w:rsid w:val="00992EC5"/>
    <w:rsid w:val="009A09B9"/>
    <w:rsid w:val="009A39D4"/>
    <w:rsid w:val="009A7B35"/>
    <w:rsid w:val="009B1FE1"/>
    <w:rsid w:val="009B320E"/>
    <w:rsid w:val="009B4FBA"/>
    <w:rsid w:val="009B5114"/>
    <w:rsid w:val="009B638D"/>
    <w:rsid w:val="009B69E4"/>
    <w:rsid w:val="009D16E3"/>
    <w:rsid w:val="009E0C8A"/>
    <w:rsid w:val="009E45F2"/>
    <w:rsid w:val="009E5366"/>
    <w:rsid w:val="009F24C3"/>
    <w:rsid w:val="009F3A6F"/>
    <w:rsid w:val="009F4331"/>
    <w:rsid w:val="009F58AE"/>
    <w:rsid w:val="009F6D0F"/>
    <w:rsid w:val="00A0086E"/>
    <w:rsid w:val="00A00F21"/>
    <w:rsid w:val="00A014D1"/>
    <w:rsid w:val="00A07A66"/>
    <w:rsid w:val="00A12904"/>
    <w:rsid w:val="00A1314C"/>
    <w:rsid w:val="00A173B1"/>
    <w:rsid w:val="00A20325"/>
    <w:rsid w:val="00A210C8"/>
    <w:rsid w:val="00A23601"/>
    <w:rsid w:val="00A24FF4"/>
    <w:rsid w:val="00A2778B"/>
    <w:rsid w:val="00A3198B"/>
    <w:rsid w:val="00A3314D"/>
    <w:rsid w:val="00A33494"/>
    <w:rsid w:val="00A334A9"/>
    <w:rsid w:val="00A3444C"/>
    <w:rsid w:val="00A40637"/>
    <w:rsid w:val="00A41725"/>
    <w:rsid w:val="00A44B80"/>
    <w:rsid w:val="00A4531A"/>
    <w:rsid w:val="00A54759"/>
    <w:rsid w:val="00A5517E"/>
    <w:rsid w:val="00A57F28"/>
    <w:rsid w:val="00A60D2B"/>
    <w:rsid w:val="00A62948"/>
    <w:rsid w:val="00A62C03"/>
    <w:rsid w:val="00A66CDA"/>
    <w:rsid w:val="00A674F6"/>
    <w:rsid w:val="00A70B01"/>
    <w:rsid w:val="00A71238"/>
    <w:rsid w:val="00A7250C"/>
    <w:rsid w:val="00A76557"/>
    <w:rsid w:val="00A77E2D"/>
    <w:rsid w:val="00A829DE"/>
    <w:rsid w:val="00A829EA"/>
    <w:rsid w:val="00A83A9C"/>
    <w:rsid w:val="00A902C0"/>
    <w:rsid w:val="00A917D0"/>
    <w:rsid w:val="00A93814"/>
    <w:rsid w:val="00A9754C"/>
    <w:rsid w:val="00AA5254"/>
    <w:rsid w:val="00AB40A4"/>
    <w:rsid w:val="00AB71BD"/>
    <w:rsid w:val="00AB74F4"/>
    <w:rsid w:val="00AC1BDA"/>
    <w:rsid w:val="00AC26C0"/>
    <w:rsid w:val="00AD0359"/>
    <w:rsid w:val="00AD1A9D"/>
    <w:rsid w:val="00AD2E26"/>
    <w:rsid w:val="00AD3DCF"/>
    <w:rsid w:val="00AE0242"/>
    <w:rsid w:val="00AE03EC"/>
    <w:rsid w:val="00AE09B5"/>
    <w:rsid w:val="00AE46D9"/>
    <w:rsid w:val="00AE69F3"/>
    <w:rsid w:val="00AE72B1"/>
    <w:rsid w:val="00AF0D3F"/>
    <w:rsid w:val="00B005A7"/>
    <w:rsid w:val="00B0289C"/>
    <w:rsid w:val="00B053D7"/>
    <w:rsid w:val="00B113C2"/>
    <w:rsid w:val="00B16E78"/>
    <w:rsid w:val="00B24026"/>
    <w:rsid w:val="00B25FD0"/>
    <w:rsid w:val="00B2637D"/>
    <w:rsid w:val="00B3405F"/>
    <w:rsid w:val="00B34A3C"/>
    <w:rsid w:val="00B35C51"/>
    <w:rsid w:val="00B40F63"/>
    <w:rsid w:val="00B43225"/>
    <w:rsid w:val="00B52B63"/>
    <w:rsid w:val="00B53905"/>
    <w:rsid w:val="00B5684C"/>
    <w:rsid w:val="00B61CC2"/>
    <w:rsid w:val="00B61E3E"/>
    <w:rsid w:val="00B63193"/>
    <w:rsid w:val="00B632B7"/>
    <w:rsid w:val="00B6701B"/>
    <w:rsid w:val="00B717F9"/>
    <w:rsid w:val="00B71DCA"/>
    <w:rsid w:val="00B73311"/>
    <w:rsid w:val="00B736FC"/>
    <w:rsid w:val="00B74E3F"/>
    <w:rsid w:val="00B7518D"/>
    <w:rsid w:val="00B75F75"/>
    <w:rsid w:val="00B770BE"/>
    <w:rsid w:val="00B776A9"/>
    <w:rsid w:val="00B858E4"/>
    <w:rsid w:val="00B943BF"/>
    <w:rsid w:val="00B97513"/>
    <w:rsid w:val="00B97C63"/>
    <w:rsid w:val="00BA6ECD"/>
    <w:rsid w:val="00BB28A8"/>
    <w:rsid w:val="00BB71BB"/>
    <w:rsid w:val="00BC0BCE"/>
    <w:rsid w:val="00BC3007"/>
    <w:rsid w:val="00BC3A6F"/>
    <w:rsid w:val="00BC409B"/>
    <w:rsid w:val="00BC4DBB"/>
    <w:rsid w:val="00BD13D0"/>
    <w:rsid w:val="00BD270A"/>
    <w:rsid w:val="00BD3025"/>
    <w:rsid w:val="00BD5A41"/>
    <w:rsid w:val="00BD7188"/>
    <w:rsid w:val="00BD795E"/>
    <w:rsid w:val="00BE5BB4"/>
    <w:rsid w:val="00BF335D"/>
    <w:rsid w:val="00BF55BD"/>
    <w:rsid w:val="00BF602F"/>
    <w:rsid w:val="00BF60C0"/>
    <w:rsid w:val="00C00637"/>
    <w:rsid w:val="00C00E4F"/>
    <w:rsid w:val="00C02ED7"/>
    <w:rsid w:val="00C03D12"/>
    <w:rsid w:val="00C0462F"/>
    <w:rsid w:val="00C049CE"/>
    <w:rsid w:val="00C062DB"/>
    <w:rsid w:val="00C10417"/>
    <w:rsid w:val="00C1180A"/>
    <w:rsid w:val="00C11DD5"/>
    <w:rsid w:val="00C14D00"/>
    <w:rsid w:val="00C171A8"/>
    <w:rsid w:val="00C20839"/>
    <w:rsid w:val="00C20D81"/>
    <w:rsid w:val="00C21EDC"/>
    <w:rsid w:val="00C22510"/>
    <w:rsid w:val="00C23A5E"/>
    <w:rsid w:val="00C26B1A"/>
    <w:rsid w:val="00C271FA"/>
    <w:rsid w:val="00C301CE"/>
    <w:rsid w:val="00C36396"/>
    <w:rsid w:val="00C42B6C"/>
    <w:rsid w:val="00C476FA"/>
    <w:rsid w:val="00C50069"/>
    <w:rsid w:val="00C5580F"/>
    <w:rsid w:val="00C609F3"/>
    <w:rsid w:val="00C63308"/>
    <w:rsid w:val="00C63AB3"/>
    <w:rsid w:val="00C63EDA"/>
    <w:rsid w:val="00C651DE"/>
    <w:rsid w:val="00C7112C"/>
    <w:rsid w:val="00C713AA"/>
    <w:rsid w:val="00C849ED"/>
    <w:rsid w:val="00C901F9"/>
    <w:rsid w:val="00C9109B"/>
    <w:rsid w:val="00C91434"/>
    <w:rsid w:val="00C9410F"/>
    <w:rsid w:val="00C945E9"/>
    <w:rsid w:val="00C96E3D"/>
    <w:rsid w:val="00C97D06"/>
    <w:rsid w:val="00CA4EF8"/>
    <w:rsid w:val="00CB1F02"/>
    <w:rsid w:val="00CB245E"/>
    <w:rsid w:val="00CB74C9"/>
    <w:rsid w:val="00CC5723"/>
    <w:rsid w:val="00CC7D8C"/>
    <w:rsid w:val="00CD2EEB"/>
    <w:rsid w:val="00CD3664"/>
    <w:rsid w:val="00CD3B90"/>
    <w:rsid w:val="00CD4A6D"/>
    <w:rsid w:val="00CD4C64"/>
    <w:rsid w:val="00CD54CC"/>
    <w:rsid w:val="00CD55C3"/>
    <w:rsid w:val="00CD71A5"/>
    <w:rsid w:val="00CE4847"/>
    <w:rsid w:val="00CE4F33"/>
    <w:rsid w:val="00CE6C43"/>
    <w:rsid w:val="00CF5239"/>
    <w:rsid w:val="00D009AC"/>
    <w:rsid w:val="00D025EC"/>
    <w:rsid w:val="00D05062"/>
    <w:rsid w:val="00D05DBC"/>
    <w:rsid w:val="00D11F0F"/>
    <w:rsid w:val="00D23242"/>
    <w:rsid w:val="00D25ECD"/>
    <w:rsid w:val="00D26F58"/>
    <w:rsid w:val="00D31B9A"/>
    <w:rsid w:val="00D33B4A"/>
    <w:rsid w:val="00D364A0"/>
    <w:rsid w:val="00D46753"/>
    <w:rsid w:val="00D50392"/>
    <w:rsid w:val="00D50AE0"/>
    <w:rsid w:val="00D52F4F"/>
    <w:rsid w:val="00D532E0"/>
    <w:rsid w:val="00D549C4"/>
    <w:rsid w:val="00D55ABF"/>
    <w:rsid w:val="00D57C36"/>
    <w:rsid w:val="00D6201E"/>
    <w:rsid w:val="00D6489F"/>
    <w:rsid w:val="00D65A98"/>
    <w:rsid w:val="00D72BD9"/>
    <w:rsid w:val="00D73709"/>
    <w:rsid w:val="00D75D78"/>
    <w:rsid w:val="00D75FD4"/>
    <w:rsid w:val="00D81F5F"/>
    <w:rsid w:val="00D82195"/>
    <w:rsid w:val="00D8392B"/>
    <w:rsid w:val="00D8489F"/>
    <w:rsid w:val="00D90000"/>
    <w:rsid w:val="00D905EB"/>
    <w:rsid w:val="00D91858"/>
    <w:rsid w:val="00D918C7"/>
    <w:rsid w:val="00D930F1"/>
    <w:rsid w:val="00DA06F7"/>
    <w:rsid w:val="00DA6689"/>
    <w:rsid w:val="00DB12B5"/>
    <w:rsid w:val="00DB44C6"/>
    <w:rsid w:val="00DB6CEC"/>
    <w:rsid w:val="00DB74CD"/>
    <w:rsid w:val="00DC0115"/>
    <w:rsid w:val="00DC2B04"/>
    <w:rsid w:val="00DC2CB4"/>
    <w:rsid w:val="00DC3168"/>
    <w:rsid w:val="00DC37F6"/>
    <w:rsid w:val="00DC463B"/>
    <w:rsid w:val="00DD0DE1"/>
    <w:rsid w:val="00DD2D52"/>
    <w:rsid w:val="00DD57E7"/>
    <w:rsid w:val="00DE02D0"/>
    <w:rsid w:val="00DE0D19"/>
    <w:rsid w:val="00DE0D40"/>
    <w:rsid w:val="00DE57D9"/>
    <w:rsid w:val="00DE5E0E"/>
    <w:rsid w:val="00DE65A1"/>
    <w:rsid w:val="00DE6CDF"/>
    <w:rsid w:val="00DF41A9"/>
    <w:rsid w:val="00DF4D8F"/>
    <w:rsid w:val="00E00692"/>
    <w:rsid w:val="00E01FE5"/>
    <w:rsid w:val="00E02366"/>
    <w:rsid w:val="00E03DAE"/>
    <w:rsid w:val="00E0735E"/>
    <w:rsid w:val="00E1344D"/>
    <w:rsid w:val="00E13526"/>
    <w:rsid w:val="00E21F7E"/>
    <w:rsid w:val="00E23C17"/>
    <w:rsid w:val="00E31887"/>
    <w:rsid w:val="00E327B2"/>
    <w:rsid w:val="00E343AF"/>
    <w:rsid w:val="00E36492"/>
    <w:rsid w:val="00E41E96"/>
    <w:rsid w:val="00E4534C"/>
    <w:rsid w:val="00E46889"/>
    <w:rsid w:val="00E47140"/>
    <w:rsid w:val="00E51F25"/>
    <w:rsid w:val="00E6068A"/>
    <w:rsid w:val="00E62F62"/>
    <w:rsid w:val="00E72B59"/>
    <w:rsid w:val="00E736A8"/>
    <w:rsid w:val="00E73E37"/>
    <w:rsid w:val="00E82C41"/>
    <w:rsid w:val="00E905FF"/>
    <w:rsid w:val="00E91F1D"/>
    <w:rsid w:val="00E95C7B"/>
    <w:rsid w:val="00E9652D"/>
    <w:rsid w:val="00EA2DB5"/>
    <w:rsid w:val="00EA583B"/>
    <w:rsid w:val="00EA746B"/>
    <w:rsid w:val="00EB49E8"/>
    <w:rsid w:val="00EC6F7A"/>
    <w:rsid w:val="00EC7EC8"/>
    <w:rsid w:val="00ED0684"/>
    <w:rsid w:val="00ED1302"/>
    <w:rsid w:val="00ED6D13"/>
    <w:rsid w:val="00EE1C31"/>
    <w:rsid w:val="00EE4B70"/>
    <w:rsid w:val="00EF2933"/>
    <w:rsid w:val="00EF2C7E"/>
    <w:rsid w:val="00EF3923"/>
    <w:rsid w:val="00EF4321"/>
    <w:rsid w:val="00EF4614"/>
    <w:rsid w:val="00F050ED"/>
    <w:rsid w:val="00F07A1C"/>
    <w:rsid w:val="00F1191B"/>
    <w:rsid w:val="00F11993"/>
    <w:rsid w:val="00F155B3"/>
    <w:rsid w:val="00F260BD"/>
    <w:rsid w:val="00F26A39"/>
    <w:rsid w:val="00F33254"/>
    <w:rsid w:val="00F344F3"/>
    <w:rsid w:val="00F359F3"/>
    <w:rsid w:val="00F42F5B"/>
    <w:rsid w:val="00F4554C"/>
    <w:rsid w:val="00F464F5"/>
    <w:rsid w:val="00F4661C"/>
    <w:rsid w:val="00F6099C"/>
    <w:rsid w:val="00F61C67"/>
    <w:rsid w:val="00F66265"/>
    <w:rsid w:val="00F71315"/>
    <w:rsid w:val="00F76788"/>
    <w:rsid w:val="00F8274B"/>
    <w:rsid w:val="00F82F67"/>
    <w:rsid w:val="00F87604"/>
    <w:rsid w:val="00F87E07"/>
    <w:rsid w:val="00F918B8"/>
    <w:rsid w:val="00F96410"/>
    <w:rsid w:val="00FA0DC4"/>
    <w:rsid w:val="00FA583D"/>
    <w:rsid w:val="00FA5D4A"/>
    <w:rsid w:val="00FA7C15"/>
    <w:rsid w:val="00FB296F"/>
    <w:rsid w:val="00FC071D"/>
    <w:rsid w:val="00FC793D"/>
    <w:rsid w:val="00FC7FF6"/>
    <w:rsid w:val="00FD1413"/>
    <w:rsid w:val="00FD271D"/>
    <w:rsid w:val="00FD3DD6"/>
    <w:rsid w:val="00FD4381"/>
    <w:rsid w:val="00FD43E5"/>
    <w:rsid w:val="00FD718D"/>
    <w:rsid w:val="00FE3413"/>
    <w:rsid w:val="00FE721F"/>
    <w:rsid w:val="00FF2C1C"/>
    <w:rsid w:val="00FF4DEA"/>
    <w:rsid w:val="00FF5B89"/>
    <w:rsid w:val="00FF5D4E"/>
    <w:rsid w:val="00FF71BB"/>
    <w:rsid w:val="00FF79E7"/>
    <w:rsid w:val="00FF7CFB"/>
    <w:rsid w:val="011A7183"/>
    <w:rsid w:val="013A5802"/>
    <w:rsid w:val="01657C13"/>
    <w:rsid w:val="01A85D51"/>
    <w:rsid w:val="01DA6FD4"/>
    <w:rsid w:val="01FC7DA9"/>
    <w:rsid w:val="021A0C65"/>
    <w:rsid w:val="021E65A9"/>
    <w:rsid w:val="024955AC"/>
    <w:rsid w:val="02D54924"/>
    <w:rsid w:val="03094A24"/>
    <w:rsid w:val="030C052D"/>
    <w:rsid w:val="03100BBA"/>
    <w:rsid w:val="03454F90"/>
    <w:rsid w:val="038C649C"/>
    <w:rsid w:val="0395522A"/>
    <w:rsid w:val="039A2FEC"/>
    <w:rsid w:val="03C33C3E"/>
    <w:rsid w:val="03C34A95"/>
    <w:rsid w:val="03D1278D"/>
    <w:rsid w:val="03D2664B"/>
    <w:rsid w:val="03E64504"/>
    <w:rsid w:val="03E70FD8"/>
    <w:rsid w:val="040625FA"/>
    <w:rsid w:val="04583A5F"/>
    <w:rsid w:val="046425BE"/>
    <w:rsid w:val="046C12B8"/>
    <w:rsid w:val="048521EB"/>
    <w:rsid w:val="049726F2"/>
    <w:rsid w:val="049D730C"/>
    <w:rsid w:val="04AB7591"/>
    <w:rsid w:val="04C838A5"/>
    <w:rsid w:val="04EC4E58"/>
    <w:rsid w:val="0500273C"/>
    <w:rsid w:val="051235A3"/>
    <w:rsid w:val="05247182"/>
    <w:rsid w:val="05281540"/>
    <w:rsid w:val="054042AD"/>
    <w:rsid w:val="0542447B"/>
    <w:rsid w:val="054C50F6"/>
    <w:rsid w:val="05C52BBC"/>
    <w:rsid w:val="05DB1C8A"/>
    <w:rsid w:val="05DF78FE"/>
    <w:rsid w:val="060171D0"/>
    <w:rsid w:val="061924BA"/>
    <w:rsid w:val="061F0D56"/>
    <w:rsid w:val="062D6B9D"/>
    <w:rsid w:val="0643551A"/>
    <w:rsid w:val="064C7016"/>
    <w:rsid w:val="065213BF"/>
    <w:rsid w:val="065E1B46"/>
    <w:rsid w:val="066B314B"/>
    <w:rsid w:val="067B5FB4"/>
    <w:rsid w:val="06B64DCA"/>
    <w:rsid w:val="06B714F1"/>
    <w:rsid w:val="06C547AD"/>
    <w:rsid w:val="07081F71"/>
    <w:rsid w:val="07386E82"/>
    <w:rsid w:val="075E4F0F"/>
    <w:rsid w:val="07BD25B0"/>
    <w:rsid w:val="07F947ED"/>
    <w:rsid w:val="084151E5"/>
    <w:rsid w:val="0843710C"/>
    <w:rsid w:val="08477231"/>
    <w:rsid w:val="085207C5"/>
    <w:rsid w:val="0852733F"/>
    <w:rsid w:val="086E1C01"/>
    <w:rsid w:val="08A873B7"/>
    <w:rsid w:val="08B82806"/>
    <w:rsid w:val="08DD3BC7"/>
    <w:rsid w:val="0935754C"/>
    <w:rsid w:val="093914FB"/>
    <w:rsid w:val="0943308B"/>
    <w:rsid w:val="096466E9"/>
    <w:rsid w:val="09717221"/>
    <w:rsid w:val="09903C9B"/>
    <w:rsid w:val="09A402F3"/>
    <w:rsid w:val="09AB4631"/>
    <w:rsid w:val="09ED69F7"/>
    <w:rsid w:val="0A0673A3"/>
    <w:rsid w:val="0A265DBB"/>
    <w:rsid w:val="0A350B00"/>
    <w:rsid w:val="0A360C05"/>
    <w:rsid w:val="0A8A6CF0"/>
    <w:rsid w:val="0ABF6EF2"/>
    <w:rsid w:val="0AC534D0"/>
    <w:rsid w:val="0AD71587"/>
    <w:rsid w:val="0AE321A1"/>
    <w:rsid w:val="0AEA2F37"/>
    <w:rsid w:val="0B175E5D"/>
    <w:rsid w:val="0B2E0A46"/>
    <w:rsid w:val="0B581B7B"/>
    <w:rsid w:val="0B757363"/>
    <w:rsid w:val="0B7F2E6D"/>
    <w:rsid w:val="0BCC0593"/>
    <w:rsid w:val="0BE07639"/>
    <w:rsid w:val="0C0F2CFA"/>
    <w:rsid w:val="0C110E37"/>
    <w:rsid w:val="0C4B00A9"/>
    <w:rsid w:val="0C956E62"/>
    <w:rsid w:val="0CCC08CA"/>
    <w:rsid w:val="0D0802E5"/>
    <w:rsid w:val="0D1D65A7"/>
    <w:rsid w:val="0D222E5C"/>
    <w:rsid w:val="0D286017"/>
    <w:rsid w:val="0DA36F13"/>
    <w:rsid w:val="0DCB6F7B"/>
    <w:rsid w:val="0DDA072B"/>
    <w:rsid w:val="0DF806C9"/>
    <w:rsid w:val="0DFA3522"/>
    <w:rsid w:val="0E032C8D"/>
    <w:rsid w:val="0E107CC7"/>
    <w:rsid w:val="0E1570A8"/>
    <w:rsid w:val="0E362A1B"/>
    <w:rsid w:val="0EA22602"/>
    <w:rsid w:val="0EA63FB9"/>
    <w:rsid w:val="0EA94554"/>
    <w:rsid w:val="0EC41026"/>
    <w:rsid w:val="0F5E06DE"/>
    <w:rsid w:val="0F640839"/>
    <w:rsid w:val="0F7D55EC"/>
    <w:rsid w:val="0F81030D"/>
    <w:rsid w:val="0F825E34"/>
    <w:rsid w:val="0F8970B5"/>
    <w:rsid w:val="0FE459D6"/>
    <w:rsid w:val="0FFA4C6F"/>
    <w:rsid w:val="10043829"/>
    <w:rsid w:val="10051FA1"/>
    <w:rsid w:val="109A6534"/>
    <w:rsid w:val="10A65B52"/>
    <w:rsid w:val="10AD0C8E"/>
    <w:rsid w:val="10CA1840"/>
    <w:rsid w:val="10F926A4"/>
    <w:rsid w:val="11205F6F"/>
    <w:rsid w:val="114D2831"/>
    <w:rsid w:val="115832F0"/>
    <w:rsid w:val="119F076B"/>
    <w:rsid w:val="119F491C"/>
    <w:rsid w:val="11A35CB5"/>
    <w:rsid w:val="11D04FD9"/>
    <w:rsid w:val="120B59B6"/>
    <w:rsid w:val="122907E8"/>
    <w:rsid w:val="12820D8E"/>
    <w:rsid w:val="12B427A8"/>
    <w:rsid w:val="12D4271F"/>
    <w:rsid w:val="12D54D34"/>
    <w:rsid w:val="12DF7273"/>
    <w:rsid w:val="12F309BF"/>
    <w:rsid w:val="136937EA"/>
    <w:rsid w:val="13703A04"/>
    <w:rsid w:val="137A4D12"/>
    <w:rsid w:val="13DF3855"/>
    <w:rsid w:val="13FC61B5"/>
    <w:rsid w:val="14016520"/>
    <w:rsid w:val="142F4DF3"/>
    <w:rsid w:val="143B1236"/>
    <w:rsid w:val="14460456"/>
    <w:rsid w:val="144B2C98"/>
    <w:rsid w:val="14553B17"/>
    <w:rsid w:val="14BF1878"/>
    <w:rsid w:val="14E55436"/>
    <w:rsid w:val="14EF7AC7"/>
    <w:rsid w:val="154B2D39"/>
    <w:rsid w:val="15840096"/>
    <w:rsid w:val="15863416"/>
    <w:rsid w:val="15B912F9"/>
    <w:rsid w:val="15D60C87"/>
    <w:rsid w:val="15F042D1"/>
    <w:rsid w:val="15FA4976"/>
    <w:rsid w:val="15FB6C2E"/>
    <w:rsid w:val="16311A37"/>
    <w:rsid w:val="164113FB"/>
    <w:rsid w:val="16473933"/>
    <w:rsid w:val="16574CCD"/>
    <w:rsid w:val="16AB41E3"/>
    <w:rsid w:val="17570ACD"/>
    <w:rsid w:val="17A1031E"/>
    <w:rsid w:val="17C23C98"/>
    <w:rsid w:val="182B51D2"/>
    <w:rsid w:val="1830282C"/>
    <w:rsid w:val="183B4506"/>
    <w:rsid w:val="183E69B1"/>
    <w:rsid w:val="186D330D"/>
    <w:rsid w:val="18775BD7"/>
    <w:rsid w:val="18886991"/>
    <w:rsid w:val="18AC4B7E"/>
    <w:rsid w:val="18B55FA8"/>
    <w:rsid w:val="18B6025C"/>
    <w:rsid w:val="190000F5"/>
    <w:rsid w:val="190473E8"/>
    <w:rsid w:val="192561AE"/>
    <w:rsid w:val="196F7B7E"/>
    <w:rsid w:val="19754059"/>
    <w:rsid w:val="197E141A"/>
    <w:rsid w:val="19A23CBE"/>
    <w:rsid w:val="19D07778"/>
    <w:rsid w:val="19E13E02"/>
    <w:rsid w:val="1A0F438B"/>
    <w:rsid w:val="1A1D6E85"/>
    <w:rsid w:val="1A260C2C"/>
    <w:rsid w:val="1A28565F"/>
    <w:rsid w:val="1A2A5DA6"/>
    <w:rsid w:val="1A5328A6"/>
    <w:rsid w:val="1A6A164C"/>
    <w:rsid w:val="1A6F7391"/>
    <w:rsid w:val="1A722384"/>
    <w:rsid w:val="1AA94357"/>
    <w:rsid w:val="1AB66D15"/>
    <w:rsid w:val="1AC608CC"/>
    <w:rsid w:val="1AE25A13"/>
    <w:rsid w:val="1B0506C6"/>
    <w:rsid w:val="1B317922"/>
    <w:rsid w:val="1B416BA3"/>
    <w:rsid w:val="1BD36269"/>
    <w:rsid w:val="1BD373BC"/>
    <w:rsid w:val="1BD7342E"/>
    <w:rsid w:val="1C3911D9"/>
    <w:rsid w:val="1C663447"/>
    <w:rsid w:val="1C705992"/>
    <w:rsid w:val="1C7617B1"/>
    <w:rsid w:val="1C767488"/>
    <w:rsid w:val="1C9B166C"/>
    <w:rsid w:val="1C9D6072"/>
    <w:rsid w:val="1CB7313F"/>
    <w:rsid w:val="1CDD127E"/>
    <w:rsid w:val="1CDD3AA6"/>
    <w:rsid w:val="1CF653C3"/>
    <w:rsid w:val="1D251725"/>
    <w:rsid w:val="1D264C23"/>
    <w:rsid w:val="1D367074"/>
    <w:rsid w:val="1DD15CB4"/>
    <w:rsid w:val="1DD34AD0"/>
    <w:rsid w:val="1DEA52D0"/>
    <w:rsid w:val="1E26687F"/>
    <w:rsid w:val="1E27620A"/>
    <w:rsid w:val="1E40431B"/>
    <w:rsid w:val="1E4D6696"/>
    <w:rsid w:val="1E9C6D76"/>
    <w:rsid w:val="1E9E6EBB"/>
    <w:rsid w:val="1EE57FAC"/>
    <w:rsid w:val="1F092FA7"/>
    <w:rsid w:val="1F320701"/>
    <w:rsid w:val="1F3369C5"/>
    <w:rsid w:val="1F384EB1"/>
    <w:rsid w:val="1F536EA5"/>
    <w:rsid w:val="1F702F68"/>
    <w:rsid w:val="1F8A414F"/>
    <w:rsid w:val="1FCE4889"/>
    <w:rsid w:val="1FCF29CF"/>
    <w:rsid w:val="1FD62D43"/>
    <w:rsid w:val="1FF044EA"/>
    <w:rsid w:val="200230F1"/>
    <w:rsid w:val="201145AE"/>
    <w:rsid w:val="2021290F"/>
    <w:rsid w:val="20476A09"/>
    <w:rsid w:val="2052763D"/>
    <w:rsid w:val="20561918"/>
    <w:rsid w:val="206E688E"/>
    <w:rsid w:val="2088665F"/>
    <w:rsid w:val="20B53B52"/>
    <w:rsid w:val="20E8312C"/>
    <w:rsid w:val="211D776A"/>
    <w:rsid w:val="21540156"/>
    <w:rsid w:val="21592040"/>
    <w:rsid w:val="215B73CA"/>
    <w:rsid w:val="2177331E"/>
    <w:rsid w:val="2195384C"/>
    <w:rsid w:val="21BC51D5"/>
    <w:rsid w:val="21CE75C1"/>
    <w:rsid w:val="21F46607"/>
    <w:rsid w:val="220529A0"/>
    <w:rsid w:val="221911F4"/>
    <w:rsid w:val="223A3E0F"/>
    <w:rsid w:val="22726353"/>
    <w:rsid w:val="227C4964"/>
    <w:rsid w:val="22AA7723"/>
    <w:rsid w:val="22CF4E93"/>
    <w:rsid w:val="22DC5E10"/>
    <w:rsid w:val="232E52E3"/>
    <w:rsid w:val="235935FC"/>
    <w:rsid w:val="237F470C"/>
    <w:rsid w:val="23832F85"/>
    <w:rsid w:val="23B47E6B"/>
    <w:rsid w:val="240B5FA0"/>
    <w:rsid w:val="24271926"/>
    <w:rsid w:val="24822706"/>
    <w:rsid w:val="249C6CDD"/>
    <w:rsid w:val="24A7227E"/>
    <w:rsid w:val="24CA2841"/>
    <w:rsid w:val="24ED112F"/>
    <w:rsid w:val="253D662D"/>
    <w:rsid w:val="256C6F12"/>
    <w:rsid w:val="25833647"/>
    <w:rsid w:val="25875AFA"/>
    <w:rsid w:val="2593512C"/>
    <w:rsid w:val="25AB43FD"/>
    <w:rsid w:val="25AF60DD"/>
    <w:rsid w:val="262F241A"/>
    <w:rsid w:val="2657371E"/>
    <w:rsid w:val="266857E0"/>
    <w:rsid w:val="266F2F1B"/>
    <w:rsid w:val="26885300"/>
    <w:rsid w:val="26A06E73"/>
    <w:rsid w:val="26A37EF2"/>
    <w:rsid w:val="26B53993"/>
    <w:rsid w:val="26B75329"/>
    <w:rsid w:val="26D66D39"/>
    <w:rsid w:val="26D87D03"/>
    <w:rsid w:val="26F469D8"/>
    <w:rsid w:val="270B6B7E"/>
    <w:rsid w:val="27223D2C"/>
    <w:rsid w:val="27231D3D"/>
    <w:rsid w:val="272468BD"/>
    <w:rsid w:val="272A60C5"/>
    <w:rsid w:val="272C0707"/>
    <w:rsid w:val="273247D1"/>
    <w:rsid w:val="27757296"/>
    <w:rsid w:val="27836E42"/>
    <w:rsid w:val="27A174C3"/>
    <w:rsid w:val="28321D4D"/>
    <w:rsid w:val="284A2313"/>
    <w:rsid w:val="2866708D"/>
    <w:rsid w:val="28874EA0"/>
    <w:rsid w:val="289B2223"/>
    <w:rsid w:val="28DB23E5"/>
    <w:rsid w:val="28DE1ED5"/>
    <w:rsid w:val="28FB2A87"/>
    <w:rsid w:val="293215BB"/>
    <w:rsid w:val="29581B02"/>
    <w:rsid w:val="29611A7A"/>
    <w:rsid w:val="297F7B50"/>
    <w:rsid w:val="299B6241"/>
    <w:rsid w:val="299D5919"/>
    <w:rsid w:val="29B32994"/>
    <w:rsid w:val="29B87103"/>
    <w:rsid w:val="29F340C7"/>
    <w:rsid w:val="2A4B6428"/>
    <w:rsid w:val="2A4E308A"/>
    <w:rsid w:val="2A68414C"/>
    <w:rsid w:val="2ABC5508"/>
    <w:rsid w:val="2ACC1E4B"/>
    <w:rsid w:val="2ADC0BA3"/>
    <w:rsid w:val="2AED774E"/>
    <w:rsid w:val="2B682FF0"/>
    <w:rsid w:val="2B8D5C45"/>
    <w:rsid w:val="2BB363E8"/>
    <w:rsid w:val="2BFB0EC8"/>
    <w:rsid w:val="2BFF6C28"/>
    <w:rsid w:val="2C010290"/>
    <w:rsid w:val="2C4B162F"/>
    <w:rsid w:val="2C86690A"/>
    <w:rsid w:val="2CDA29B3"/>
    <w:rsid w:val="2D2A6D16"/>
    <w:rsid w:val="2D504959"/>
    <w:rsid w:val="2D5C786C"/>
    <w:rsid w:val="2D97326C"/>
    <w:rsid w:val="2DD43412"/>
    <w:rsid w:val="2E0629C2"/>
    <w:rsid w:val="2E234735"/>
    <w:rsid w:val="2E7A26A0"/>
    <w:rsid w:val="2E9C51FA"/>
    <w:rsid w:val="2EC13E2B"/>
    <w:rsid w:val="2EC15BD9"/>
    <w:rsid w:val="2EC71DCC"/>
    <w:rsid w:val="2ED022C0"/>
    <w:rsid w:val="2ED803D9"/>
    <w:rsid w:val="2EE41B5E"/>
    <w:rsid w:val="2F1531D0"/>
    <w:rsid w:val="2F2110AE"/>
    <w:rsid w:val="2F2B0355"/>
    <w:rsid w:val="2F95750D"/>
    <w:rsid w:val="2F973DC6"/>
    <w:rsid w:val="2FA96DE9"/>
    <w:rsid w:val="2FCE3DD2"/>
    <w:rsid w:val="2FE204FD"/>
    <w:rsid w:val="3050261C"/>
    <w:rsid w:val="308B2942"/>
    <w:rsid w:val="309061AB"/>
    <w:rsid w:val="30AB4FFD"/>
    <w:rsid w:val="30AC5925"/>
    <w:rsid w:val="30AF20C1"/>
    <w:rsid w:val="31061FC9"/>
    <w:rsid w:val="31407312"/>
    <w:rsid w:val="317C34AF"/>
    <w:rsid w:val="318F2647"/>
    <w:rsid w:val="319B22CB"/>
    <w:rsid w:val="31C6040A"/>
    <w:rsid w:val="31CD0D39"/>
    <w:rsid w:val="32024E86"/>
    <w:rsid w:val="326046B6"/>
    <w:rsid w:val="328F1215"/>
    <w:rsid w:val="32937558"/>
    <w:rsid w:val="32D36998"/>
    <w:rsid w:val="32E62A93"/>
    <w:rsid w:val="32F3308D"/>
    <w:rsid w:val="3321758E"/>
    <w:rsid w:val="332617A2"/>
    <w:rsid w:val="336D35F0"/>
    <w:rsid w:val="338665E7"/>
    <w:rsid w:val="339929FD"/>
    <w:rsid w:val="33D20888"/>
    <w:rsid w:val="33E22A17"/>
    <w:rsid w:val="33F05E80"/>
    <w:rsid w:val="340B3B24"/>
    <w:rsid w:val="341B20D3"/>
    <w:rsid w:val="342A1CDD"/>
    <w:rsid w:val="34833B8C"/>
    <w:rsid w:val="348D1BF6"/>
    <w:rsid w:val="349543E6"/>
    <w:rsid w:val="349D49F2"/>
    <w:rsid w:val="34B22884"/>
    <w:rsid w:val="34DA4680"/>
    <w:rsid w:val="34E57423"/>
    <w:rsid w:val="34E957FE"/>
    <w:rsid w:val="350A25D3"/>
    <w:rsid w:val="35433380"/>
    <w:rsid w:val="357533E8"/>
    <w:rsid w:val="359F3DE7"/>
    <w:rsid w:val="35B35778"/>
    <w:rsid w:val="35BE0949"/>
    <w:rsid w:val="35D2718E"/>
    <w:rsid w:val="35EF24EA"/>
    <w:rsid w:val="35F41EB5"/>
    <w:rsid w:val="363475D8"/>
    <w:rsid w:val="3651018A"/>
    <w:rsid w:val="36AA57C0"/>
    <w:rsid w:val="36AD49D7"/>
    <w:rsid w:val="36C24BE4"/>
    <w:rsid w:val="36E7289C"/>
    <w:rsid w:val="37030FC6"/>
    <w:rsid w:val="371A4F29"/>
    <w:rsid w:val="374703FF"/>
    <w:rsid w:val="37517D16"/>
    <w:rsid w:val="37691503"/>
    <w:rsid w:val="3775113E"/>
    <w:rsid w:val="377524FA"/>
    <w:rsid w:val="378E2A41"/>
    <w:rsid w:val="37E67B26"/>
    <w:rsid w:val="37F012DD"/>
    <w:rsid w:val="37F2013F"/>
    <w:rsid w:val="37F731B1"/>
    <w:rsid w:val="38017854"/>
    <w:rsid w:val="38185899"/>
    <w:rsid w:val="383D702B"/>
    <w:rsid w:val="38401DEE"/>
    <w:rsid w:val="385F0069"/>
    <w:rsid w:val="38745115"/>
    <w:rsid w:val="38794EC6"/>
    <w:rsid w:val="389B5548"/>
    <w:rsid w:val="38A6778B"/>
    <w:rsid w:val="38F85BFF"/>
    <w:rsid w:val="39290F4A"/>
    <w:rsid w:val="39395969"/>
    <w:rsid w:val="3983796A"/>
    <w:rsid w:val="39845432"/>
    <w:rsid w:val="39BC124F"/>
    <w:rsid w:val="39C50636"/>
    <w:rsid w:val="39E66E3B"/>
    <w:rsid w:val="39E97887"/>
    <w:rsid w:val="39FF4B9A"/>
    <w:rsid w:val="3A055959"/>
    <w:rsid w:val="3A1A428E"/>
    <w:rsid w:val="3A377697"/>
    <w:rsid w:val="3A3F6CD6"/>
    <w:rsid w:val="3A6246F9"/>
    <w:rsid w:val="3A8D5509"/>
    <w:rsid w:val="3AA20B6D"/>
    <w:rsid w:val="3B0D1C2F"/>
    <w:rsid w:val="3B102ECF"/>
    <w:rsid w:val="3B121C25"/>
    <w:rsid w:val="3B3C2224"/>
    <w:rsid w:val="3B9F72A2"/>
    <w:rsid w:val="3BA52324"/>
    <w:rsid w:val="3BB820DC"/>
    <w:rsid w:val="3BC75E69"/>
    <w:rsid w:val="3BD24657"/>
    <w:rsid w:val="3BDC6748"/>
    <w:rsid w:val="3BEA11A4"/>
    <w:rsid w:val="3C2D6FA3"/>
    <w:rsid w:val="3C68613C"/>
    <w:rsid w:val="3C973074"/>
    <w:rsid w:val="3D040732"/>
    <w:rsid w:val="3D0917B7"/>
    <w:rsid w:val="3D113EA7"/>
    <w:rsid w:val="3D1C0F8A"/>
    <w:rsid w:val="3D2C725B"/>
    <w:rsid w:val="3D4463E1"/>
    <w:rsid w:val="3DB20A3C"/>
    <w:rsid w:val="3DD11BB1"/>
    <w:rsid w:val="3DDB6127"/>
    <w:rsid w:val="3E1154D7"/>
    <w:rsid w:val="3E1C1582"/>
    <w:rsid w:val="3E427853"/>
    <w:rsid w:val="3E5615F4"/>
    <w:rsid w:val="3E561822"/>
    <w:rsid w:val="3E825452"/>
    <w:rsid w:val="3E866D2E"/>
    <w:rsid w:val="3E925FC3"/>
    <w:rsid w:val="3EAB5BCF"/>
    <w:rsid w:val="3EDF15EA"/>
    <w:rsid w:val="3EEB139D"/>
    <w:rsid w:val="3F1B6CAB"/>
    <w:rsid w:val="3F427D9B"/>
    <w:rsid w:val="3F512FA9"/>
    <w:rsid w:val="3F8702D5"/>
    <w:rsid w:val="3F8F3AD1"/>
    <w:rsid w:val="3FAF0E3D"/>
    <w:rsid w:val="3FBA19D1"/>
    <w:rsid w:val="3FED1519"/>
    <w:rsid w:val="40056303"/>
    <w:rsid w:val="401B0574"/>
    <w:rsid w:val="402A3365"/>
    <w:rsid w:val="403A732A"/>
    <w:rsid w:val="409A69E6"/>
    <w:rsid w:val="40F7192E"/>
    <w:rsid w:val="40FE4AA6"/>
    <w:rsid w:val="40FF229B"/>
    <w:rsid w:val="4116494A"/>
    <w:rsid w:val="413A40CF"/>
    <w:rsid w:val="413B116E"/>
    <w:rsid w:val="41500607"/>
    <w:rsid w:val="41923280"/>
    <w:rsid w:val="41AF15C1"/>
    <w:rsid w:val="41C71300"/>
    <w:rsid w:val="41CB29F9"/>
    <w:rsid w:val="41DB2F33"/>
    <w:rsid w:val="42004FF4"/>
    <w:rsid w:val="421376EF"/>
    <w:rsid w:val="423050F8"/>
    <w:rsid w:val="42807BBE"/>
    <w:rsid w:val="428710CC"/>
    <w:rsid w:val="42985D72"/>
    <w:rsid w:val="42997EE4"/>
    <w:rsid w:val="429C5063"/>
    <w:rsid w:val="42B45D29"/>
    <w:rsid w:val="42BF4762"/>
    <w:rsid w:val="42D77022"/>
    <w:rsid w:val="42EF105B"/>
    <w:rsid w:val="430600B4"/>
    <w:rsid w:val="43192B1B"/>
    <w:rsid w:val="43291309"/>
    <w:rsid w:val="43352320"/>
    <w:rsid w:val="434732BF"/>
    <w:rsid w:val="43523615"/>
    <w:rsid w:val="436049F3"/>
    <w:rsid w:val="436A4639"/>
    <w:rsid w:val="43B61535"/>
    <w:rsid w:val="43CF28BC"/>
    <w:rsid w:val="43D06A3A"/>
    <w:rsid w:val="441A60C0"/>
    <w:rsid w:val="442E7637"/>
    <w:rsid w:val="44521BC2"/>
    <w:rsid w:val="447574D2"/>
    <w:rsid w:val="44926E1B"/>
    <w:rsid w:val="455706B7"/>
    <w:rsid w:val="456B4699"/>
    <w:rsid w:val="45DD621F"/>
    <w:rsid w:val="45E070E4"/>
    <w:rsid w:val="46042552"/>
    <w:rsid w:val="4623010D"/>
    <w:rsid w:val="46476F48"/>
    <w:rsid w:val="464E1420"/>
    <w:rsid w:val="4689127A"/>
    <w:rsid w:val="46AD6906"/>
    <w:rsid w:val="46FB3202"/>
    <w:rsid w:val="47081961"/>
    <w:rsid w:val="47103614"/>
    <w:rsid w:val="47122059"/>
    <w:rsid w:val="47176886"/>
    <w:rsid w:val="47321912"/>
    <w:rsid w:val="47344E0E"/>
    <w:rsid w:val="473701A0"/>
    <w:rsid w:val="473864EB"/>
    <w:rsid w:val="47470441"/>
    <w:rsid w:val="476C031C"/>
    <w:rsid w:val="479964CD"/>
    <w:rsid w:val="47A62115"/>
    <w:rsid w:val="47B4595B"/>
    <w:rsid w:val="47B9544F"/>
    <w:rsid w:val="47C36A0E"/>
    <w:rsid w:val="47DB4EB7"/>
    <w:rsid w:val="47E2384A"/>
    <w:rsid w:val="48034352"/>
    <w:rsid w:val="480B1AE2"/>
    <w:rsid w:val="48281236"/>
    <w:rsid w:val="48587398"/>
    <w:rsid w:val="48DA7BDE"/>
    <w:rsid w:val="48E5447D"/>
    <w:rsid w:val="48EA6B9C"/>
    <w:rsid w:val="48F22448"/>
    <w:rsid w:val="48F86243"/>
    <w:rsid w:val="48FD44EF"/>
    <w:rsid w:val="48FE53CE"/>
    <w:rsid w:val="491F7C74"/>
    <w:rsid w:val="49326719"/>
    <w:rsid w:val="494D362A"/>
    <w:rsid w:val="49A90A92"/>
    <w:rsid w:val="49AD702E"/>
    <w:rsid w:val="49B1532A"/>
    <w:rsid w:val="49C1207C"/>
    <w:rsid w:val="4A0D5D6C"/>
    <w:rsid w:val="4A1C75EF"/>
    <w:rsid w:val="4A52748B"/>
    <w:rsid w:val="4A5E2A1E"/>
    <w:rsid w:val="4A6704B4"/>
    <w:rsid w:val="4A6F4189"/>
    <w:rsid w:val="4A7F6137"/>
    <w:rsid w:val="4A8A3813"/>
    <w:rsid w:val="4A8E57FB"/>
    <w:rsid w:val="4A9228A5"/>
    <w:rsid w:val="4AEF083F"/>
    <w:rsid w:val="4B13678B"/>
    <w:rsid w:val="4B14423A"/>
    <w:rsid w:val="4B266736"/>
    <w:rsid w:val="4B477F61"/>
    <w:rsid w:val="4B6C3AF2"/>
    <w:rsid w:val="4B704573"/>
    <w:rsid w:val="4B875EEF"/>
    <w:rsid w:val="4BD54EDB"/>
    <w:rsid w:val="4BEE27BB"/>
    <w:rsid w:val="4C123498"/>
    <w:rsid w:val="4C744817"/>
    <w:rsid w:val="4CC1734F"/>
    <w:rsid w:val="4CC22F86"/>
    <w:rsid w:val="4CCF264F"/>
    <w:rsid w:val="4CD34FFD"/>
    <w:rsid w:val="4CD40DCE"/>
    <w:rsid w:val="4CED4C37"/>
    <w:rsid w:val="4D1C0049"/>
    <w:rsid w:val="4D251398"/>
    <w:rsid w:val="4D37619E"/>
    <w:rsid w:val="4D3B77D2"/>
    <w:rsid w:val="4D461C73"/>
    <w:rsid w:val="4D587BF8"/>
    <w:rsid w:val="4DAE3D5C"/>
    <w:rsid w:val="4DE56238"/>
    <w:rsid w:val="4E185A8C"/>
    <w:rsid w:val="4E263853"/>
    <w:rsid w:val="4E393586"/>
    <w:rsid w:val="4E5B635E"/>
    <w:rsid w:val="4EC20D9C"/>
    <w:rsid w:val="4EDC51AC"/>
    <w:rsid w:val="4EF31987"/>
    <w:rsid w:val="4F2C4E99"/>
    <w:rsid w:val="4F50208C"/>
    <w:rsid w:val="4F732AC8"/>
    <w:rsid w:val="4F7B02F2"/>
    <w:rsid w:val="4FAF0B2E"/>
    <w:rsid w:val="4FDE0B30"/>
    <w:rsid w:val="50350675"/>
    <w:rsid w:val="503E4E84"/>
    <w:rsid w:val="50515D0B"/>
    <w:rsid w:val="50647BEF"/>
    <w:rsid w:val="50982DC8"/>
    <w:rsid w:val="50B61691"/>
    <w:rsid w:val="50C15EEC"/>
    <w:rsid w:val="50E65B0E"/>
    <w:rsid w:val="510F6820"/>
    <w:rsid w:val="5119458A"/>
    <w:rsid w:val="51331499"/>
    <w:rsid w:val="513444D8"/>
    <w:rsid w:val="514065FD"/>
    <w:rsid w:val="515406D7"/>
    <w:rsid w:val="517A0AFC"/>
    <w:rsid w:val="51895F94"/>
    <w:rsid w:val="51C03C33"/>
    <w:rsid w:val="51CD2963"/>
    <w:rsid w:val="51EF2732"/>
    <w:rsid w:val="51F953B7"/>
    <w:rsid w:val="521F2FAF"/>
    <w:rsid w:val="52224468"/>
    <w:rsid w:val="523D69F0"/>
    <w:rsid w:val="52603B94"/>
    <w:rsid w:val="527A5E46"/>
    <w:rsid w:val="52B2546D"/>
    <w:rsid w:val="52E361B6"/>
    <w:rsid w:val="531C6FD2"/>
    <w:rsid w:val="533B0A9D"/>
    <w:rsid w:val="53666C90"/>
    <w:rsid w:val="53991C44"/>
    <w:rsid w:val="53BB4A3D"/>
    <w:rsid w:val="53D855D1"/>
    <w:rsid w:val="53E5450E"/>
    <w:rsid w:val="53F66263"/>
    <w:rsid w:val="54071B43"/>
    <w:rsid w:val="540D7ED7"/>
    <w:rsid w:val="54321EEE"/>
    <w:rsid w:val="547528A1"/>
    <w:rsid w:val="547C1240"/>
    <w:rsid w:val="54813E05"/>
    <w:rsid w:val="54B2440D"/>
    <w:rsid w:val="54B64E58"/>
    <w:rsid w:val="54C043A2"/>
    <w:rsid w:val="54F55D2D"/>
    <w:rsid w:val="54F64E33"/>
    <w:rsid w:val="55061CE8"/>
    <w:rsid w:val="550E141C"/>
    <w:rsid w:val="552A3C28"/>
    <w:rsid w:val="55355BA7"/>
    <w:rsid w:val="55512E66"/>
    <w:rsid w:val="55544572"/>
    <w:rsid w:val="55545149"/>
    <w:rsid w:val="55585D2C"/>
    <w:rsid w:val="5563538C"/>
    <w:rsid w:val="558146B1"/>
    <w:rsid w:val="558A11A6"/>
    <w:rsid w:val="5590354D"/>
    <w:rsid w:val="559D26DD"/>
    <w:rsid w:val="559F33DB"/>
    <w:rsid w:val="55AC65BD"/>
    <w:rsid w:val="55CD79BC"/>
    <w:rsid w:val="55FC1EAE"/>
    <w:rsid w:val="56220117"/>
    <w:rsid w:val="567E6AAE"/>
    <w:rsid w:val="56815316"/>
    <w:rsid w:val="569553E7"/>
    <w:rsid w:val="56AC6735"/>
    <w:rsid w:val="56B75E24"/>
    <w:rsid w:val="56C34573"/>
    <w:rsid w:val="56D041DC"/>
    <w:rsid w:val="56D9406D"/>
    <w:rsid w:val="56DD5758"/>
    <w:rsid w:val="5708799A"/>
    <w:rsid w:val="570D3802"/>
    <w:rsid w:val="572D017D"/>
    <w:rsid w:val="57405985"/>
    <w:rsid w:val="574B38A4"/>
    <w:rsid w:val="574E51CE"/>
    <w:rsid w:val="575A4CF0"/>
    <w:rsid w:val="57753EA0"/>
    <w:rsid w:val="578B633B"/>
    <w:rsid w:val="579105CB"/>
    <w:rsid w:val="579D7BD5"/>
    <w:rsid w:val="579E26AC"/>
    <w:rsid w:val="57C45C50"/>
    <w:rsid w:val="57C93BCD"/>
    <w:rsid w:val="57E411DB"/>
    <w:rsid w:val="57FE314A"/>
    <w:rsid w:val="580729CD"/>
    <w:rsid w:val="5809074E"/>
    <w:rsid w:val="58181DD6"/>
    <w:rsid w:val="5818245E"/>
    <w:rsid w:val="58324AD3"/>
    <w:rsid w:val="58331046"/>
    <w:rsid w:val="585B059D"/>
    <w:rsid w:val="58774F61"/>
    <w:rsid w:val="588732C7"/>
    <w:rsid w:val="588B0E82"/>
    <w:rsid w:val="5949179E"/>
    <w:rsid w:val="59576FB6"/>
    <w:rsid w:val="597404E6"/>
    <w:rsid w:val="59741916"/>
    <w:rsid w:val="597C35F5"/>
    <w:rsid w:val="59830F9B"/>
    <w:rsid w:val="598C0B06"/>
    <w:rsid w:val="598F3E98"/>
    <w:rsid w:val="59961582"/>
    <w:rsid w:val="59A92AD3"/>
    <w:rsid w:val="59C3475B"/>
    <w:rsid w:val="59CC0F15"/>
    <w:rsid w:val="59E441CB"/>
    <w:rsid w:val="59F0262F"/>
    <w:rsid w:val="59F60450"/>
    <w:rsid w:val="5A0456C5"/>
    <w:rsid w:val="5A4B6B1B"/>
    <w:rsid w:val="5A6F296F"/>
    <w:rsid w:val="5AC46BED"/>
    <w:rsid w:val="5AD51DC6"/>
    <w:rsid w:val="5AF36E66"/>
    <w:rsid w:val="5B3F6CD7"/>
    <w:rsid w:val="5B6A162C"/>
    <w:rsid w:val="5B7210C8"/>
    <w:rsid w:val="5B853DB3"/>
    <w:rsid w:val="5BA83999"/>
    <w:rsid w:val="5BBB1A7E"/>
    <w:rsid w:val="5C50643F"/>
    <w:rsid w:val="5C5064FD"/>
    <w:rsid w:val="5C625BEC"/>
    <w:rsid w:val="5C717D9E"/>
    <w:rsid w:val="5C754D81"/>
    <w:rsid w:val="5C9F245A"/>
    <w:rsid w:val="5CF0081D"/>
    <w:rsid w:val="5D121B72"/>
    <w:rsid w:val="5D1D60AD"/>
    <w:rsid w:val="5D210896"/>
    <w:rsid w:val="5D32410F"/>
    <w:rsid w:val="5D480805"/>
    <w:rsid w:val="5D6D0CD7"/>
    <w:rsid w:val="5D747195"/>
    <w:rsid w:val="5DC83159"/>
    <w:rsid w:val="5E113BD7"/>
    <w:rsid w:val="5E1D430D"/>
    <w:rsid w:val="5E2B4CE1"/>
    <w:rsid w:val="5E412F81"/>
    <w:rsid w:val="5E49580F"/>
    <w:rsid w:val="5EA34EF9"/>
    <w:rsid w:val="5EA80973"/>
    <w:rsid w:val="5EB7459A"/>
    <w:rsid w:val="5EDC7053"/>
    <w:rsid w:val="5EE12032"/>
    <w:rsid w:val="5F04642B"/>
    <w:rsid w:val="5F200575"/>
    <w:rsid w:val="5F311344"/>
    <w:rsid w:val="5F7E56D9"/>
    <w:rsid w:val="5F93686E"/>
    <w:rsid w:val="5F9F5FC9"/>
    <w:rsid w:val="5FAF79A2"/>
    <w:rsid w:val="5FC515F0"/>
    <w:rsid w:val="5FC76528"/>
    <w:rsid w:val="5FF7504F"/>
    <w:rsid w:val="5FF7780C"/>
    <w:rsid w:val="5FFB668B"/>
    <w:rsid w:val="60305060"/>
    <w:rsid w:val="60344E6C"/>
    <w:rsid w:val="60487D3A"/>
    <w:rsid w:val="60BF177A"/>
    <w:rsid w:val="60C0036F"/>
    <w:rsid w:val="611E5D41"/>
    <w:rsid w:val="613B22CF"/>
    <w:rsid w:val="613E2F72"/>
    <w:rsid w:val="6154211C"/>
    <w:rsid w:val="61547A04"/>
    <w:rsid w:val="615564D1"/>
    <w:rsid w:val="616E7A4D"/>
    <w:rsid w:val="619003D2"/>
    <w:rsid w:val="61F15833"/>
    <w:rsid w:val="61F16F0B"/>
    <w:rsid w:val="61FE312B"/>
    <w:rsid w:val="62173786"/>
    <w:rsid w:val="621E68C3"/>
    <w:rsid w:val="622A731B"/>
    <w:rsid w:val="62470382"/>
    <w:rsid w:val="62540537"/>
    <w:rsid w:val="62C029AF"/>
    <w:rsid w:val="62C6396E"/>
    <w:rsid w:val="62DB47B4"/>
    <w:rsid w:val="62E30E34"/>
    <w:rsid w:val="630C1E0C"/>
    <w:rsid w:val="63723EEA"/>
    <w:rsid w:val="63AA47F2"/>
    <w:rsid w:val="63AB5997"/>
    <w:rsid w:val="63C60FC0"/>
    <w:rsid w:val="63DB3CFE"/>
    <w:rsid w:val="63EF1FB1"/>
    <w:rsid w:val="63F552A2"/>
    <w:rsid w:val="64095516"/>
    <w:rsid w:val="641C3E0E"/>
    <w:rsid w:val="64205396"/>
    <w:rsid w:val="64472F22"/>
    <w:rsid w:val="646845A7"/>
    <w:rsid w:val="649C549E"/>
    <w:rsid w:val="64A42DBA"/>
    <w:rsid w:val="64A92459"/>
    <w:rsid w:val="64C447E7"/>
    <w:rsid w:val="64D17957"/>
    <w:rsid w:val="64F64A21"/>
    <w:rsid w:val="651D4CF5"/>
    <w:rsid w:val="65250464"/>
    <w:rsid w:val="65370ADA"/>
    <w:rsid w:val="654F24F6"/>
    <w:rsid w:val="654F510B"/>
    <w:rsid w:val="655B4E70"/>
    <w:rsid w:val="658B65C1"/>
    <w:rsid w:val="65D00D73"/>
    <w:rsid w:val="65EC0A86"/>
    <w:rsid w:val="65EC45F7"/>
    <w:rsid w:val="661318A7"/>
    <w:rsid w:val="6632293D"/>
    <w:rsid w:val="665C5C0C"/>
    <w:rsid w:val="66676719"/>
    <w:rsid w:val="669D21EC"/>
    <w:rsid w:val="66AC7689"/>
    <w:rsid w:val="66B30AD9"/>
    <w:rsid w:val="66E16FD5"/>
    <w:rsid w:val="66EC7161"/>
    <w:rsid w:val="66FA3034"/>
    <w:rsid w:val="671D5367"/>
    <w:rsid w:val="671F55B7"/>
    <w:rsid w:val="67332E10"/>
    <w:rsid w:val="673F0394"/>
    <w:rsid w:val="677A0A3F"/>
    <w:rsid w:val="678056D4"/>
    <w:rsid w:val="67CE48E7"/>
    <w:rsid w:val="67E366EC"/>
    <w:rsid w:val="68212324"/>
    <w:rsid w:val="6823219C"/>
    <w:rsid w:val="68275872"/>
    <w:rsid w:val="686B0388"/>
    <w:rsid w:val="688B4ABD"/>
    <w:rsid w:val="689258E0"/>
    <w:rsid w:val="689901C7"/>
    <w:rsid w:val="68994D62"/>
    <w:rsid w:val="68C93019"/>
    <w:rsid w:val="69083D00"/>
    <w:rsid w:val="691E2377"/>
    <w:rsid w:val="69341225"/>
    <w:rsid w:val="694D5798"/>
    <w:rsid w:val="696329EF"/>
    <w:rsid w:val="6969687B"/>
    <w:rsid w:val="698E54DD"/>
    <w:rsid w:val="69A3124A"/>
    <w:rsid w:val="69B568CB"/>
    <w:rsid w:val="6A1B2665"/>
    <w:rsid w:val="6A2428FF"/>
    <w:rsid w:val="6A254806"/>
    <w:rsid w:val="6A3D7B02"/>
    <w:rsid w:val="6A9F6535"/>
    <w:rsid w:val="6AC87D14"/>
    <w:rsid w:val="6AC951B0"/>
    <w:rsid w:val="6ADC556D"/>
    <w:rsid w:val="6AF85F51"/>
    <w:rsid w:val="6B4F2934"/>
    <w:rsid w:val="6B777044"/>
    <w:rsid w:val="6B993698"/>
    <w:rsid w:val="6B9A16B0"/>
    <w:rsid w:val="6BB92528"/>
    <w:rsid w:val="6BCD4C6B"/>
    <w:rsid w:val="6BD03E73"/>
    <w:rsid w:val="6BDA5F51"/>
    <w:rsid w:val="6C047A0E"/>
    <w:rsid w:val="6C4C59CB"/>
    <w:rsid w:val="6CB52255"/>
    <w:rsid w:val="6CE1428A"/>
    <w:rsid w:val="6CEB2C42"/>
    <w:rsid w:val="6D2A1241"/>
    <w:rsid w:val="6D526EEE"/>
    <w:rsid w:val="6D8B5777"/>
    <w:rsid w:val="6D9F1FD8"/>
    <w:rsid w:val="6DD07964"/>
    <w:rsid w:val="6DF154F1"/>
    <w:rsid w:val="6E686E0D"/>
    <w:rsid w:val="6E720012"/>
    <w:rsid w:val="6EC21589"/>
    <w:rsid w:val="6EF154D3"/>
    <w:rsid w:val="6EF54E4F"/>
    <w:rsid w:val="6EF67D7E"/>
    <w:rsid w:val="6F616537"/>
    <w:rsid w:val="6F6170C9"/>
    <w:rsid w:val="6F7D6458"/>
    <w:rsid w:val="6F8772DF"/>
    <w:rsid w:val="6FA65DB8"/>
    <w:rsid w:val="6FB6638D"/>
    <w:rsid w:val="703E6382"/>
    <w:rsid w:val="704D46D9"/>
    <w:rsid w:val="704E2A69"/>
    <w:rsid w:val="70743645"/>
    <w:rsid w:val="70986E39"/>
    <w:rsid w:val="709A3F00"/>
    <w:rsid w:val="70B40382"/>
    <w:rsid w:val="70F23777"/>
    <w:rsid w:val="70FE6207"/>
    <w:rsid w:val="711518FA"/>
    <w:rsid w:val="712B2DAA"/>
    <w:rsid w:val="712B6906"/>
    <w:rsid w:val="71845F61"/>
    <w:rsid w:val="71940950"/>
    <w:rsid w:val="71AF7792"/>
    <w:rsid w:val="71F917AA"/>
    <w:rsid w:val="71FE2FE4"/>
    <w:rsid w:val="720927D3"/>
    <w:rsid w:val="721645D1"/>
    <w:rsid w:val="72DE56CD"/>
    <w:rsid w:val="72DE79D9"/>
    <w:rsid w:val="73012015"/>
    <w:rsid w:val="730337E1"/>
    <w:rsid w:val="73406DA4"/>
    <w:rsid w:val="735B1691"/>
    <w:rsid w:val="73723CA0"/>
    <w:rsid w:val="737427E7"/>
    <w:rsid w:val="740726B8"/>
    <w:rsid w:val="741B1A64"/>
    <w:rsid w:val="743C249F"/>
    <w:rsid w:val="744A79EB"/>
    <w:rsid w:val="74600FBD"/>
    <w:rsid w:val="749C1F6B"/>
    <w:rsid w:val="74C03815"/>
    <w:rsid w:val="74DB208E"/>
    <w:rsid w:val="74FB6655"/>
    <w:rsid w:val="75081500"/>
    <w:rsid w:val="75411E86"/>
    <w:rsid w:val="75855A7B"/>
    <w:rsid w:val="759748CB"/>
    <w:rsid w:val="75BB2C38"/>
    <w:rsid w:val="75FD7FAA"/>
    <w:rsid w:val="768A7882"/>
    <w:rsid w:val="769737B3"/>
    <w:rsid w:val="769D02A6"/>
    <w:rsid w:val="76BB78A4"/>
    <w:rsid w:val="76CE0460"/>
    <w:rsid w:val="76E031E5"/>
    <w:rsid w:val="76F81041"/>
    <w:rsid w:val="77126419"/>
    <w:rsid w:val="772374A1"/>
    <w:rsid w:val="776D5995"/>
    <w:rsid w:val="779A4B5E"/>
    <w:rsid w:val="779F004E"/>
    <w:rsid w:val="77C41863"/>
    <w:rsid w:val="77D5507B"/>
    <w:rsid w:val="77D64906"/>
    <w:rsid w:val="77E6493D"/>
    <w:rsid w:val="77F15347"/>
    <w:rsid w:val="78362761"/>
    <w:rsid w:val="783E33C3"/>
    <w:rsid w:val="78407108"/>
    <w:rsid w:val="78586E64"/>
    <w:rsid w:val="788A2B86"/>
    <w:rsid w:val="78930E87"/>
    <w:rsid w:val="78D723B7"/>
    <w:rsid w:val="78EE1763"/>
    <w:rsid w:val="78F64746"/>
    <w:rsid w:val="790F099F"/>
    <w:rsid w:val="791403C6"/>
    <w:rsid w:val="792151BF"/>
    <w:rsid w:val="79312F28"/>
    <w:rsid w:val="7931668C"/>
    <w:rsid w:val="799F64DC"/>
    <w:rsid w:val="79A335C3"/>
    <w:rsid w:val="79A738FF"/>
    <w:rsid w:val="79FB131C"/>
    <w:rsid w:val="7A1517A4"/>
    <w:rsid w:val="7A1940E8"/>
    <w:rsid w:val="7A2F4D60"/>
    <w:rsid w:val="7A554DC1"/>
    <w:rsid w:val="7A5734A2"/>
    <w:rsid w:val="7A967C31"/>
    <w:rsid w:val="7AA810C7"/>
    <w:rsid w:val="7AC31AD2"/>
    <w:rsid w:val="7AF20495"/>
    <w:rsid w:val="7AFA1DAC"/>
    <w:rsid w:val="7B40502F"/>
    <w:rsid w:val="7B5031C1"/>
    <w:rsid w:val="7B5E35F5"/>
    <w:rsid w:val="7B7F441F"/>
    <w:rsid w:val="7BB75884"/>
    <w:rsid w:val="7BFE7192"/>
    <w:rsid w:val="7C0E59BA"/>
    <w:rsid w:val="7C0E7550"/>
    <w:rsid w:val="7C2301A7"/>
    <w:rsid w:val="7C5C1239"/>
    <w:rsid w:val="7C851868"/>
    <w:rsid w:val="7D0746CC"/>
    <w:rsid w:val="7D1E4A05"/>
    <w:rsid w:val="7D5B3909"/>
    <w:rsid w:val="7DD6409E"/>
    <w:rsid w:val="7DEB6A07"/>
    <w:rsid w:val="7DED1B13"/>
    <w:rsid w:val="7E0A4D52"/>
    <w:rsid w:val="7E3D7910"/>
    <w:rsid w:val="7E4C43AC"/>
    <w:rsid w:val="7E781FC3"/>
    <w:rsid w:val="7E9E1505"/>
    <w:rsid w:val="7EEB40CE"/>
    <w:rsid w:val="7F3948E4"/>
    <w:rsid w:val="7F3A0190"/>
    <w:rsid w:val="7F5B4401"/>
    <w:rsid w:val="7F6F0306"/>
    <w:rsid w:val="7F972F5B"/>
    <w:rsid w:val="7FA501CC"/>
    <w:rsid w:val="7FCA6B67"/>
    <w:rsid w:val="7FFA0DEC"/>
    <w:rsid w:val="F35677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1" w:semiHidden="0" w:name="toc 2"/>
    <w:lsdException w:qFormat="1" w:unhideWhenUsed="0" w:uiPriority="39"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Calibri" w:cs="Times New Roman"/>
      <w:sz w:val="22"/>
      <w:szCs w:val="22"/>
      <w:lang w:val="en-US" w:eastAsia="en-US" w:bidi="ar-SA"/>
    </w:rPr>
  </w:style>
  <w:style w:type="paragraph" w:styleId="2">
    <w:name w:val="heading 1"/>
    <w:basedOn w:val="1"/>
    <w:next w:val="1"/>
    <w:qFormat/>
    <w:uiPriority w:val="1"/>
    <w:pPr>
      <w:ind w:left="3"/>
      <w:outlineLvl w:val="0"/>
    </w:pPr>
    <w:rPr>
      <w:rFonts w:ascii="Microsoft JhengHei" w:hAnsi="Microsoft JhengHei" w:eastAsia="Microsoft JhengHei"/>
      <w:b/>
      <w:bCs/>
      <w:sz w:val="44"/>
      <w:szCs w:val="44"/>
    </w:rPr>
  </w:style>
  <w:style w:type="paragraph" w:styleId="3">
    <w:name w:val="heading 2"/>
    <w:basedOn w:val="1"/>
    <w:next w:val="1"/>
    <w:qFormat/>
    <w:uiPriority w:val="1"/>
    <w:pPr>
      <w:ind w:left="3"/>
      <w:outlineLvl w:val="1"/>
    </w:pPr>
    <w:rPr>
      <w:rFonts w:ascii="宋体" w:hAnsi="宋体" w:eastAsia="宋体"/>
      <w:sz w:val="44"/>
      <w:szCs w:val="44"/>
    </w:rPr>
  </w:style>
  <w:style w:type="paragraph" w:styleId="4">
    <w:name w:val="heading 3"/>
    <w:basedOn w:val="1"/>
    <w:next w:val="1"/>
    <w:link w:val="34"/>
    <w:qFormat/>
    <w:uiPriority w:val="1"/>
    <w:pPr>
      <w:ind w:left="100"/>
      <w:outlineLvl w:val="2"/>
    </w:pPr>
    <w:rPr>
      <w:rFonts w:ascii="Microsoft JhengHei" w:hAnsi="Microsoft JhengHei" w:eastAsia="Microsoft JhengHei"/>
      <w:b/>
      <w:bCs/>
      <w:sz w:val="32"/>
      <w:szCs w:val="32"/>
    </w:rPr>
  </w:style>
  <w:style w:type="paragraph" w:styleId="5">
    <w:name w:val="heading 4"/>
    <w:basedOn w:val="6"/>
    <w:next w:val="1"/>
    <w:qFormat/>
    <w:uiPriority w:val="1"/>
    <w:pPr>
      <w:ind w:left="237"/>
      <w:outlineLvl w:val="3"/>
    </w:pPr>
    <w:rPr>
      <w:rFonts w:ascii="宋体" w:hAnsi="宋体" w:eastAsia="宋体"/>
      <w:sz w:val="28"/>
      <w:szCs w:val="28"/>
    </w:rPr>
  </w:style>
  <w:style w:type="paragraph" w:styleId="7">
    <w:name w:val="heading 5"/>
    <w:basedOn w:val="1"/>
    <w:next w:val="1"/>
    <w:qFormat/>
    <w:uiPriority w:val="1"/>
    <w:pPr>
      <w:ind w:left="513"/>
      <w:outlineLvl w:val="4"/>
    </w:pPr>
    <w:rPr>
      <w:rFonts w:ascii="Times New Roman" w:hAnsi="Times New Roman" w:eastAsia="Times New Roman"/>
      <w:b/>
      <w:bCs/>
      <w:sz w:val="21"/>
      <w:szCs w:val="21"/>
    </w:rPr>
  </w:style>
  <w:style w:type="character" w:default="1" w:styleId="29">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List Paragraph"/>
    <w:basedOn w:val="1"/>
    <w:link w:val="35"/>
    <w:qFormat/>
    <w:uiPriority w:val="1"/>
  </w:style>
  <w:style w:type="paragraph" w:styleId="8">
    <w:name w:val="Normal Indent"/>
    <w:basedOn w:val="1"/>
    <w:link w:val="36"/>
    <w:qFormat/>
    <w:uiPriority w:val="0"/>
    <w:pPr>
      <w:ind w:firstLine="420"/>
      <w:jc w:val="both"/>
    </w:pPr>
    <w:rPr>
      <w:rFonts w:ascii="仿宋_GB2312" w:hAnsi="Times New Roman" w:eastAsia="宋体"/>
      <w:b/>
      <w:kern w:val="2"/>
      <w:sz w:val="32"/>
      <w:szCs w:val="20"/>
      <w:lang w:eastAsia="zh-CN"/>
    </w:rPr>
  </w:style>
  <w:style w:type="paragraph" w:styleId="9">
    <w:name w:val="annotation text"/>
    <w:basedOn w:val="1"/>
    <w:link w:val="37"/>
    <w:qFormat/>
    <w:uiPriority w:val="0"/>
  </w:style>
  <w:style w:type="paragraph" w:styleId="10">
    <w:name w:val="Body Text 3"/>
    <w:basedOn w:val="1"/>
    <w:link w:val="38"/>
    <w:qFormat/>
    <w:uiPriority w:val="0"/>
    <w:pPr>
      <w:jc w:val="both"/>
    </w:pPr>
    <w:rPr>
      <w:rFonts w:ascii="宋体" w:eastAsia="宋体"/>
      <w:kern w:val="2"/>
      <w:sz w:val="24"/>
      <w:szCs w:val="20"/>
    </w:rPr>
  </w:style>
  <w:style w:type="paragraph" w:styleId="11">
    <w:name w:val="Body Text"/>
    <w:basedOn w:val="1"/>
    <w:link w:val="39"/>
    <w:qFormat/>
    <w:uiPriority w:val="1"/>
    <w:pPr>
      <w:ind w:left="100"/>
    </w:pPr>
    <w:rPr>
      <w:rFonts w:ascii="宋体" w:hAnsi="宋体" w:eastAsia="宋体"/>
      <w:sz w:val="21"/>
      <w:szCs w:val="21"/>
    </w:rPr>
  </w:style>
  <w:style w:type="paragraph" w:styleId="12">
    <w:name w:val="Body Text Indent"/>
    <w:basedOn w:val="1"/>
    <w:link w:val="40"/>
    <w:qFormat/>
    <w:uiPriority w:val="0"/>
    <w:pPr>
      <w:spacing w:after="120"/>
      <w:ind w:left="420" w:leftChars="200"/>
    </w:pPr>
  </w:style>
  <w:style w:type="paragraph" w:styleId="13">
    <w:name w:val="toc 3"/>
    <w:basedOn w:val="1"/>
    <w:next w:val="1"/>
    <w:qFormat/>
    <w:uiPriority w:val="39"/>
    <w:pPr>
      <w:ind w:left="520"/>
    </w:pPr>
    <w:rPr>
      <w:rFonts w:ascii="宋体" w:hAnsi="宋体" w:eastAsia="宋体"/>
      <w:sz w:val="21"/>
      <w:szCs w:val="21"/>
    </w:rPr>
  </w:style>
  <w:style w:type="paragraph" w:styleId="14">
    <w:name w:val="Plain Text"/>
    <w:basedOn w:val="1"/>
    <w:next w:val="1"/>
    <w:link w:val="41"/>
    <w:qFormat/>
    <w:uiPriority w:val="0"/>
    <w:pPr>
      <w:jc w:val="both"/>
    </w:pPr>
    <w:rPr>
      <w:rFonts w:ascii="宋体" w:hAnsi="Courier New" w:eastAsia="宋体"/>
      <w:kern w:val="2"/>
      <w:sz w:val="21"/>
      <w:szCs w:val="20"/>
    </w:rPr>
  </w:style>
  <w:style w:type="paragraph" w:styleId="15">
    <w:name w:val="Date"/>
    <w:basedOn w:val="1"/>
    <w:next w:val="1"/>
    <w:link w:val="42"/>
    <w:qFormat/>
    <w:uiPriority w:val="0"/>
    <w:pPr>
      <w:ind w:left="100" w:leftChars="2500"/>
    </w:pPr>
  </w:style>
  <w:style w:type="paragraph" w:styleId="16">
    <w:name w:val="endnote text"/>
    <w:basedOn w:val="1"/>
    <w:link w:val="43"/>
    <w:unhideWhenUsed/>
    <w:qFormat/>
    <w:uiPriority w:val="0"/>
    <w:pPr>
      <w:snapToGrid w:val="0"/>
    </w:pPr>
  </w:style>
  <w:style w:type="paragraph" w:styleId="17">
    <w:name w:val="Balloon Text"/>
    <w:basedOn w:val="1"/>
    <w:link w:val="44"/>
    <w:qFormat/>
    <w:uiPriority w:val="0"/>
    <w:rPr>
      <w:sz w:val="18"/>
      <w:szCs w:val="18"/>
    </w:rPr>
  </w:style>
  <w:style w:type="paragraph" w:styleId="18">
    <w:name w:val="footer"/>
    <w:basedOn w:val="1"/>
    <w:link w:val="45"/>
    <w:qFormat/>
    <w:uiPriority w:val="0"/>
    <w:pPr>
      <w:tabs>
        <w:tab w:val="center" w:pos="4153"/>
        <w:tab w:val="right" w:pos="8306"/>
      </w:tabs>
      <w:snapToGrid w:val="0"/>
    </w:pPr>
    <w:rPr>
      <w:sz w:val="18"/>
      <w:szCs w:val="18"/>
    </w:rPr>
  </w:style>
  <w:style w:type="paragraph" w:styleId="19">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rPr>
      <w:rFonts w:ascii="宋体" w:hAnsi="宋体" w:eastAsia="宋体"/>
      <w:sz w:val="21"/>
      <w:szCs w:val="21"/>
    </w:rPr>
  </w:style>
  <w:style w:type="paragraph" w:styleId="21">
    <w:name w:val="toc 4"/>
    <w:basedOn w:val="1"/>
    <w:next w:val="1"/>
    <w:qFormat/>
    <w:uiPriority w:val="1"/>
    <w:pPr>
      <w:ind w:left="940"/>
    </w:pPr>
    <w:rPr>
      <w:rFonts w:ascii="宋体" w:hAnsi="宋体" w:eastAsia="宋体"/>
      <w:sz w:val="21"/>
      <w:szCs w:val="21"/>
    </w:rPr>
  </w:style>
  <w:style w:type="paragraph" w:styleId="22">
    <w:name w:val="toc 2"/>
    <w:basedOn w:val="1"/>
    <w:next w:val="1"/>
    <w:qFormat/>
    <w:uiPriority w:val="1"/>
    <w:pPr>
      <w:ind w:left="100"/>
    </w:pPr>
    <w:rPr>
      <w:rFonts w:ascii="宋体" w:hAnsi="宋体" w:eastAsia="宋体"/>
      <w:sz w:val="21"/>
      <w:szCs w:val="21"/>
    </w:rPr>
  </w:style>
  <w:style w:type="paragraph" w:styleId="23">
    <w:name w:val="Normal (Web)"/>
    <w:basedOn w:val="1"/>
    <w:unhideWhenUsed/>
    <w:qFormat/>
    <w:uiPriority w:val="99"/>
    <w:pPr>
      <w:widowControl/>
    </w:pPr>
    <w:rPr>
      <w:rFonts w:ascii="微软雅黑" w:hAnsi="微软雅黑" w:eastAsia="微软雅黑" w:cs="宋体"/>
      <w:sz w:val="24"/>
      <w:szCs w:val="24"/>
      <w:lang w:eastAsia="zh-CN"/>
    </w:rPr>
  </w:style>
  <w:style w:type="paragraph" w:styleId="24">
    <w:name w:val="Title"/>
    <w:basedOn w:val="1"/>
    <w:next w:val="1"/>
    <w:link w:val="47"/>
    <w:qFormat/>
    <w:uiPriority w:val="0"/>
    <w:pPr>
      <w:spacing w:before="240" w:after="60"/>
      <w:jc w:val="center"/>
      <w:outlineLvl w:val="0"/>
    </w:pPr>
    <w:rPr>
      <w:rFonts w:ascii="Cambria" w:hAnsi="Cambria" w:eastAsia="宋体"/>
      <w:b/>
      <w:bCs/>
      <w:sz w:val="32"/>
      <w:szCs w:val="32"/>
    </w:rPr>
  </w:style>
  <w:style w:type="paragraph" w:styleId="25">
    <w:name w:val="annotation subject"/>
    <w:basedOn w:val="9"/>
    <w:next w:val="9"/>
    <w:link w:val="48"/>
    <w:qFormat/>
    <w:uiPriority w:val="0"/>
    <w:rPr>
      <w:b/>
      <w:bCs/>
    </w:rPr>
  </w:style>
  <w:style w:type="paragraph" w:styleId="26">
    <w:name w:val="Body Text First Indent"/>
    <w:basedOn w:val="1"/>
    <w:link w:val="49"/>
    <w:qFormat/>
    <w:uiPriority w:val="0"/>
    <w:pPr>
      <w:spacing w:after="120" w:line="312" w:lineRule="auto"/>
      <w:ind w:left="0" w:firstLine="420"/>
      <w:jc w:val="both"/>
    </w:pPr>
    <w:rPr>
      <w:rFonts w:ascii="Calibri" w:hAnsi="Calibri"/>
      <w:kern w:val="2"/>
      <w:szCs w:val="24"/>
    </w:rPr>
  </w:style>
  <w:style w:type="paragraph" w:styleId="27">
    <w:name w:val="Body Text First Indent 2"/>
    <w:basedOn w:val="12"/>
    <w:link w:val="50"/>
    <w:qFormat/>
    <w:uiPriority w:val="0"/>
    <w:pPr>
      <w:ind w:firstLine="420" w:firstLineChars="200"/>
    </w:pPr>
  </w:style>
  <w:style w:type="character" w:styleId="30">
    <w:name w:val="Strong"/>
    <w:qFormat/>
    <w:uiPriority w:val="0"/>
    <w:rPr>
      <w:rFonts w:cs="Times New Roman"/>
      <w:b/>
    </w:rPr>
  </w:style>
  <w:style w:type="character" w:styleId="31">
    <w:name w:val="page number"/>
    <w:basedOn w:val="29"/>
    <w:qFormat/>
    <w:uiPriority w:val="0"/>
  </w:style>
  <w:style w:type="character" w:styleId="32">
    <w:name w:val="Hyperlink"/>
    <w:basedOn w:val="29"/>
    <w:unhideWhenUsed/>
    <w:qFormat/>
    <w:uiPriority w:val="99"/>
    <w:rPr>
      <w:color w:val="0000FF"/>
      <w:u w:val="single"/>
    </w:rPr>
  </w:style>
  <w:style w:type="character" w:styleId="33">
    <w:name w:val="annotation reference"/>
    <w:qFormat/>
    <w:uiPriority w:val="0"/>
    <w:rPr>
      <w:sz w:val="21"/>
      <w:szCs w:val="21"/>
    </w:rPr>
  </w:style>
  <w:style w:type="character" w:customStyle="1" w:styleId="34">
    <w:name w:val="标题 3 字符"/>
    <w:link w:val="4"/>
    <w:qFormat/>
    <w:uiPriority w:val="1"/>
    <w:rPr>
      <w:rFonts w:ascii="Microsoft JhengHei" w:hAnsi="Microsoft JhengHei" w:eastAsia="Microsoft JhengHei"/>
      <w:b/>
      <w:bCs/>
      <w:sz w:val="32"/>
      <w:szCs w:val="32"/>
      <w:lang w:eastAsia="en-US"/>
    </w:rPr>
  </w:style>
  <w:style w:type="character" w:customStyle="1" w:styleId="35">
    <w:name w:val="列表段落 字符"/>
    <w:link w:val="6"/>
    <w:qFormat/>
    <w:locked/>
    <w:uiPriority w:val="0"/>
    <w:rPr>
      <w:rFonts w:eastAsia="Calibri"/>
      <w:sz w:val="22"/>
      <w:szCs w:val="22"/>
      <w:lang w:eastAsia="en-US"/>
    </w:rPr>
  </w:style>
  <w:style w:type="character" w:customStyle="1" w:styleId="36">
    <w:name w:val="正文缩进 字符"/>
    <w:link w:val="8"/>
    <w:qFormat/>
    <w:uiPriority w:val="0"/>
    <w:rPr>
      <w:rFonts w:ascii="仿宋_GB2312" w:hAnsi="Times New Roman"/>
      <w:b/>
      <w:kern w:val="2"/>
      <w:sz w:val="32"/>
    </w:rPr>
  </w:style>
  <w:style w:type="character" w:customStyle="1" w:styleId="37">
    <w:name w:val="批注文字 字符"/>
    <w:link w:val="9"/>
    <w:qFormat/>
    <w:uiPriority w:val="0"/>
    <w:rPr>
      <w:rFonts w:eastAsia="Calibri"/>
      <w:sz w:val="22"/>
      <w:szCs w:val="22"/>
      <w:lang w:eastAsia="en-US"/>
    </w:rPr>
  </w:style>
  <w:style w:type="character" w:customStyle="1" w:styleId="38">
    <w:name w:val="正文文本 3 字符"/>
    <w:link w:val="10"/>
    <w:qFormat/>
    <w:uiPriority w:val="0"/>
    <w:rPr>
      <w:rFonts w:ascii="宋体"/>
      <w:kern w:val="2"/>
      <w:sz w:val="24"/>
    </w:rPr>
  </w:style>
  <w:style w:type="character" w:customStyle="1" w:styleId="39">
    <w:name w:val="正文文本 字符"/>
    <w:link w:val="11"/>
    <w:qFormat/>
    <w:uiPriority w:val="1"/>
    <w:rPr>
      <w:rFonts w:ascii="宋体" w:hAnsi="宋体"/>
      <w:sz w:val="21"/>
      <w:szCs w:val="21"/>
      <w:lang w:eastAsia="en-US"/>
    </w:rPr>
  </w:style>
  <w:style w:type="character" w:customStyle="1" w:styleId="40">
    <w:name w:val="正文文本缩进 字符"/>
    <w:link w:val="12"/>
    <w:qFormat/>
    <w:uiPriority w:val="0"/>
    <w:rPr>
      <w:rFonts w:eastAsia="Calibri"/>
      <w:sz w:val="22"/>
      <w:szCs w:val="22"/>
      <w:lang w:eastAsia="en-US"/>
    </w:rPr>
  </w:style>
  <w:style w:type="character" w:customStyle="1" w:styleId="41">
    <w:name w:val="纯文本 字符"/>
    <w:link w:val="14"/>
    <w:qFormat/>
    <w:locked/>
    <w:uiPriority w:val="0"/>
    <w:rPr>
      <w:rFonts w:ascii="宋体" w:hAnsi="Courier New"/>
      <w:kern w:val="2"/>
      <w:sz w:val="21"/>
    </w:rPr>
  </w:style>
  <w:style w:type="character" w:customStyle="1" w:styleId="42">
    <w:name w:val="日期 字符"/>
    <w:link w:val="15"/>
    <w:qFormat/>
    <w:uiPriority w:val="0"/>
    <w:rPr>
      <w:rFonts w:eastAsia="Calibri"/>
      <w:sz w:val="22"/>
      <w:szCs w:val="22"/>
      <w:lang w:eastAsia="en-US"/>
    </w:rPr>
  </w:style>
  <w:style w:type="character" w:customStyle="1" w:styleId="43">
    <w:name w:val="尾注文本 字符"/>
    <w:link w:val="16"/>
    <w:qFormat/>
    <w:uiPriority w:val="0"/>
    <w:rPr>
      <w:rFonts w:eastAsia="Calibri"/>
      <w:sz w:val="22"/>
      <w:szCs w:val="22"/>
      <w:lang w:eastAsia="en-US"/>
    </w:rPr>
  </w:style>
  <w:style w:type="character" w:customStyle="1" w:styleId="44">
    <w:name w:val="批注框文本 字符"/>
    <w:link w:val="17"/>
    <w:qFormat/>
    <w:uiPriority w:val="0"/>
    <w:rPr>
      <w:rFonts w:eastAsia="Calibri"/>
      <w:sz w:val="18"/>
      <w:szCs w:val="18"/>
      <w:lang w:eastAsia="en-US"/>
    </w:rPr>
  </w:style>
  <w:style w:type="character" w:customStyle="1" w:styleId="45">
    <w:name w:val="页脚 字符"/>
    <w:link w:val="18"/>
    <w:qFormat/>
    <w:uiPriority w:val="0"/>
    <w:rPr>
      <w:rFonts w:eastAsia="Calibri"/>
      <w:sz w:val="18"/>
      <w:szCs w:val="18"/>
      <w:lang w:eastAsia="en-US"/>
    </w:rPr>
  </w:style>
  <w:style w:type="character" w:customStyle="1" w:styleId="46">
    <w:name w:val="页眉 字符"/>
    <w:link w:val="19"/>
    <w:qFormat/>
    <w:uiPriority w:val="0"/>
    <w:rPr>
      <w:rFonts w:eastAsia="Calibri"/>
      <w:sz w:val="18"/>
      <w:szCs w:val="18"/>
      <w:lang w:eastAsia="en-US"/>
    </w:rPr>
  </w:style>
  <w:style w:type="character" w:customStyle="1" w:styleId="47">
    <w:name w:val="标题 字符"/>
    <w:link w:val="24"/>
    <w:qFormat/>
    <w:uiPriority w:val="0"/>
    <w:rPr>
      <w:rFonts w:ascii="Cambria" w:hAnsi="Cambria" w:eastAsia="宋体" w:cs="Times New Roman"/>
      <w:b/>
      <w:bCs/>
      <w:sz w:val="32"/>
      <w:szCs w:val="32"/>
      <w:lang w:eastAsia="en-US"/>
    </w:rPr>
  </w:style>
  <w:style w:type="character" w:customStyle="1" w:styleId="48">
    <w:name w:val="批注主题 字符"/>
    <w:link w:val="25"/>
    <w:qFormat/>
    <w:uiPriority w:val="0"/>
    <w:rPr>
      <w:rFonts w:eastAsia="Calibri"/>
      <w:b/>
      <w:bCs/>
      <w:sz w:val="22"/>
      <w:szCs w:val="22"/>
      <w:lang w:eastAsia="en-US"/>
    </w:rPr>
  </w:style>
  <w:style w:type="character" w:customStyle="1" w:styleId="49">
    <w:name w:val="正文文本首行缩进 字符"/>
    <w:link w:val="26"/>
    <w:qFormat/>
    <w:uiPriority w:val="0"/>
    <w:rPr>
      <w:kern w:val="2"/>
      <w:sz w:val="21"/>
      <w:szCs w:val="24"/>
    </w:rPr>
  </w:style>
  <w:style w:type="character" w:customStyle="1" w:styleId="50">
    <w:name w:val="正文文本首行缩进 2 字符"/>
    <w:link w:val="27"/>
    <w:qFormat/>
    <w:uiPriority w:val="0"/>
    <w:rPr>
      <w:lang w:eastAsia="en-US"/>
    </w:rPr>
  </w:style>
  <w:style w:type="paragraph" w:customStyle="1" w:styleId="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2">
    <w:name w:val="纯文本 Char1"/>
    <w:qFormat/>
    <w:uiPriority w:val="0"/>
    <w:rPr>
      <w:rFonts w:ascii="宋体" w:hAnsi="Courier New" w:cs="Courier New"/>
      <w:sz w:val="21"/>
      <w:szCs w:val="21"/>
      <w:lang w:eastAsia="en-US"/>
    </w:rPr>
  </w:style>
  <w:style w:type="character" w:customStyle="1" w:styleId="53">
    <w:name w:val="正文文本 3 Char1"/>
    <w:qFormat/>
    <w:uiPriority w:val="0"/>
    <w:rPr>
      <w:rFonts w:eastAsia="Calibri"/>
      <w:sz w:val="16"/>
      <w:szCs w:val="16"/>
      <w:lang w:eastAsia="en-US"/>
    </w:rPr>
  </w:style>
  <w:style w:type="character" w:customStyle="1" w:styleId="54">
    <w:name w:val="尾注文本 Char"/>
    <w:qFormat/>
    <w:uiPriority w:val="0"/>
    <w:rPr>
      <w:rFonts w:ascii="等线" w:hAnsi="等线" w:eastAsia="等线"/>
      <w:kern w:val="2"/>
      <w:sz w:val="21"/>
      <w:szCs w:val="24"/>
    </w:rPr>
  </w:style>
  <w:style w:type="character" w:customStyle="1" w:styleId="55">
    <w:name w:val="正文首行缩进 Char1"/>
    <w:qFormat/>
    <w:uiPriority w:val="0"/>
    <w:rPr>
      <w:lang w:eastAsia="en-US"/>
    </w:rPr>
  </w:style>
  <w:style w:type="character" w:customStyle="1" w:styleId="56">
    <w:name w:val="表格00 Char1"/>
    <w:link w:val="57"/>
    <w:qFormat/>
    <w:uiPriority w:val="0"/>
    <w:rPr>
      <w:rFonts w:eastAsia="Times New Roman"/>
      <w:kern w:val="2"/>
      <w:sz w:val="21"/>
      <w:szCs w:val="21"/>
      <w:lang w:val="en-US" w:eastAsia="zh-CN" w:bidi="ar-SA"/>
    </w:rPr>
  </w:style>
  <w:style w:type="paragraph" w:customStyle="1" w:styleId="57">
    <w:name w:val="表格00"/>
    <w:link w:val="56"/>
    <w:qFormat/>
    <w:uiPriority w:val="0"/>
    <w:pPr>
      <w:widowControl w:val="0"/>
      <w:adjustRightInd w:val="0"/>
      <w:spacing w:line="140" w:lineRule="atLeast"/>
      <w:jc w:val="center"/>
      <w:outlineLvl w:val="8"/>
    </w:pPr>
    <w:rPr>
      <w:rFonts w:ascii="Times New Roman" w:hAnsi="Times New Roman" w:eastAsia="Times New Roman" w:cs="Times New Roman"/>
      <w:kern w:val="2"/>
      <w:sz w:val="21"/>
      <w:szCs w:val="21"/>
      <w:lang w:val="en-US" w:eastAsia="zh-CN" w:bidi="ar-SA"/>
    </w:rPr>
  </w:style>
  <w:style w:type="paragraph" w:customStyle="1" w:styleId="58">
    <w:name w:val="_Style 25"/>
    <w:unhideWhenUsed/>
    <w:qFormat/>
    <w:uiPriority w:val="99"/>
    <w:rPr>
      <w:rFonts w:ascii="Times New Roman" w:hAnsi="Times New Roman" w:eastAsia="Calibri" w:cs="Times New Roman"/>
      <w:sz w:val="22"/>
      <w:szCs w:val="22"/>
      <w:lang w:val="en-US" w:eastAsia="en-US" w:bidi="ar-SA"/>
    </w:rPr>
  </w:style>
  <w:style w:type="paragraph" w:customStyle="1" w:styleId="5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Table Paragraph"/>
    <w:basedOn w:val="1"/>
    <w:qFormat/>
    <w:uiPriority w:val="1"/>
  </w:style>
  <w:style w:type="paragraph" w:customStyle="1" w:styleId="61">
    <w:name w:val="_Style 60"/>
    <w:unhideWhenUsed/>
    <w:qFormat/>
    <w:uiPriority w:val="99"/>
    <w:rPr>
      <w:rFonts w:ascii="Times New Roman" w:hAnsi="Times New Roman" w:eastAsia="Calibri" w:cs="Times New Roman"/>
      <w:sz w:val="22"/>
      <w:szCs w:val="22"/>
      <w:lang w:val="en-US" w:eastAsia="en-US" w:bidi="ar-SA"/>
    </w:rPr>
  </w:style>
  <w:style w:type="paragraph" w:customStyle="1" w:styleId="6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3">
    <w:name w:val="发文落款"/>
    <w:basedOn w:val="62"/>
    <w:qFormat/>
    <w:uiPriority w:val="0"/>
    <w:pPr>
      <w:ind w:left="4094" w:right="607" w:firstLine="0"/>
      <w:jc w:val="center"/>
    </w:pPr>
  </w:style>
  <w:style w:type="paragraph" w:customStyle="1" w:styleId="64">
    <w:name w:val="文二"/>
    <w:basedOn w:val="1"/>
    <w:qFormat/>
    <w:uiPriority w:val="0"/>
    <w:rPr>
      <w:rFonts w:ascii="宋体" w:hAnsi="宋体" w:eastAsia="宋体"/>
      <w:kern w:val="2"/>
      <w:sz w:val="21"/>
      <w:szCs w:val="21"/>
      <w:lang w:eastAsia="zh-CN"/>
    </w:rPr>
  </w:style>
  <w:style w:type="paragraph" w:customStyle="1" w:styleId="65">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table" w:customStyle="1" w:styleId="66">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67">
    <w:name w:val="NormalCharacter"/>
    <w:qFormat/>
    <w:uiPriority w:val="0"/>
  </w:style>
  <w:style w:type="paragraph" w:customStyle="1" w:styleId="68">
    <w:name w:val="首行缩进2字符"/>
    <w:basedOn w:val="1"/>
    <w:qFormat/>
    <w:uiPriority w:val="0"/>
    <w:pPr>
      <w:spacing w:line="360" w:lineRule="auto"/>
      <w:ind w:firstLine="200" w:firstLineChars="200"/>
    </w:pPr>
    <w:rPr>
      <w:rFonts w:ascii="仿宋" w:hAnsi="仿宋" w:eastAsia="仿宋"/>
      <w:color w:val="FF0000"/>
      <w:kern w:val="2"/>
      <w:sz w:val="28"/>
      <w:szCs w:val="24"/>
      <w:lang w:eastAsia="zh-CN"/>
    </w:rPr>
  </w:style>
  <w:style w:type="paragraph" w:customStyle="1" w:styleId="69">
    <w:name w:val="_Style 38"/>
    <w:basedOn w:val="1"/>
    <w:next w:val="6"/>
    <w:qFormat/>
    <w:uiPriority w:val="0"/>
    <w:rPr>
      <w:rFonts w:ascii="Calibri" w:hAnsi="Calibri"/>
    </w:rPr>
  </w:style>
  <w:style w:type="table" w:customStyle="1" w:styleId="70">
    <w:name w:val="网格型1"/>
    <w:basedOn w:val="28"/>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23179</Words>
  <Characters>23897</Characters>
  <Lines>1</Lines>
  <Paragraphs>1</Paragraphs>
  <TotalTime>0</TotalTime>
  <ScaleCrop>false</ScaleCrop>
  <LinksUpToDate>false</LinksUpToDate>
  <CharactersWithSpaces>24326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2024-02-26T18:30:00Z</dcterms:created>
  <dc:creator>袁静</dc:creator>
  <cp:lastModifiedBy>..</cp:lastModifiedBy>
  <cp:lastPrinted>2024-01-09T19:48:00Z</cp:lastPrinted>
  <dcterms:modified xsi:type="dcterms:W3CDTF">2025-12-08T05:15:39Z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2017-09-06T01:00:00Z</vt:filetime>
  </property>
  <property fmtid="{D5CDD505-2E9C-101B-9397-08002B2CF9AE}" pid="3" name="Creator">
    <vt:lpwstr>Microsoft® Word 2013</vt:lpwstr>
  </property>
  <property fmtid="{D5CDD505-2E9C-101B-9397-08002B2CF9AE}" pid="4" name="LastSaved">
    <vt:filetime>2019-11-20T01:00:00Z</vt:filetime>
  </property>
  <property fmtid="{D5CDD505-2E9C-101B-9397-08002B2CF9AE}" pid="5" name="KSOProductBuildVer">
    <vt:lpwstr>2052-12.1.0.24034</vt:lpwstr>
  </property>
  <property fmtid="{D5CDD505-2E9C-101B-9397-08002B2CF9AE}" pid="6" name="ICV">
    <vt:lpwstr>75BC07E0438E44FC9BB098EA08BA0732_13</vt:lpwstr>
  </property>
  <property fmtid="{D5CDD505-2E9C-101B-9397-08002B2CF9AE}" pid="7" name="KSOTemplateDocerSaveRecord">
    <vt:lpwstr>eyJoZGlkIjoiYTZlMWU3M2ViM2NmNDIwYTQ3NzM1N2UxYTgxMzBkM2YiLCJ1c2VySWQiOiIzODM2MzE0MjYifQ==</vt:lpwstr>
  </property>
</Properties>
</file>