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6787">
      <w:pPr>
        <w:spacing w:line="460" w:lineRule="exact"/>
        <w:jc w:val="center"/>
        <w:rPr>
          <w:rFonts w:ascii="黑体" w:hAnsi="黑体" w:eastAsia="黑体"/>
          <w:color w:val="auto"/>
          <w:sz w:val="24"/>
          <w:highlight w:val="none"/>
        </w:rPr>
      </w:pPr>
    </w:p>
    <w:p w14:paraId="31147A57">
      <w:pPr>
        <w:spacing w:line="460" w:lineRule="exact"/>
        <w:jc w:val="center"/>
        <w:rPr>
          <w:rFonts w:ascii="黑体" w:hAnsi="黑体" w:eastAsia="黑体"/>
          <w:color w:val="auto"/>
          <w:sz w:val="24"/>
          <w:highlight w:val="none"/>
        </w:rPr>
      </w:pPr>
    </w:p>
    <w:p w14:paraId="79A61C57">
      <w:pPr>
        <w:spacing w:line="460" w:lineRule="exact"/>
        <w:jc w:val="center"/>
        <w:rPr>
          <w:rFonts w:ascii="黑体" w:hAnsi="黑体" w:eastAsia="黑体"/>
          <w:color w:val="auto"/>
          <w:sz w:val="24"/>
          <w:highlight w:val="none"/>
        </w:rPr>
      </w:pPr>
    </w:p>
    <w:p w14:paraId="749A3368">
      <w:pPr>
        <w:spacing w:line="460" w:lineRule="exact"/>
        <w:jc w:val="center"/>
        <w:rPr>
          <w:rFonts w:ascii="黑体" w:hAnsi="黑体" w:eastAsia="黑体"/>
          <w:color w:val="auto"/>
          <w:sz w:val="24"/>
          <w:highlight w:val="none"/>
        </w:rPr>
      </w:pPr>
    </w:p>
    <w:p w14:paraId="5AB31C15">
      <w:pPr>
        <w:pStyle w:val="9"/>
        <w:rPr>
          <w:color w:val="auto"/>
          <w:highlight w:val="none"/>
        </w:rPr>
      </w:pPr>
    </w:p>
    <w:p w14:paraId="244942D9">
      <w:pPr>
        <w:spacing w:line="460" w:lineRule="exact"/>
        <w:jc w:val="center"/>
        <w:rPr>
          <w:rFonts w:ascii="黑体" w:hAnsi="黑体" w:eastAsia="黑体"/>
          <w:color w:val="auto"/>
          <w:sz w:val="24"/>
          <w:highlight w:val="none"/>
        </w:rPr>
      </w:pPr>
    </w:p>
    <w:p w14:paraId="299643EB">
      <w:pPr>
        <w:spacing w:line="460" w:lineRule="exact"/>
        <w:jc w:val="center"/>
        <w:rPr>
          <w:rFonts w:ascii="黑体" w:hAnsi="黑体" w:eastAsia="黑体"/>
          <w:color w:val="auto"/>
          <w:sz w:val="24"/>
          <w:highlight w:val="none"/>
        </w:rPr>
      </w:pPr>
    </w:p>
    <w:p w14:paraId="04B853FC">
      <w:pPr>
        <w:spacing w:before="240" w:beforeLines="100" w:after="240" w:afterLines="100" w:line="360" w:lineRule="auto"/>
        <w:jc w:val="center"/>
        <w:rPr>
          <w:rFonts w:ascii="黑体" w:hAnsi="黑体" w:eastAsia="黑体"/>
          <w:color w:val="auto"/>
          <w:sz w:val="44"/>
          <w:szCs w:val="44"/>
          <w:highlight w:val="none"/>
        </w:rPr>
      </w:pPr>
      <w:bookmarkStart w:id="0" w:name="OLE_LINK4"/>
      <w:r>
        <w:rPr>
          <w:rFonts w:hint="eastAsia" w:ascii="黑体" w:hAnsi="黑体" w:eastAsia="黑体"/>
          <w:color w:val="auto"/>
          <w:sz w:val="44"/>
          <w:szCs w:val="44"/>
          <w:highlight w:val="none"/>
        </w:rPr>
        <w:t>天河区柯木塱村城中村改造项目-首开区凤凰汇东侧地块复建安置房及配套工程               地铁保护监测服务</w:t>
      </w:r>
      <w:r>
        <w:rPr>
          <w:rFonts w:ascii="黑体" w:hAnsi="黑体" w:eastAsia="黑体"/>
          <w:color w:val="auto"/>
          <w:sz w:val="44"/>
          <w:szCs w:val="44"/>
          <w:highlight w:val="none"/>
        </w:rPr>
        <w:t>合同</w:t>
      </w:r>
    </w:p>
    <w:bookmarkEnd w:id="0"/>
    <w:p w14:paraId="2E7A9435">
      <w:pPr>
        <w:spacing w:line="460" w:lineRule="exact"/>
        <w:rPr>
          <w:rFonts w:ascii="黑体" w:hAnsi="黑体" w:eastAsia="黑体"/>
          <w:color w:val="auto"/>
          <w:sz w:val="28"/>
          <w:szCs w:val="28"/>
          <w:highlight w:val="none"/>
        </w:rPr>
      </w:pPr>
    </w:p>
    <w:p w14:paraId="2F948ECB">
      <w:pPr>
        <w:spacing w:line="460" w:lineRule="exact"/>
        <w:rPr>
          <w:rFonts w:ascii="黑体" w:hAnsi="黑体" w:eastAsia="黑体"/>
          <w:color w:val="auto"/>
          <w:sz w:val="28"/>
          <w:szCs w:val="28"/>
          <w:highlight w:val="none"/>
        </w:rPr>
      </w:pPr>
    </w:p>
    <w:p w14:paraId="7136DDE8">
      <w:pPr>
        <w:spacing w:line="460" w:lineRule="exact"/>
        <w:rPr>
          <w:rFonts w:ascii="黑体" w:hAnsi="黑体" w:eastAsia="黑体"/>
          <w:color w:val="auto"/>
          <w:sz w:val="28"/>
          <w:szCs w:val="28"/>
          <w:highlight w:val="none"/>
        </w:rPr>
      </w:pPr>
    </w:p>
    <w:p w14:paraId="60EBF727">
      <w:pPr>
        <w:spacing w:line="460" w:lineRule="exact"/>
        <w:rPr>
          <w:rFonts w:ascii="黑体" w:hAnsi="黑体" w:eastAsia="黑体"/>
          <w:color w:val="auto"/>
          <w:sz w:val="28"/>
          <w:szCs w:val="28"/>
          <w:highlight w:val="none"/>
        </w:rPr>
      </w:pPr>
    </w:p>
    <w:p w14:paraId="57758655">
      <w:pPr>
        <w:spacing w:line="460" w:lineRule="exact"/>
        <w:rPr>
          <w:rFonts w:ascii="黑体" w:hAnsi="黑体" w:eastAsia="黑体"/>
          <w:color w:val="auto"/>
          <w:sz w:val="28"/>
          <w:szCs w:val="28"/>
          <w:highlight w:val="none"/>
        </w:rPr>
      </w:pPr>
    </w:p>
    <w:p w14:paraId="52AF4BAF">
      <w:pPr>
        <w:pStyle w:val="9"/>
        <w:rPr>
          <w:rFonts w:ascii="黑体" w:hAnsi="黑体" w:eastAsia="黑体"/>
          <w:color w:val="auto"/>
          <w:sz w:val="28"/>
          <w:szCs w:val="28"/>
          <w:highlight w:val="none"/>
        </w:rPr>
      </w:pPr>
    </w:p>
    <w:p w14:paraId="29F76C7D">
      <w:pPr>
        <w:pStyle w:val="9"/>
        <w:rPr>
          <w:rFonts w:ascii="黑体" w:hAnsi="黑体" w:eastAsia="黑体"/>
          <w:color w:val="auto"/>
          <w:sz w:val="28"/>
          <w:szCs w:val="28"/>
          <w:highlight w:val="none"/>
        </w:rPr>
      </w:pPr>
    </w:p>
    <w:p w14:paraId="1409D12D">
      <w:pPr>
        <w:pStyle w:val="9"/>
        <w:rPr>
          <w:rFonts w:ascii="黑体" w:hAnsi="黑体" w:eastAsia="黑体"/>
          <w:color w:val="auto"/>
          <w:sz w:val="28"/>
          <w:szCs w:val="28"/>
          <w:highlight w:val="none"/>
        </w:rPr>
      </w:pPr>
    </w:p>
    <w:p w14:paraId="57AA760D">
      <w:pPr>
        <w:spacing w:line="500" w:lineRule="exact"/>
        <w:ind w:firstLine="1040" w:firstLineChars="400"/>
        <w:rPr>
          <w:rFonts w:ascii="黑体" w:hAnsi="黑体" w:eastAsia="黑体"/>
          <w:color w:val="auto"/>
          <w:sz w:val="26"/>
          <w:szCs w:val="26"/>
          <w:highlight w:val="none"/>
        </w:rPr>
      </w:pPr>
      <w:r>
        <w:rPr>
          <w:rFonts w:hint="eastAsia" w:ascii="黑体" w:hAnsi="黑体" w:eastAsia="黑体"/>
          <w:color w:val="auto"/>
          <w:sz w:val="26"/>
          <w:szCs w:val="26"/>
          <w:highlight w:val="none"/>
        </w:rPr>
        <w:t>委托人（甲方）：广州市天投城市更新有限公司</w:t>
      </w:r>
    </w:p>
    <w:p w14:paraId="417FAE3C">
      <w:pPr>
        <w:spacing w:line="500" w:lineRule="exact"/>
        <w:ind w:firstLine="1040" w:firstLineChars="400"/>
        <w:rPr>
          <w:rFonts w:ascii="黑体" w:hAnsi="黑体" w:eastAsia="黑体"/>
          <w:color w:val="auto"/>
          <w:sz w:val="26"/>
          <w:szCs w:val="26"/>
          <w:highlight w:val="none"/>
        </w:rPr>
      </w:pPr>
      <w:r>
        <w:rPr>
          <w:rFonts w:hint="eastAsia" w:ascii="黑体" w:hAnsi="黑体" w:eastAsia="黑体"/>
          <w:color w:val="auto"/>
          <w:sz w:val="26"/>
          <w:szCs w:val="26"/>
          <w:highlight w:val="none"/>
        </w:rPr>
        <w:t xml:space="preserve">受托人（乙方）：                            </w:t>
      </w:r>
    </w:p>
    <w:p w14:paraId="5A4C01A5">
      <w:pPr>
        <w:spacing w:line="500" w:lineRule="exact"/>
        <w:ind w:firstLine="1040" w:firstLineChars="400"/>
        <w:rPr>
          <w:rFonts w:ascii="黑体" w:hAnsi="黑体" w:eastAsia="黑体"/>
          <w:color w:val="auto"/>
          <w:sz w:val="26"/>
          <w:szCs w:val="26"/>
          <w:highlight w:val="none"/>
        </w:rPr>
      </w:pPr>
      <w:r>
        <w:rPr>
          <w:rFonts w:hint="eastAsia" w:ascii="黑体" w:hAnsi="黑体" w:eastAsia="黑体"/>
          <w:color w:val="auto"/>
          <w:sz w:val="26"/>
          <w:szCs w:val="26"/>
          <w:highlight w:val="none"/>
        </w:rPr>
        <w:t>合  同  编  号：</w:t>
      </w:r>
    </w:p>
    <w:p w14:paraId="30E80C94">
      <w:pPr>
        <w:spacing w:line="500" w:lineRule="exact"/>
        <w:ind w:firstLine="1040" w:firstLineChars="400"/>
        <w:rPr>
          <w:rFonts w:ascii="黑体" w:hAnsi="黑体" w:eastAsia="黑体"/>
          <w:color w:val="auto"/>
          <w:sz w:val="26"/>
          <w:szCs w:val="26"/>
          <w:highlight w:val="none"/>
        </w:rPr>
      </w:pPr>
      <w:r>
        <w:rPr>
          <w:rFonts w:hint="eastAsia" w:ascii="黑体" w:hAnsi="黑体" w:eastAsia="黑体"/>
          <w:color w:val="auto"/>
          <w:sz w:val="26"/>
          <w:szCs w:val="26"/>
          <w:highlight w:val="none"/>
        </w:rPr>
        <w:t>签  订  日  期：    年  月  日</w:t>
      </w:r>
    </w:p>
    <w:p w14:paraId="51376A59">
      <w:pPr>
        <w:spacing w:line="500" w:lineRule="exact"/>
        <w:ind w:firstLine="1040" w:firstLineChars="400"/>
        <w:rPr>
          <w:rFonts w:ascii="黑体" w:hAnsi="黑体" w:eastAsia="黑体"/>
          <w:color w:val="auto"/>
          <w:sz w:val="26"/>
          <w:szCs w:val="26"/>
          <w:highlight w:val="none"/>
        </w:rPr>
      </w:pPr>
      <w:r>
        <w:rPr>
          <w:rFonts w:hint="eastAsia" w:ascii="黑体" w:hAnsi="黑体" w:eastAsia="黑体"/>
          <w:color w:val="auto"/>
          <w:sz w:val="26"/>
          <w:szCs w:val="26"/>
          <w:highlight w:val="none"/>
        </w:rPr>
        <w:t>签  约  地  点：</w:t>
      </w:r>
    </w:p>
    <w:p w14:paraId="55F7B757">
      <w:pPr>
        <w:pStyle w:val="9"/>
        <w:rPr>
          <w:color w:val="auto"/>
          <w:highlight w:val="none"/>
        </w:rPr>
      </w:pPr>
    </w:p>
    <w:p w14:paraId="1B416ABC">
      <w:pPr>
        <w:pStyle w:val="9"/>
        <w:rPr>
          <w:color w:val="auto"/>
          <w:highlight w:val="none"/>
        </w:rPr>
      </w:pPr>
    </w:p>
    <w:p w14:paraId="37A877E1">
      <w:pPr>
        <w:pStyle w:val="9"/>
        <w:rPr>
          <w:color w:val="auto"/>
          <w:highlight w:val="none"/>
        </w:rPr>
        <w:sectPr>
          <w:footerReference r:id="rId3" w:type="even"/>
          <w:pgSz w:w="11906" w:h="16838"/>
          <w:pgMar w:top="1440" w:right="1797" w:bottom="1440" w:left="1797" w:header="851" w:footer="992" w:gutter="0"/>
          <w:cols w:space="720" w:num="1"/>
          <w:titlePg/>
          <w:docGrid w:linePitch="312" w:charSpace="0"/>
        </w:sectPr>
      </w:pPr>
    </w:p>
    <w:p w14:paraId="550BB473">
      <w:pPr>
        <w:spacing w:before="480" w:beforeLines="200" w:line="500" w:lineRule="exact"/>
        <w:rPr>
          <w:rFonts w:ascii="黑体" w:hAnsi="黑体" w:eastAsia="黑体"/>
          <w:color w:val="auto"/>
          <w:sz w:val="26"/>
          <w:szCs w:val="26"/>
          <w:highlight w:val="none"/>
        </w:rPr>
      </w:pPr>
      <w:r>
        <w:rPr>
          <w:rFonts w:hint="eastAsia" w:ascii="黑体" w:hAnsi="黑体" w:eastAsia="黑体"/>
          <w:color w:val="auto"/>
          <w:sz w:val="26"/>
          <w:szCs w:val="26"/>
          <w:highlight w:val="none"/>
        </w:rPr>
        <w:t>委托人（甲方）：广州市天投城市更新有限公司</w:t>
      </w:r>
    </w:p>
    <w:p w14:paraId="3D168515">
      <w:pPr>
        <w:spacing w:after="240" w:afterLines="100" w:line="500" w:lineRule="exact"/>
        <w:rPr>
          <w:rFonts w:ascii="黑体" w:hAnsi="黑体" w:eastAsia="黑体"/>
          <w:color w:val="auto"/>
          <w:sz w:val="26"/>
          <w:szCs w:val="26"/>
          <w:highlight w:val="none"/>
        </w:rPr>
      </w:pPr>
      <w:r>
        <w:rPr>
          <w:rFonts w:hint="eastAsia" w:ascii="黑体" w:hAnsi="黑体" w:eastAsia="黑体"/>
          <w:color w:val="auto"/>
          <w:sz w:val="26"/>
          <w:szCs w:val="26"/>
          <w:highlight w:val="none"/>
        </w:rPr>
        <w:t xml:space="preserve">受托人（乙方）：                            </w:t>
      </w:r>
    </w:p>
    <w:p w14:paraId="23FC4049">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甲方委托乙方承担</w:t>
      </w:r>
      <w:r>
        <w:rPr>
          <w:rFonts w:hint="eastAsia" w:asciiTheme="minorEastAsia" w:hAnsiTheme="minorEastAsia" w:eastAsiaTheme="minorEastAsia"/>
          <w:color w:val="auto"/>
          <w:sz w:val="24"/>
          <w:szCs w:val="24"/>
          <w:highlight w:val="none"/>
          <w:u w:val="single"/>
        </w:rPr>
        <w:t>天河区柯木塱村城中村改造项目-首开区凤凰汇东侧地块复建安置房及配套工程</w:t>
      </w:r>
      <w:r>
        <w:rPr>
          <w:rFonts w:asciiTheme="minorEastAsia" w:hAnsiTheme="minorEastAsia" w:eastAsiaTheme="minorEastAsia"/>
          <w:color w:val="auto"/>
          <w:sz w:val="24"/>
          <w:szCs w:val="24"/>
          <w:highlight w:val="none"/>
          <w:u w:val="single"/>
        </w:rPr>
        <w:t>地铁保护监测服务</w:t>
      </w:r>
      <w:r>
        <w:rPr>
          <w:rFonts w:hint="eastAsia" w:asciiTheme="minorEastAsia" w:hAnsiTheme="minorEastAsia" w:eastAsiaTheme="minorEastAsia"/>
          <w:bCs/>
          <w:color w:val="auto"/>
          <w:sz w:val="24"/>
          <w:szCs w:val="24"/>
          <w:highlight w:val="none"/>
        </w:rPr>
        <w:t>工作</w:t>
      </w:r>
      <w:r>
        <w:rPr>
          <w:rFonts w:hint="eastAsia" w:asciiTheme="minorEastAsia" w:hAnsiTheme="minorEastAsia" w:eastAsiaTheme="minorEastAsia"/>
          <w:color w:val="auto"/>
          <w:sz w:val="24"/>
          <w:szCs w:val="24"/>
          <w:highlight w:val="none"/>
          <w:u w:val="single"/>
        </w:rPr>
        <w:t>（下称“本项目”）</w:t>
      </w:r>
      <w:r>
        <w:rPr>
          <w:rFonts w:hint="eastAsia" w:asciiTheme="minorEastAsia" w:hAnsiTheme="minorEastAsia" w:eastAsiaTheme="minorEastAsia"/>
          <w:bCs/>
          <w:color w:val="auto"/>
          <w:sz w:val="24"/>
          <w:szCs w:val="24"/>
          <w:highlight w:val="none"/>
        </w:rPr>
        <w:t>。依据《中华人民共和国民法典》的有关规定，结合本工程的具体情况，为明确责任、协作配合，经协商一致，签订本合同，共同遵守。</w:t>
      </w:r>
    </w:p>
    <w:p w14:paraId="1F3AF934">
      <w:pPr>
        <w:spacing w:line="500" w:lineRule="exact"/>
        <w:ind w:firstLine="472" w:firstLineChars="196"/>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一、工程概况及周边环境</w:t>
      </w:r>
    </w:p>
    <w:p w14:paraId="537CE225">
      <w:pPr>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u w:val="single"/>
        </w:rPr>
        <w:t>项目位于广汕一路南侧，基坑北侧锚索水平投影与地铁六号线区间隧道结构的最小水平净距约为13.8m，咬合桩水平投影与地铁六号线区间隧道结构的最小水平净距约为34.3m，基坑东侧锚索水平投影距柯木塱车站水平净距约30m，进入运营地铁六号线“龙洞～柯木塱”区间50米保护范围内(详见设计文件及有关资料说明等)</w:t>
      </w:r>
      <w:bookmarkStart w:id="1" w:name="OLE_LINK1"/>
      <w:bookmarkStart w:id="2" w:name="OLE_LINK2"/>
      <w:r>
        <w:rPr>
          <w:rFonts w:hint="eastAsia" w:asciiTheme="minorEastAsia" w:hAnsiTheme="minorEastAsia" w:eastAsiaTheme="minorEastAsia"/>
          <w:bCs/>
          <w:color w:val="auto"/>
          <w:kern w:val="0"/>
          <w:sz w:val="24"/>
          <w:highlight w:val="none"/>
        </w:rPr>
        <w:t>。</w:t>
      </w:r>
    </w:p>
    <w:bookmarkEnd w:id="1"/>
    <w:bookmarkEnd w:id="2"/>
    <w:p w14:paraId="78FC90F6">
      <w:pPr>
        <w:spacing w:line="500" w:lineRule="exact"/>
        <w:ind w:firstLine="472" w:firstLineChars="196"/>
        <w:rPr>
          <w:rFonts w:asciiTheme="minorEastAsia" w:hAnsiTheme="minorEastAsia" w:eastAsiaTheme="minorEastAsia"/>
          <w:bCs/>
          <w:color w:val="auto"/>
          <w:kern w:val="0"/>
          <w:sz w:val="24"/>
          <w:highlight w:val="none"/>
        </w:rPr>
      </w:pPr>
      <w:bookmarkStart w:id="3" w:name="OLE_LINK3"/>
      <w:r>
        <w:rPr>
          <w:rFonts w:hint="eastAsia" w:asciiTheme="minorEastAsia" w:hAnsiTheme="minorEastAsia" w:eastAsiaTheme="minorEastAsia"/>
          <w:b/>
          <w:bCs/>
          <w:color w:val="auto"/>
          <w:sz w:val="24"/>
          <w:highlight w:val="none"/>
        </w:rPr>
        <w:t>二、服务内容及要求</w:t>
      </w:r>
    </w:p>
    <w:p w14:paraId="0C52205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按照《广州市城市轨道交通管理条例》等的有关规定，施工期间需对项目涉及城市轨道交通区域进行保护监测，以便为安全施工及工程验收提供依据，具体服务内容包括但不限于：监测点材料供应及安装（包括但不限于全站仪支架材料及安装、隧道监测点材料及安装、基准点材料及安装、其它材料费及安装等）；变形监测（包括但不限于水平位移、竖向位移、垂直位移、隧道断面尺寸等国家规范要求的内容；具体内容以工程量清单为准。除按要求完成本次范围内的监测工作外，还应完成以下工作：</w:t>
      </w:r>
    </w:p>
    <w:p w14:paraId="45AE42C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（1）监测、观测工作必须满足国家、广东省、广州市相关监测、观测规范、强制性标准。</w:t>
      </w:r>
    </w:p>
    <w:p w14:paraId="4943A79A">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结合项目实际情况，编制、申报监测及观测方案（方案应包括本项目地铁监测项目、监测方法及精度要求，监测点的具体布置图（平面图、断面图）、监测周期、监测频率、监测预警值和控制值、工程数量等），并确保监测、观测方案符合有关规范要求及通过工程所在行政区域的相关建设行政主管部门和监督部门、广州地铁集团地保办的审批，保证技术成果能够通过相关部门认可，确保不因监测、观测工作影响本项目的建设进度和竣工验收；监测方案需经过广州地铁集团地保办确认；施工前后对地铁结构内观、裂缝等进行普查、记录、评估、确认等，普查方案需经过广州地铁集团地保办确认；施工期间每月不少于1次巡查；结构裂缝监测（如有）。</w:t>
      </w:r>
    </w:p>
    <w:p w14:paraId="43818F58">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（3）服务范围除以上工程监测、观测、试验工作外，还包括：</w:t>
      </w:r>
    </w:p>
    <w:p w14:paraId="5C64F8FC">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①需配合做好信息化管理工作，配备能实时上传监测数据的相关仪器设备，并具备将监测数据实时上传至广州地铁管理系统的能力及经验。</w:t>
      </w:r>
    </w:p>
    <w:p w14:paraId="28B0C978">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②与工程所在行政区域的相关建设行政主管部门和监督部门进行监测、观测工作的协调，申报监测及观测技术成果的审批。保证技术成果能够通过相关部门认可，确保不因监测、观测工作影响本项目的建设进度和竣工验收。</w:t>
      </w:r>
    </w:p>
    <w:p w14:paraId="212DC5FB">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③在进行监测及观测任务的过程中与该工程相关的施工单位、监理单位、设计单位、咨询单位、建设主管部门等相关单位的协调工作，</w:t>
      </w:r>
      <w:r>
        <w:rPr>
          <w:rFonts w:hint="eastAsia" w:hAnsi="宋体" w:cs="宋体"/>
          <w:color w:val="auto"/>
          <w:sz w:val="24"/>
          <w:szCs w:val="22"/>
          <w:highlight w:val="none"/>
        </w:rPr>
        <w:t>相关费用已含在合同价中，不另行支付</w:t>
      </w:r>
      <w:r>
        <w:rPr>
          <w:rFonts w:hint="eastAsia" w:asciiTheme="minorEastAsia" w:hAnsiTheme="minorEastAsia" w:eastAsiaTheme="minorEastAsia"/>
          <w:bCs/>
          <w:color w:val="auto"/>
          <w:sz w:val="24"/>
          <w:szCs w:val="24"/>
          <w:highlight w:val="none"/>
        </w:rPr>
        <w:t>。</w:t>
      </w:r>
    </w:p>
    <w:p w14:paraId="7410E94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④监测及观测数据的有关信息如需通过连接系统进行传输报送，</w:t>
      </w:r>
      <w:r>
        <w:rPr>
          <w:rFonts w:hint="eastAsia" w:hAnsi="宋体" w:cs="宋体"/>
          <w:color w:val="auto"/>
          <w:sz w:val="24"/>
          <w:szCs w:val="22"/>
          <w:highlight w:val="none"/>
        </w:rPr>
        <w:t>相关费用已含在合同价中，不另行支付</w:t>
      </w:r>
      <w:r>
        <w:rPr>
          <w:rFonts w:hint="eastAsia" w:asciiTheme="minorEastAsia" w:hAnsiTheme="minorEastAsia" w:eastAsiaTheme="minorEastAsia"/>
          <w:bCs/>
          <w:color w:val="auto"/>
          <w:sz w:val="24"/>
          <w:szCs w:val="24"/>
          <w:highlight w:val="none"/>
        </w:rPr>
        <w:t>。</w:t>
      </w:r>
    </w:p>
    <w:p w14:paraId="47D314E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（4）严格执行相关职能部门下发的文件要求，包括但不限于：</w:t>
      </w:r>
    </w:p>
    <w:p w14:paraId="07D4B06B">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①《广州市城乡建设委员会关于进一步加强建设工程安全生产信息化管理的通知》（穗建质[2015]140号）要求，进一步加强建设工程安全生产信息化管理。</w:t>
      </w:r>
    </w:p>
    <w:p w14:paraId="0580A096">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②负责对项目施工前地铁隧道结构内现状情况的记录（含录像、照片、标记等记录资料）、收集编制、整理以及与地铁部门的确认工作。</w:t>
      </w:r>
    </w:p>
    <w:p w14:paraId="329D584F">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③负责对隧道结构内的裂缝和变形缝的数量、宽度等数据进行记录、收集、整理以及与地铁部门及相关监管单位的确认工作。</w:t>
      </w:r>
    </w:p>
    <w:p w14:paraId="5951A2EB">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④负责对隧道结构内的裂缝和变形缝的数量、宽度等数据进行记录、收集、整理以及与地铁部门及相关监管单位的确认工作；按地保部门要求，对隧道结构内部已有裂缝及施工期间新增裂缝开展监测工作。</w:t>
      </w:r>
    </w:p>
    <w:p w14:paraId="2BE3F181">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⑤负责实施图纸中所设置的地铁隧道结构监测基准点的测量工作，根据甲方或地保部门要求定期完成对地铁隧道结构内监测基准点的复测工作。</w:t>
      </w:r>
    </w:p>
    <w:p w14:paraId="62B4BD6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⑥工程实施期间，须完成地保办、甲方及相关职能部门提出的加密监测等工作内容，如增加布点、提高频率等。</w:t>
      </w:r>
    </w:p>
    <w:p w14:paraId="4AD3D716">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⑦向地保部门提交的监测方案须包括监测工作的应急预案并通过审核。</w:t>
      </w:r>
    </w:p>
    <w:p w14:paraId="3BEF54B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⑧监测基准网的布设方案须通过地铁集团的专项审查，负责实施监测基准点的布置、测量工作，根据甲方或地保部门要求定期完成对地铁隧道结构内监测基准网的复测工作。</w:t>
      </w:r>
    </w:p>
    <w:p w14:paraId="6790BAC7">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（5）乙方根据设计图纸、按照公告等列明的工作内容，依据广州地铁集团地保办有关规定编制监测方案后上报广州地铁集团地保办，经上述部门批准后实施。</w:t>
      </w:r>
      <w:r>
        <w:rPr>
          <w:rFonts w:hint="eastAsia" w:asciiTheme="minorEastAsia" w:hAnsiTheme="minorEastAsia"/>
          <w:bCs/>
          <w:color w:val="auto"/>
          <w:sz w:val="24"/>
          <w:highlight w:val="none"/>
        </w:rPr>
        <w:t>相关费用已含在合同价中，不另行支付</w:t>
      </w:r>
      <w:r>
        <w:rPr>
          <w:rFonts w:hint="eastAsia" w:asciiTheme="minorEastAsia" w:hAnsiTheme="minorEastAsia" w:eastAsiaTheme="minorEastAsia"/>
          <w:bCs/>
          <w:color w:val="auto"/>
          <w:sz w:val="24"/>
          <w:szCs w:val="24"/>
          <w:highlight w:val="none"/>
        </w:rPr>
        <w:t>。</w:t>
      </w:r>
    </w:p>
    <w:p w14:paraId="56394553">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w:t>
      </w:r>
      <w:r>
        <w:rPr>
          <w:rFonts w:hint="eastAsia" w:asciiTheme="minorEastAsia" w:hAnsiTheme="minorEastAsia" w:eastAsiaTheme="minorEastAsia"/>
          <w:bCs/>
          <w:color w:val="auto"/>
          <w:sz w:val="24"/>
          <w:szCs w:val="24"/>
          <w:highlight w:val="none"/>
          <w:lang w:val="en-US" w:eastAsia="zh-CN"/>
        </w:rPr>
        <w:t>乙方</w:t>
      </w:r>
      <w:r>
        <w:rPr>
          <w:rFonts w:hint="eastAsia" w:asciiTheme="minorEastAsia" w:hAnsiTheme="minorEastAsia" w:eastAsiaTheme="minorEastAsia"/>
          <w:bCs/>
          <w:color w:val="auto"/>
          <w:sz w:val="24"/>
          <w:szCs w:val="24"/>
          <w:highlight w:val="none"/>
        </w:rPr>
        <w:t>进场应按广州地铁集团要求，负责办理施工许可手续并自行负责相关配合作业协调及服务，包括但不限于作业点办理、接挂地线配合、结构设施状态调查、地保监测点安拆配合、监测设备布设附着修复、监测设备定期检查配合、轨道交通设备设施安全检查、预防性措施施工配合、运营保障值班、运营应急管理、项目风险管理等工作。</w:t>
      </w:r>
    </w:p>
    <w:p w14:paraId="365A5224">
      <w:pPr>
        <w:shd w:val="clear" w:color="auto" w:fill="FFFFFF" w:themeFill="background1"/>
        <w:spacing w:line="50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三、监测依据及相关要求</w:t>
      </w:r>
    </w:p>
    <w:p w14:paraId="420DED7E">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依据本项目设计文件的要求，本合同监测技术服务须达到但不限于下列现行主要的中华人民共和国以及省、市或行业的监测技术标准或规范的要求。</w:t>
      </w:r>
    </w:p>
    <w:p w14:paraId="2B5CE061">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监测方案必须满足设计文件以及国家现行技术规范的要求，观测点布置及数量必须满足本工程涉及到地铁保护安全监测的要求。所有观测或监测均应有详细的书面报告。</w:t>
      </w:r>
    </w:p>
    <w:p w14:paraId="2518A868">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监测工作应遵照下列（但不限于）技术标准，下列技术标准如有更新版本的，遵照新版本执行。</w:t>
      </w:r>
    </w:p>
    <w:p w14:paraId="3E0155FA">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（1）</w:t>
      </w:r>
      <w:r>
        <w:rPr>
          <w:rFonts w:hint="eastAsia" w:asciiTheme="minorEastAsia" w:hAnsiTheme="minorEastAsia" w:eastAsiaTheme="minorEastAsia"/>
          <w:color w:val="auto"/>
          <w:sz w:val="24"/>
          <w:highlight w:val="none"/>
        </w:rPr>
        <w:t>《城市轨道交通结构安全保护技术规范》（CJJ/T202-2013）；</w:t>
      </w:r>
    </w:p>
    <w:p w14:paraId="544C3A80">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（2）《城市轨道交通既有线结构保护技术规范》（DBJ/T15-120-2017）；</w:t>
      </w:r>
    </w:p>
    <w:p w14:paraId="0B6D22CF">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（3）《城市轨道交通工程监测技术规范》（GB50911-2013）；</w:t>
      </w:r>
    </w:p>
    <w:p w14:paraId="74DD1EA9">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（4）《广州城市轨道交通既有结构安全保护监测技术标准》</w:t>
      </w:r>
    </w:p>
    <w:p w14:paraId="61EE33D3">
      <w:pPr>
        <w:shd w:val="clear" w:color="auto" w:fill="FFFFFF" w:themeFill="background1"/>
        <w:spacing w:line="500" w:lineRule="exact"/>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（Q/GZMTR-JS-JL-JG-001-2018）；</w:t>
      </w:r>
    </w:p>
    <w:p w14:paraId="0A471E5E">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（5）《城市轨道交通工程测量规范》（GB/T50308－2017）；</w:t>
      </w:r>
    </w:p>
    <w:p w14:paraId="6564A129">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（6）《工程测量规范》（GB50026－2007）；</w:t>
      </w:r>
    </w:p>
    <w:p w14:paraId="608797C1">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（7）《建筑变形测量规范》（JGJ8－2016）；</w:t>
      </w:r>
    </w:p>
    <w:p w14:paraId="4CD5BC9A">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（8）《建筑地基基础设计规范》（GB50007-2011）；</w:t>
      </w:r>
    </w:p>
    <w:p w14:paraId="3EB13297">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（9）《广州地区建筑支护技术规定》（GJB 02－98）；</w:t>
      </w:r>
    </w:p>
    <w:p w14:paraId="2EEEB21C">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（10）《国家一、二等水准测量规范》（GBT 12897-2006）</w:t>
      </w:r>
    </w:p>
    <w:p w14:paraId="16339B30">
      <w:pPr>
        <w:shd w:val="clear" w:color="auto" w:fill="FFFFFF" w:themeFill="background1"/>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（11）本项目相关设计图纸及其他现行的相关规范、技术标准。</w:t>
      </w:r>
    </w:p>
    <w:p w14:paraId="54D5510F">
      <w:pPr>
        <w:spacing w:line="500" w:lineRule="exact"/>
        <w:ind w:firstLine="472" w:firstLineChars="196"/>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四、履行期限和方式</w:t>
      </w:r>
    </w:p>
    <w:p w14:paraId="1693976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1．服务期：服务期从乙方进场至广州地铁集团出具停止监测复函为止，服务周期暂定为</w:t>
      </w:r>
      <w:r>
        <w:rPr>
          <w:rFonts w:hint="eastAsia" w:asciiTheme="minorEastAsia" w:hAnsiTheme="minorEastAsia" w:eastAsiaTheme="minorEastAsia"/>
          <w:bCs/>
          <w:color w:val="auto"/>
          <w:sz w:val="24"/>
          <w:szCs w:val="24"/>
          <w:highlight w:val="none"/>
          <w:u w:val="single"/>
        </w:rPr>
        <w:t>【15】</w:t>
      </w:r>
      <w:r>
        <w:rPr>
          <w:rFonts w:hint="eastAsia" w:asciiTheme="minorEastAsia" w:hAnsiTheme="minorEastAsia" w:eastAsiaTheme="minorEastAsia"/>
          <w:bCs/>
          <w:color w:val="auto"/>
          <w:sz w:val="24"/>
          <w:szCs w:val="24"/>
          <w:highlight w:val="none"/>
        </w:rPr>
        <w:t>个月（含 14 月施工期及 1 个月观察期），具体进场日期以总监理工程师或甲方代表签发的开工令为准。服务周期必须满足实际施工及甲方的要求。</w:t>
      </w:r>
    </w:p>
    <w:p w14:paraId="3722F912">
      <w:pPr>
        <w:pStyle w:val="12"/>
        <w:spacing w:line="500" w:lineRule="exact"/>
        <w:ind w:firstLine="480"/>
        <w:rPr>
          <w:rFonts w:hAnsi="宋体"/>
          <w:bCs/>
          <w:color w:val="auto"/>
          <w:sz w:val="24"/>
          <w:szCs w:val="24"/>
          <w:highlight w:val="none"/>
        </w:rPr>
      </w:pPr>
      <w:r>
        <w:rPr>
          <w:rFonts w:hint="eastAsia" w:asciiTheme="minorEastAsia" w:hAnsiTheme="minorEastAsia" w:eastAsiaTheme="minorEastAsia"/>
          <w:bCs/>
          <w:color w:val="auto"/>
          <w:sz w:val="24"/>
          <w:szCs w:val="24"/>
          <w:highlight w:val="none"/>
        </w:rPr>
        <w:t>2．乙方按要求完成所有地铁监测服务工作。乙方在完成监测的</w:t>
      </w:r>
      <w:r>
        <w:rPr>
          <w:rFonts w:asciiTheme="minorEastAsia" w:hAnsiTheme="minorEastAsia" w:eastAsiaTheme="minorEastAsia"/>
          <w:bCs/>
          <w:color w:val="auto"/>
          <w:sz w:val="24"/>
          <w:szCs w:val="24"/>
          <w:highlight w:val="none"/>
        </w:rPr>
        <w:t>1天内（经甲方许可3天内）</w:t>
      </w:r>
      <w:r>
        <w:rPr>
          <w:rFonts w:hint="eastAsia" w:asciiTheme="minorEastAsia" w:hAnsiTheme="minorEastAsia" w:eastAsiaTheme="minorEastAsia"/>
          <w:bCs/>
          <w:color w:val="auto"/>
          <w:sz w:val="24"/>
          <w:szCs w:val="24"/>
          <w:highlight w:val="none"/>
        </w:rPr>
        <w:t>将监测结果以电子文件或书面形式通知现场监理人员及甲方，并完成监测工程7个工作日内出具初步监测试验报告，报告一式三份交监理工程师签验。所有监测工作完成后</w:t>
      </w:r>
      <w:r>
        <w:rPr>
          <w:rFonts w:asciiTheme="minorEastAsia" w:hAnsiTheme="minorEastAsia" w:eastAsiaTheme="minorEastAsia"/>
          <w:bCs/>
          <w:color w:val="auto"/>
          <w:sz w:val="24"/>
          <w:szCs w:val="24"/>
          <w:highlight w:val="none"/>
        </w:rPr>
        <w:t>10个工作日内，按相关要求向甲方提供对应区域正式的</w:t>
      </w:r>
      <w:r>
        <w:rPr>
          <w:rFonts w:hint="eastAsia" w:asciiTheme="minorEastAsia" w:hAnsiTheme="minorEastAsia" w:eastAsiaTheme="minorEastAsia"/>
          <w:bCs/>
          <w:color w:val="auto"/>
          <w:sz w:val="24"/>
          <w:szCs w:val="24"/>
          <w:highlight w:val="none"/>
        </w:rPr>
        <w:t>的监测成果报告一式拾份。</w:t>
      </w:r>
      <w:r>
        <w:rPr>
          <w:rFonts w:hint="eastAsia" w:hAnsi="宋体"/>
          <w:bCs/>
          <w:color w:val="auto"/>
          <w:sz w:val="24"/>
          <w:szCs w:val="24"/>
          <w:highlight w:val="none"/>
        </w:rPr>
        <w:t>所有监测报告必须符合国家和地方现行的规范、标准，以及广州地铁集团地保办要求，且协助甲方提交广州地铁集团地保办备案。</w:t>
      </w:r>
    </w:p>
    <w:p w14:paraId="53B9EE0C">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w:t>
      </w:r>
      <w:r>
        <w:rPr>
          <w:rFonts w:hint="eastAsia" w:asciiTheme="minorEastAsia" w:hAnsiTheme="minorEastAsia"/>
          <w:bCs/>
          <w:color w:val="auto"/>
          <w:sz w:val="24"/>
          <w:highlight w:val="none"/>
        </w:rPr>
        <w:t>乙方应当在本</w:t>
      </w:r>
      <w:r>
        <w:rPr>
          <w:rFonts w:asciiTheme="minorEastAsia" w:hAnsiTheme="minorEastAsia" w:eastAsiaTheme="minorEastAsia"/>
          <w:bCs/>
          <w:color w:val="auto"/>
          <w:sz w:val="24"/>
          <w:szCs w:val="24"/>
          <w:highlight w:val="none"/>
        </w:rPr>
        <w:t>合同签订</w:t>
      </w:r>
      <w:r>
        <w:rPr>
          <w:rFonts w:hint="eastAsia" w:asciiTheme="minorEastAsia" w:hAnsiTheme="minorEastAsia" w:eastAsiaTheme="minorEastAsia"/>
          <w:bCs/>
          <w:color w:val="auto"/>
          <w:sz w:val="24"/>
          <w:szCs w:val="24"/>
          <w:highlight w:val="none"/>
        </w:rPr>
        <w:t>之日起</w:t>
      </w:r>
      <w:r>
        <w:rPr>
          <w:rFonts w:asciiTheme="minorEastAsia" w:hAnsiTheme="minorEastAsia" w:eastAsiaTheme="minorEastAsia"/>
          <w:bCs/>
          <w:color w:val="auto"/>
          <w:sz w:val="24"/>
          <w:szCs w:val="24"/>
          <w:highlight w:val="none"/>
        </w:rPr>
        <w:t>5个工作日内将监测方案上报</w:t>
      </w:r>
      <w:r>
        <w:rPr>
          <w:rFonts w:hint="eastAsia" w:asciiTheme="minorEastAsia" w:hAnsiTheme="minorEastAsia"/>
          <w:bCs/>
          <w:color w:val="auto"/>
          <w:sz w:val="24"/>
          <w:highlight w:val="none"/>
        </w:rPr>
        <w:t>广州地铁集团及甲方</w:t>
      </w:r>
      <w:r>
        <w:rPr>
          <w:rFonts w:asciiTheme="minorEastAsia" w:hAnsiTheme="minorEastAsia" w:eastAsiaTheme="minorEastAsia"/>
          <w:bCs/>
          <w:color w:val="auto"/>
          <w:sz w:val="24"/>
          <w:szCs w:val="24"/>
          <w:highlight w:val="none"/>
        </w:rPr>
        <w:t>审批</w:t>
      </w:r>
      <w:r>
        <w:rPr>
          <w:rFonts w:hint="eastAsia" w:asciiTheme="minorEastAsia" w:hAnsiTheme="minorEastAsia" w:eastAsiaTheme="minorEastAsia"/>
          <w:bCs/>
          <w:color w:val="auto"/>
          <w:sz w:val="24"/>
          <w:szCs w:val="24"/>
          <w:highlight w:val="none"/>
        </w:rPr>
        <w:t>。</w:t>
      </w:r>
    </w:p>
    <w:p w14:paraId="1EEE1947">
      <w:pPr>
        <w:spacing w:line="500" w:lineRule="exact"/>
        <w:ind w:firstLine="472" w:firstLineChars="196"/>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五、合同费用及支付方式</w:t>
      </w:r>
    </w:p>
    <w:p w14:paraId="2F4C873F">
      <w:pPr>
        <w:pStyle w:val="12"/>
        <w:spacing w:line="500" w:lineRule="exact"/>
        <w:ind w:firstLine="480"/>
        <w:rPr>
          <w:rFonts w:asciiTheme="minorEastAsia" w:hAnsiTheme="minorEastAsia"/>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hAnsi="宋体" w:cs="宋体"/>
          <w:color w:val="auto"/>
          <w:sz w:val="24"/>
          <w:szCs w:val="24"/>
          <w:highlight w:val="none"/>
        </w:rPr>
        <w:t>本</w:t>
      </w:r>
      <w:bookmarkStart w:id="4" w:name="_Hlk129354429"/>
      <w:r>
        <w:rPr>
          <w:rFonts w:hint="eastAsia" w:hAnsi="宋体" w:cs="宋体"/>
          <w:color w:val="auto"/>
          <w:sz w:val="24"/>
          <w:szCs w:val="24"/>
          <w:highlight w:val="none"/>
        </w:rPr>
        <w:t>合同含税总价</w:t>
      </w:r>
      <w:bookmarkEnd w:id="4"/>
      <w:r>
        <w:rPr>
          <w:rFonts w:hint="eastAsia" w:hAnsi="宋体" w:cs="宋体"/>
          <w:color w:val="auto"/>
          <w:sz w:val="24"/>
          <w:szCs w:val="24"/>
          <w:highlight w:val="none"/>
        </w:rPr>
        <w:t>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），其中不含税总价（小写）：¥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元；税率为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%，税额总价（小写）：¥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元；如遇国家税务政策法规变化，税额部分按相关规定进行调整。</w:t>
      </w:r>
    </w:p>
    <w:p w14:paraId="25ED362F">
      <w:pPr>
        <w:pStyle w:val="12"/>
        <w:spacing w:line="500" w:lineRule="exact"/>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2、本项目监测费用采用综合单价包干。上述</w:t>
      </w:r>
      <w:r>
        <w:rPr>
          <w:rFonts w:hint="eastAsia" w:hAnsi="宋体" w:cs="宋体"/>
          <w:color w:val="auto"/>
          <w:sz w:val="24"/>
          <w:szCs w:val="24"/>
          <w:highlight w:val="none"/>
        </w:rPr>
        <w:t>监测费</w:t>
      </w:r>
      <w:r>
        <w:rPr>
          <w:rFonts w:hint="eastAsia" w:asciiTheme="minorEastAsia" w:hAnsiTheme="minorEastAsia" w:eastAsiaTheme="minorEastAsia"/>
          <w:color w:val="auto"/>
          <w:sz w:val="24"/>
          <w:highlight w:val="none"/>
        </w:rPr>
        <w:t>包括本合同项下涉地铁监测</w:t>
      </w:r>
      <w:r>
        <w:rPr>
          <w:rFonts w:hint="eastAsia" w:asciiTheme="minorEastAsia" w:hAnsiTheme="minorEastAsia"/>
          <w:bCs/>
          <w:color w:val="auto"/>
          <w:sz w:val="24"/>
          <w:highlight w:val="none"/>
        </w:rPr>
        <w:t>及运营施工配合</w:t>
      </w:r>
      <w:r>
        <w:rPr>
          <w:rFonts w:hint="eastAsia" w:asciiTheme="minorEastAsia" w:hAnsiTheme="minorEastAsia" w:eastAsiaTheme="minorEastAsia"/>
          <w:color w:val="auto"/>
          <w:sz w:val="24"/>
          <w:highlight w:val="none"/>
        </w:rPr>
        <w:t>所需全部工作费用，具体包括编制报审、专家会、评审费、报批监测方案的编制工作费用、施工期间配合费、审批后的实施方案所列的全部监测工作费用以及在实施过程中应地保办要求开展可能产生的抢险应急等临时增加的所有监测工作费用，满足本工程验收合格、评审所需的一切费用，且已包含了安全生产措施费、税费和服务期内为完成本项目所有要求而可能产生的所有的不可预见费用，包括综合考虑工程变化的风险费用。</w:t>
      </w:r>
      <w:r>
        <w:rPr>
          <w:rFonts w:hint="eastAsia" w:asciiTheme="minorEastAsia" w:hAnsiTheme="minorEastAsia"/>
          <w:bCs/>
          <w:color w:val="auto"/>
          <w:sz w:val="24"/>
          <w:highlight w:val="none"/>
        </w:rPr>
        <w:t>无论任何原因（包括但不限于政策变化等），</w:t>
      </w:r>
      <w:r>
        <w:rPr>
          <w:rFonts w:hint="eastAsia" w:asciiTheme="minorEastAsia" w:hAnsiTheme="minorEastAsia" w:eastAsiaTheme="minorEastAsia"/>
          <w:color w:val="auto"/>
          <w:sz w:val="24"/>
          <w:highlight w:val="none"/>
        </w:rPr>
        <w:t>合同综合单价在本合同服务期内固定不变，并不因劳务、材料、机械等成本的价格变动、工程量、工期变化的影响及其他任何原因而做任何调整，工程量按实结算，最终金额以</w:t>
      </w:r>
      <w:r>
        <w:rPr>
          <w:rFonts w:hint="eastAsia" w:asciiTheme="minorEastAsia" w:hAnsiTheme="minorEastAsia" w:eastAsiaTheme="minorEastAsia"/>
          <w:color w:val="auto"/>
          <w:sz w:val="24"/>
          <w:highlight w:val="none"/>
          <w:lang w:val="en-US" w:eastAsia="zh-CN"/>
        </w:rPr>
        <w:t>有权审核部门审定的结算终审金额</w:t>
      </w:r>
      <w:r>
        <w:rPr>
          <w:rFonts w:hint="eastAsia" w:asciiTheme="minorEastAsia" w:hAnsiTheme="minorEastAsia" w:eastAsiaTheme="minorEastAsia"/>
          <w:color w:val="auto"/>
          <w:sz w:val="24"/>
          <w:highlight w:val="none"/>
        </w:rPr>
        <w:t>为准。</w:t>
      </w:r>
    </w:p>
    <w:p w14:paraId="184468B1">
      <w:pPr>
        <w:tabs>
          <w:tab w:val="left" w:pos="540"/>
        </w:tabs>
        <w:spacing w:before="50" w:line="360" w:lineRule="auto"/>
        <w:ind w:left="-119" w:firstLine="539"/>
        <w:rPr>
          <w:rFonts w:ascii="宋体" w:hAnsi="宋体" w:cs="宋体"/>
          <w:color w:val="auto"/>
          <w:sz w:val="24"/>
          <w:highlight w:val="none"/>
        </w:rPr>
      </w:pPr>
      <w:r>
        <w:rPr>
          <w:rFonts w:hint="eastAsia" w:ascii="宋体" w:hAnsi="宋体" w:cs="宋体"/>
          <w:color w:val="auto"/>
          <w:sz w:val="24"/>
          <w:highlight w:val="none"/>
        </w:rPr>
        <w:t>3、为保障本合同的顺利履行，在本合同生效后乙方须提交符合本合同约定的银行出具的不可撤销的履约保函,保函金额为合同总额的10%或向甲方支付合同总额10%履约保证金。在乙方未发生合同违约情况的前提下，甲方将在合同执行完毕后将履约保函原件或履约保证金无息退回至乙方。乙方提交的银行保函的有效期原则上应直至乙方按本合同约定履行完毕全部义务之日，如在此期限前银行保函到期的，乙方应在银行保函有效期满前30日内补充提交新的同等金额的银行保函</w:t>
      </w:r>
      <w:r>
        <w:rPr>
          <w:rFonts w:hint="eastAsia" w:cs="Times New Roman" w:asciiTheme="minorEastAsia" w:hAnsiTheme="minorEastAsia"/>
          <w:bCs/>
          <w:color w:val="auto"/>
          <w:kern w:val="0"/>
          <w:sz w:val="24"/>
          <w:highlight w:val="none"/>
          <w:lang w:val="en-US" w:eastAsia="zh-CN"/>
        </w:rPr>
        <w:t>或</w:t>
      </w:r>
      <w:r>
        <w:rPr>
          <w:rFonts w:hint="eastAsia" w:ascii="宋体" w:hAnsi="宋体" w:cs="宋体"/>
          <w:color w:val="auto"/>
          <w:sz w:val="24"/>
          <w:highlight w:val="none"/>
          <w:lang w:val="en-US" w:eastAsia="zh-CN"/>
        </w:rPr>
        <w:t>向甲方支付</w:t>
      </w:r>
      <w:r>
        <w:rPr>
          <w:rFonts w:hint="eastAsia" w:cs="Times New Roman" w:asciiTheme="minorEastAsia" w:hAnsiTheme="minorEastAsia"/>
          <w:bCs/>
          <w:color w:val="auto"/>
          <w:kern w:val="0"/>
          <w:sz w:val="24"/>
          <w:highlight w:val="none"/>
          <w:lang w:val="en-US" w:eastAsia="zh-CN"/>
        </w:rPr>
        <w:t>相当于</w:t>
      </w:r>
      <w:r>
        <w:rPr>
          <w:rFonts w:cs="Times New Roman" w:asciiTheme="minorEastAsia" w:hAnsiTheme="minorEastAsia"/>
          <w:bCs/>
          <w:color w:val="auto"/>
          <w:kern w:val="0"/>
          <w:sz w:val="24"/>
          <w:highlight w:val="none"/>
        </w:rPr>
        <w:t>合同总额10%</w:t>
      </w:r>
      <w:r>
        <w:rPr>
          <w:rFonts w:hint="eastAsia" w:cs="Times New Roman" w:asciiTheme="minorEastAsia" w:hAnsiTheme="minorEastAsia"/>
          <w:bCs/>
          <w:color w:val="auto"/>
          <w:kern w:val="0"/>
          <w:sz w:val="24"/>
          <w:highlight w:val="none"/>
          <w:lang w:val="en-US" w:eastAsia="zh-CN"/>
        </w:rPr>
        <w:t>的</w:t>
      </w:r>
      <w:r>
        <w:rPr>
          <w:rFonts w:cs="Times New Roman" w:asciiTheme="minorEastAsia" w:hAnsiTheme="minorEastAsia"/>
          <w:bCs/>
          <w:color w:val="auto"/>
          <w:kern w:val="0"/>
          <w:sz w:val="24"/>
          <w:highlight w:val="none"/>
        </w:rPr>
        <w:t>履约保证金</w:t>
      </w:r>
      <w:r>
        <w:rPr>
          <w:rFonts w:hint="eastAsia" w:ascii="宋体" w:hAnsi="宋体" w:cs="宋体"/>
          <w:color w:val="auto"/>
          <w:sz w:val="24"/>
          <w:highlight w:val="none"/>
        </w:rPr>
        <w:t>，直至上述期限届满；否则，甲方有权拒绝支付任意进度款及结算款项。</w:t>
      </w:r>
    </w:p>
    <w:p w14:paraId="137109F2">
      <w:pPr>
        <w:tabs>
          <w:tab w:val="left" w:pos="540"/>
        </w:tabs>
        <w:spacing w:before="50" w:line="360" w:lineRule="auto"/>
        <w:ind w:left="0" w:firstLine="53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4、合同价款的支付：</w:t>
      </w:r>
    </w:p>
    <w:p w14:paraId="729752DE">
      <w:pPr>
        <w:tabs>
          <w:tab w:val="left" w:pos="540"/>
        </w:tabs>
        <w:spacing w:before="50" w:line="360" w:lineRule="auto"/>
        <w:ind w:left="0" w:firstLine="539"/>
        <w:rPr>
          <w:rFonts w:hint="eastAsia" w:ascii="宋体" w:hAnsi="宋体" w:cs="宋体"/>
          <w:bCs w:val="0"/>
          <w:color w:val="auto"/>
          <w:sz w:val="24"/>
          <w:szCs w:val="24"/>
          <w:highlight w:val="none"/>
        </w:rPr>
      </w:pPr>
      <w:r>
        <w:rPr>
          <w:rFonts w:hint="eastAsia" w:ascii="宋体" w:hAnsi="宋体" w:eastAsia="宋体" w:cs="宋体"/>
          <w:bCs w:val="0"/>
          <w:color w:val="auto"/>
          <w:sz w:val="24"/>
          <w:szCs w:val="24"/>
          <w:highlight w:val="none"/>
        </w:rPr>
        <w:t>乙方向甲方提交完整的合同请款资料（包括但不限于相关支付依据及相应增值税专用发票），</w:t>
      </w:r>
      <w:r>
        <w:rPr>
          <w:rFonts w:hint="eastAsia" w:ascii="宋体" w:hAnsi="宋体" w:cs="宋体"/>
          <w:color w:val="auto"/>
          <w:kern w:val="2"/>
          <w:sz w:val="24"/>
          <w:highlight w:val="none"/>
        </w:rPr>
        <w:t>甲方对乙方支付申请材料进行审核后</w:t>
      </w:r>
      <w:r>
        <w:rPr>
          <w:rFonts w:hint="eastAsia" w:ascii="宋体" w:hAnsi="宋体" w:cs="宋体"/>
          <w:color w:val="auto"/>
          <w:kern w:val="2"/>
          <w:sz w:val="24"/>
          <w:highlight w:val="none"/>
          <w:lang w:val="en-US" w:eastAsia="zh-CN"/>
        </w:rPr>
        <w:t>支付</w:t>
      </w:r>
      <w:r>
        <w:rPr>
          <w:rFonts w:hint="eastAsia" w:ascii="宋体" w:hAnsi="宋体" w:cs="宋体"/>
          <w:color w:val="auto"/>
          <w:kern w:val="2"/>
          <w:sz w:val="24"/>
          <w:highlight w:val="none"/>
        </w:rPr>
        <w:t>。具体支付方式如下：</w:t>
      </w:r>
    </w:p>
    <w:p w14:paraId="3252F334">
      <w:pPr>
        <w:tabs>
          <w:tab w:val="left" w:pos="540"/>
        </w:tabs>
        <w:spacing w:before="50" w:line="360" w:lineRule="auto"/>
        <w:ind w:left="0" w:firstLine="53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⑴合同签订生效后，乙方提交合同请款申请资料</w:t>
      </w:r>
      <w:r>
        <w:rPr>
          <w:rFonts w:hint="eastAsia" w:ascii="宋体" w:hAnsi="宋体" w:eastAsia="宋体" w:cs="宋体"/>
          <w:bCs w:val="0"/>
          <w:color w:val="auto"/>
          <w:sz w:val="24"/>
          <w:szCs w:val="24"/>
          <w:highlight w:val="none"/>
          <w:lang w:eastAsia="zh-CN"/>
        </w:rPr>
        <w:t>、</w:t>
      </w:r>
      <w:r>
        <w:rPr>
          <w:rFonts w:hint="eastAsia" w:ascii="宋体" w:hAnsi="宋体" w:cs="宋体"/>
          <w:color w:val="auto"/>
          <w:sz w:val="24"/>
          <w:highlight w:val="none"/>
        </w:rPr>
        <w:t>按照合同要求向甲方提交履约保函或提交同等额度的履约保证金，</w:t>
      </w:r>
      <w:r>
        <w:rPr>
          <w:rFonts w:hint="eastAsia" w:ascii="宋体" w:hAnsi="宋体" w:eastAsia="宋体" w:cs="宋体"/>
          <w:bCs w:val="0"/>
          <w:color w:val="auto"/>
          <w:sz w:val="24"/>
          <w:szCs w:val="24"/>
          <w:highlight w:val="none"/>
        </w:rPr>
        <w:t>可申请合同暂定总价的 20％作为首付款。首次款抵扣后续支付的进度款，直至首次款抵扣完毕后才能申请进度款。</w:t>
      </w:r>
    </w:p>
    <w:p w14:paraId="3348E2BD">
      <w:pPr>
        <w:tabs>
          <w:tab w:val="left" w:pos="540"/>
        </w:tabs>
        <w:spacing w:before="50" w:line="360" w:lineRule="auto"/>
        <w:ind w:left="0" w:firstLine="53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⑵ 进度款：监测费用原则上每季度按实际完成的工程量支付，每个季度末乙方提交申报支付进度款资料，可申请支付当季该批次监测费用的80%，累计支付至合同暂定总价的80％止。</w:t>
      </w:r>
    </w:p>
    <w:p w14:paraId="0E2F4621">
      <w:pPr>
        <w:tabs>
          <w:tab w:val="left" w:pos="540"/>
        </w:tabs>
        <w:spacing w:before="50" w:line="360" w:lineRule="auto"/>
        <w:ind w:left="0" w:firstLine="53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⑶ 乙方在完成监测报告并办理完相关合同结算手续后，向甲方申请剩余费用。</w:t>
      </w:r>
    </w:p>
    <w:p w14:paraId="46A20ED2">
      <w:pPr>
        <w:tabs>
          <w:tab w:val="left" w:pos="540"/>
        </w:tabs>
        <w:adjustRightInd/>
        <w:snapToGrid/>
        <w:spacing w:before="50" w:line="360" w:lineRule="auto"/>
        <w:ind w:left="0" w:firstLine="539" w:firstLineChars="0"/>
        <w:rPr>
          <w:rFonts w:ascii="宋体" w:hAnsi="宋体" w:cs="宋体"/>
          <w:color w:val="auto"/>
          <w:kern w:val="0"/>
          <w:sz w:val="24"/>
          <w:highlight w:val="none"/>
        </w:rPr>
      </w:pPr>
      <w:bookmarkStart w:id="5" w:name="_Toc131344751"/>
      <w:r>
        <w:rPr>
          <w:rFonts w:hint="eastAsia" w:ascii="宋体" w:hAnsi="宋体" w:cs="宋体"/>
          <w:color w:val="auto"/>
          <w:kern w:val="0"/>
          <w:sz w:val="24"/>
          <w:highlight w:val="none"/>
        </w:rPr>
        <w:t>甲方付款前，乙方应提供合法有效、相应金额、相应内容的</w:t>
      </w:r>
      <w:bookmarkStart w:id="6" w:name="OLE_LINK7"/>
      <w:r>
        <w:rPr>
          <w:rFonts w:hint="eastAsia" w:ascii="宋体" w:hAnsi="宋体" w:cs="宋体"/>
          <w:color w:val="auto"/>
          <w:kern w:val="0"/>
          <w:sz w:val="24"/>
          <w:highlight w:val="none"/>
        </w:rPr>
        <w:t>增值税专用发票</w:t>
      </w:r>
      <w:bookmarkEnd w:id="6"/>
      <w:r>
        <w:rPr>
          <w:rFonts w:hint="eastAsia" w:ascii="宋体" w:hAnsi="宋体" w:cs="宋体"/>
          <w:color w:val="auto"/>
          <w:kern w:val="0"/>
          <w:sz w:val="24"/>
          <w:highlight w:val="none"/>
        </w:rPr>
        <w:t>。乙方迟延交付发票的，付款时间相应顺延，并不视为甲方违约。</w:t>
      </w:r>
      <w:bookmarkEnd w:id="3"/>
      <w:r>
        <w:rPr>
          <w:rFonts w:hint="eastAsia" w:ascii="宋体" w:hAnsi="宋体" w:cs="宋体"/>
          <w:color w:val="auto"/>
          <w:kern w:val="0"/>
          <w:sz w:val="24"/>
          <w:highlight w:val="none"/>
        </w:rPr>
        <w:t>乙方申请费用时开具增值税专用发票，开票信息如下：</w:t>
      </w:r>
    </w:p>
    <w:p w14:paraId="521F55EB">
      <w:pPr>
        <w:tabs>
          <w:tab w:val="left" w:pos="540"/>
        </w:tabs>
        <w:adjustRightInd/>
        <w:snapToGrid/>
        <w:spacing w:before="50" w:line="360" w:lineRule="auto"/>
        <w:ind w:left="0" w:firstLine="539" w:firstLineChars="0"/>
        <w:rPr>
          <w:rFonts w:ascii="宋体" w:hAnsi="宋体" w:cs="宋体"/>
          <w:color w:val="auto"/>
          <w:kern w:val="0"/>
          <w:sz w:val="24"/>
          <w:highlight w:val="none"/>
        </w:rPr>
      </w:pPr>
      <w:r>
        <w:rPr>
          <w:rFonts w:hint="eastAsia" w:ascii="宋体" w:hAnsi="宋体" w:cs="宋体"/>
          <w:color w:val="auto"/>
          <w:kern w:val="0"/>
          <w:sz w:val="24"/>
          <w:highlight w:val="none"/>
        </w:rPr>
        <w:t>单</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位</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名</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称：广州市天投城市更新有限公司</w:t>
      </w:r>
    </w:p>
    <w:p w14:paraId="17300B17">
      <w:pPr>
        <w:tabs>
          <w:tab w:val="left" w:pos="540"/>
        </w:tabs>
        <w:adjustRightInd/>
        <w:snapToGrid/>
        <w:spacing w:before="50" w:line="360" w:lineRule="auto"/>
        <w:ind w:left="0" w:firstLine="539" w:firstLineChars="0"/>
        <w:rPr>
          <w:rFonts w:ascii="宋体" w:hAnsi="宋体" w:cs="宋体"/>
          <w:color w:val="auto"/>
          <w:kern w:val="0"/>
          <w:sz w:val="24"/>
          <w:highlight w:val="none"/>
        </w:rPr>
      </w:pPr>
      <w:r>
        <w:rPr>
          <w:rFonts w:hint="eastAsia" w:ascii="宋体" w:hAnsi="宋体" w:cs="宋体"/>
          <w:color w:val="auto"/>
          <w:kern w:val="0"/>
          <w:sz w:val="24"/>
          <w:highlight w:val="none"/>
        </w:rPr>
        <w:t>纳税人识别号：91440106MAD419N19B</w:t>
      </w:r>
    </w:p>
    <w:p w14:paraId="2926285B">
      <w:pPr>
        <w:tabs>
          <w:tab w:val="left" w:pos="540"/>
        </w:tabs>
        <w:adjustRightInd/>
        <w:snapToGrid/>
        <w:spacing w:before="50" w:line="360" w:lineRule="auto"/>
        <w:ind w:left="0" w:firstLine="539" w:firstLineChars="0"/>
        <w:rPr>
          <w:rFonts w:ascii="宋体" w:hAnsi="宋体" w:cs="宋体"/>
          <w:color w:val="auto"/>
          <w:kern w:val="0"/>
          <w:sz w:val="24"/>
          <w:highlight w:val="none"/>
        </w:rPr>
      </w:pPr>
      <w:r>
        <w:rPr>
          <w:rFonts w:hint="eastAsia" w:ascii="宋体" w:hAnsi="宋体" w:cs="宋体"/>
          <w:color w:val="auto"/>
          <w:kern w:val="0"/>
          <w:sz w:val="24"/>
          <w:highlight w:val="none"/>
        </w:rPr>
        <w:t>开</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户</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银</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行：广州银行股份有限公司森保支行</w:t>
      </w:r>
    </w:p>
    <w:p w14:paraId="37E6EAF9">
      <w:pPr>
        <w:tabs>
          <w:tab w:val="left" w:pos="540"/>
        </w:tabs>
        <w:adjustRightInd/>
        <w:snapToGrid/>
        <w:spacing w:before="50" w:line="360" w:lineRule="auto"/>
        <w:ind w:left="0" w:firstLine="539" w:firstLineChars="0"/>
        <w:rPr>
          <w:rFonts w:hint="eastAsia" w:ascii="宋体" w:hAnsi="宋体" w:cs="宋体"/>
          <w:color w:val="auto"/>
          <w:kern w:val="0"/>
          <w:sz w:val="24"/>
          <w:highlight w:val="none"/>
        </w:rPr>
      </w:pPr>
      <w:r>
        <w:rPr>
          <w:rFonts w:hint="eastAsia" w:ascii="宋体" w:hAnsi="宋体" w:cs="宋体"/>
          <w:color w:val="auto"/>
          <w:kern w:val="0"/>
          <w:sz w:val="24"/>
          <w:highlight w:val="none"/>
        </w:rPr>
        <w:t>开</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户</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账</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号：810201888880010132</w:t>
      </w:r>
    </w:p>
    <w:p w14:paraId="1A95A97C">
      <w:pPr>
        <w:tabs>
          <w:tab w:val="left" w:pos="540"/>
        </w:tabs>
        <w:spacing w:before="50" w:line="360" w:lineRule="auto"/>
        <w:ind w:firstLine="539"/>
        <w:rPr>
          <w:rFonts w:hint="eastAsia" w:ascii="宋体" w:hAnsi="宋体" w:cs="宋体"/>
          <w:color w:val="auto"/>
          <w:kern w:val="0"/>
          <w:sz w:val="24"/>
          <w:highlight w:val="none"/>
        </w:rPr>
      </w:pPr>
      <w:r>
        <w:rPr>
          <w:rFonts w:hint="eastAsia" w:ascii="宋体" w:hAnsi="宋体" w:cs="宋体"/>
          <w:color w:val="auto"/>
          <w:kern w:val="0"/>
          <w:sz w:val="24"/>
          <w:highlight w:val="none"/>
        </w:rPr>
        <w:t>因乙方提供的发票不规范、不合法引发的税务及其他一切法律责任由乙方自行承担，且乙方还应向</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承担赔偿责任，包括但不限于承担相关税款、滞纳金、罚款(本合同项所述“罚款”为含税金额)及赔偿相关损失等。</w:t>
      </w:r>
    </w:p>
    <w:p w14:paraId="2A4AF1AB">
      <w:pPr>
        <w:tabs>
          <w:tab w:val="left" w:pos="540"/>
        </w:tabs>
        <w:spacing w:before="50" w:line="360" w:lineRule="auto"/>
        <w:ind w:firstLine="539"/>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支付本合同项下款项需向政府部门申请拨付(如有)，则各阶段支付条件还应包括</w:t>
      </w:r>
      <w:r>
        <w:rPr>
          <w:rFonts w:hint="eastAsia" w:ascii="宋体" w:hAnsi="宋体" w:cs="宋体"/>
          <w:color w:val="auto"/>
          <w:kern w:val="0"/>
          <w:sz w:val="24"/>
          <w:highlight w:val="none"/>
          <w:lang w:val="en-US" w:eastAsia="zh-CN"/>
        </w:rPr>
        <w:t>甲方</w:t>
      </w:r>
      <w:r>
        <w:rPr>
          <w:rFonts w:hint="eastAsia" w:ascii="宋体" w:hAnsi="宋体" w:cs="宋体"/>
          <w:color w:val="auto"/>
          <w:kern w:val="0"/>
          <w:sz w:val="24"/>
          <w:highlight w:val="none"/>
        </w:rPr>
        <w:t>向相关政府部门申请款项获得批准且得到拨付,付款时间应相应根据拨付时间顺延。</w:t>
      </w:r>
      <w:r>
        <w:rPr>
          <w:rFonts w:hint="eastAsia" w:ascii="宋体" w:hAnsi="宋体" w:cs="宋体"/>
          <w:color w:val="auto"/>
          <w:kern w:val="0"/>
          <w:sz w:val="24"/>
          <w:highlight w:val="none"/>
          <w:lang w:val="en-US" w:eastAsia="zh-CN"/>
        </w:rPr>
        <w:t>乙方</w:t>
      </w:r>
      <w:r>
        <w:rPr>
          <w:rFonts w:hint="eastAsia" w:ascii="宋体" w:hAnsi="宋体" w:cs="宋体"/>
          <w:color w:val="auto"/>
          <w:kern w:val="0"/>
          <w:sz w:val="24"/>
          <w:highlight w:val="none"/>
        </w:rPr>
        <w:t>不可撤销地承诺，若受政府部门审定、拨付本合同项下相关费用时间等因素影响支付的，</w:t>
      </w:r>
      <w:r>
        <w:rPr>
          <w:rFonts w:hint="eastAsia" w:ascii="宋体" w:hAnsi="宋体" w:cs="宋体"/>
          <w:color w:val="auto"/>
          <w:kern w:val="0"/>
          <w:sz w:val="24"/>
          <w:highlight w:val="none"/>
          <w:lang w:val="en-US" w:eastAsia="zh-CN"/>
        </w:rPr>
        <w:t>乙方</w:t>
      </w:r>
      <w:r>
        <w:rPr>
          <w:rFonts w:hint="eastAsia" w:ascii="宋体" w:hAnsi="宋体" w:cs="宋体"/>
          <w:color w:val="auto"/>
          <w:kern w:val="0"/>
          <w:sz w:val="24"/>
          <w:highlight w:val="none"/>
        </w:rPr>
        <w:t>无权以任何理由要求委托人承担任何违约责任。</w:t>
      </w:r>
    </w:p>
    <w:p w14:paraId="0E2D619A">
      <w:pPr>
        <w:tabs>
          <w:tab w:val="left" w:pos="540"/>
        </w:tabs>
        <w:spacing w:before="50" w:line="360" w:lineRule="auto"/>
        <w:ind w:left="-119" w:firstLine="53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5、甲乙双方一致确认，本工程范围已涵盖</w:t>
      </w:r>
      <w:r>
        <w:rPr>
          <w:rFonts w:hint="eastAsia" w:ascii="宋体" w:hAnsi="宋体" w:cs="宋体"/>
          <w:color w:val="auto"/>
          <w:sz w:val="24"/>
          <w:highlight w:val="none"/>
        </w:rPr>
        <w:t>凤凰汇东侧地块</w:t>
      </w:r>
      <w:r>
        <w:rPr>
          <w:rFonts w:hint="eastAsia" w:ascii="宋体" w:hAnsi="宋体" w:cs="宋体"/>
          <w:color w:val="auto"/>
          <w:sz w:val="24"/>
          <w:highlight w:val="none"/>
          <w:lang w:val="en-US" w:eastAsia="zh-CN"/>
        </w:rPr>
        <w:t>复建物业地下室的地铁保护监测服务内容。受广州市天河区凤凰街柯木塱股份合作经济联社委托，甲方为</w:t>
      </w:r>
      <w:r>
        <w:rPr>
          <w:rFonts w:hint="eastAsia" w:ascii="宋体" w:hAnsi="宋体" w:cs="宋体"/>
          <w:color w:val="auto"/>
          <w:sz w:val="24"/>
          <w:highlight w:val="none"/>
        </w:rPr>
        <w:t>凤凰汇东侧地块</w:t>
      </w:r>
      <w:r>
        <w:rPr>
          <w:rFonts w:hint="eastAsia" w:ascii="宋体" w:hAnsi="宋体" w:cs="宋体"/>
          <w:color w:val="auto"/>
          <w:sz w:val="24"/>
          <w:highlight w:val="none"/>
          <w:lang w:val="en-US" w:eastAsia="zh-CN"/>
        </w:rPr>
        <w:t>复建物业地下室的建设管理单位，并签订了《建设管理协议》（穗天投更新-工合[2025]01号），根据《建设管理协议》约定，全权负责本项目招投标及承包单位管理工作。基于上述项目情况，</w:t>
      </w:r>
      <w:r>
        <w:rPr>
          <w:rFonts w:hint="eastAsia" w:ascii="宋体" w:hAnsi="宋体" w:cs="宋体"/>
          <w:color w:val="auto"/>
          <w:kern w:val="0"/>
          <w:sz w:val="24"/>
          <w:highlight w:val="none"/>
          <w:lang w:val="en-US" w:eastAsia="zh-CN"/>
        </w:rPr>
        <w:t>乙方</w:t>
      </w:r>
      <w:r>
        <w:rPr>
          <w:rFonts w:hint="eastAsia" w:ascii="宋体" w:hAnsi="宋体" w:cs="宋体"/>
          <w:color w:val="auto"/>
          <w:kern w:val="0"/>
          <w:sz w:val="24"/>
          <w:highlight w:val="none"/>
        </w:rPr>
        <w:t>不可撤销地承诺，</w:t>
      </w:r>
      <w:r>
        <w:rPr>
          <w:rFonts w:hint="eastAsia" w:ascii="宋体" w:hAnsi="宋体" w:cs="宋体"/>
          <w:color w:val="auto"/>
          <w:sz w:val="24"/>
          <w:highlight w:val="none"/>
          <w:lang w:val="en-US" w:eastAsia="zh-CN"/>
        </w:rPr>
        <w:t>本合同</w:t>
      </w:r>
      <w:r>
        <w:rPr>
          <w:rFonts w:hint="eastAsia" w:ascii="宋体" w:hAnsi="宋体" w:cs="宋体"/>
          <w:color w:val="auto"/>
          <w:sz w:val="24"/>
          <w:highlight w:val="none"/>
        </w:rPr>
        <w:t>凤凰汇东侧地块</w:t>
      </w:r>
      <w:r>
        <w:rPr>
          <w:rFonts w:hint="eastAsia" w:ascii="宋体" w:hAnsi="宋体" w:cs="宋体"/>
          <w:color w:val="auto"/>
          <w:sz w:val="24"/>
          <w:highlight w:val="none"/>
          <w:lang w:val="en-US" w:eastAsia="zh-CN"/>
        </w:rPr>
        <w:t>复建物业地下室的地铁保护监测服务费用后续由甲方、乙方、广州市天河区凤凰街柯木塱股份合作经济联社签订三方补充协议，明确由柯木塱股份合作经济联社承担的费用金额，该部分费用由柯木塱股份合作经济联社直接向乙方支付（乙方需按柯木塱股份合作经济联社要求开具发票），对于补充协议中明确应由柯木塱股份合作经济联社向乙方支付的费用，甲方不再重复支付；乙方亦不得因柯木塱股份合作经济联社未实际支付该费用而向甲方主张该费用及任何追偿。</w:t>
      </w:r>
    </w:p>
    <w:p w14:paraId="30D129F9">
      <w:pPr>
        <w:spacing w:line="500" w:lineRule="exact"/>
        <w:ind w:firstLine="48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bCs/>
          <w:color w:val="auto"/>
          <w:sz w:val="24"/>
          <w:highlight w:val="none"/>
        </w:rPr>
        <w:t>、双方权利与</w:t>
      </w:r>
      <w:r>
        <w:rPr>
          <w:rFonts w:hint="eastAsia" w:asciiTheme="minorEastAsia" w:hAnsiTheme="minorEastAsia" w:eastAsiaTheme="minorEastAsia"/>
          <w:b/>
          <w:color w:val="auto"/>
          <w:sz w:val="24"/>
          <w:highlight w:val="none"/>
        </w:rPr>
        <w:t>责任</w:t>
      </w:r>
    </w:p>
    <w:p w14:paraId="6344154A">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1、甲方权利与责任</w:t>
      </w:r>
    </w:p>
    <w:p w14:paraId="45F19DEF">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（1）甲方应协调乙方与现场各方关系，为监测提供必要的便利条件。</w:t>
      </w:r>
    </w:p>
    <w:p w14:paraId="6144C2CC">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bCs/>
          <w:color w:val="auto"/>
          <w:sz w:val="24"/>
          <w:szCs w:val="24"/>
          <w:highlight w:val="none"/>
        </w:rPr>
        <w:t>在乙方进场前提供监测所需的技术资料，包括岩土工程勘察资料、有关的设计及施工资料。对监测有特别技术要求的，应以书面形式提出。</w:t>
      </w:r>
    </w:p>
    <w:p w14:paraId="25F1F84F">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（3）按合同约定支付监测费用。</w:t>
      </w:r>
    </w:p>
    <w:p w14:paraId="4ECFAD44">
      <w:pPr>
        <w:pStyle w:val="12"/>
        <w:spacing w:line="500" w:lineRule="exact"/>
        <w:ind w:firstLine="48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szCs w:val="24"/>
          <w:highlight w:val="none"/>
        </w:rPr>
        <w:t>甲方向乙方提供的监测工作所需的设计图纸及有关资料。</w:t>
      </w:r>
    </w:p>
    <w:p w14:paraId="1036D6E2">
      <w:pPr>
        <w:pStyle w:val="12"/>
        <w:spacing w:line="500" w:lineRule="exact"/>
        <w:ind w:firstLine="48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szCs w:val="24"/>
          <w:highlight w:val="none"/>
        </w:rPr>
        <w:t>甲方在开工前配合乙方办理进入地铁隧道进行监测系统布设及监测申请手续等需甲方完成的工作。</w:t>
      </w:r>
    </w:p>
    <w:p w14:paraId="22DE5307">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甲方有权以书面形式要求乙方更换不能按照监测合同的规定履行合同的监测人员，对违反监测合同对甲方或工程造成损失或不良影响的监测人员，甲方有权对其进行警告、通报批评、罚款，直到清退；对触犯法律的，将依法追究其法律责任。</w:t>
      </w:r>
    </w:p>
    <w:p w14:paraId="4623EC7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2、乙方权利与责任</w:t>
      </w:r>
    </w:p>
    <w:p w14:paraId="6B34530C">
      <w:pPr>
        <w:pStyle w:val="12"/>
        <w:spacing w:line="500" w:lineRule="exact"/>
        <w:ind w:left="-29" w:leftChars="-14"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（1）有权按照保质量、保工期和降低成本的原则，向甲方提供切实可行的监测方案。</w:t>
      </w:r>
    </w:p>
    <w:p w14:paraId="5162D2D1">
      <w:pPr>
        <w:pStyle w:val="12"/>
        <w:spacing w:line="500" w:lineRule="exact"/>
        <w:ind w:left="-29" w:leftChars="-14"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（2）有权对涉及监测相关工程设计中的技术问题，按照安全和优化的原则，向甲方提出建议。</w:t>
      </w:r>
    </w:p>
    <w:p w14:paraId="573E85A6">
      <w:pPr>
        <w:pStyle w:val="12"/>
        <w:spacing w:line="500" w:lineRule="exact"/>
        <w:ind w:left="-29" w:leftChars="-14"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（3）有权按照本合同的约定进行监测，出具客观、准确、公正的监测报告，不受甲方干涉。</w:t>
      </w:r>
    </w:p>
    <w:p w14:paraId="149A1676">
      <w:pPr>
        <w:pStyle w:val="12"/>
        <w:spacing w:line="500" w:lineRule="exact"/>
        <w:ind w:left="-29" w:leftChars="-14"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（4）有权按本合同约定获得监测服务报酬。</w:t>
      </w:r>
    </w:p>
    <w:p w14:paraId="765C6895">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（5）乙方应在</w:t>
      </w:r>
      <w:r>
        <w:rPr>
          <w:rFonts w:asciiTheme="minorEastAsia" w:hAnsiTheme="minorEastAsia" w:eastAsiaTheme="minorEastAsia"/>
          <w:bCs/>
          <w:color w:val="auto"/>
          <w:sz w:val="24"/>
          <w:szCs w:val="24"/>
          <w:highlight w:val="none"/>
        </w:rPr>
        <w:t>合同签订后</w:t>
      </w:r>
      <w:r>
        <w:rPr>
          <w:rFonts w:hint="eastAsia" w:asciiTheme="minorEastAsia" w:hAnsiTheme="minorEastAsia" w:eastAsiaTheme="minorEastAsia"/>
          <w:bCs/>
          <w:color w:val="auto"/>
          <w:sz w:val="24"/>
          <w:szCs w:val="24"/>
          <w:highlight w:val="none"/>
        </w:rPr>
        <w:t>5个工作日内向甲方提交本合同约定项目的监测方案，经甲方审核确定后，甲方按照有关规定送广州地铁集团地保办备案。如甲方要求乙方对监测方案等进行合理修改调整，乙方必须在收到甲方修改调整意见之日起3</w:t>
      </w:r>
      <w:r>
        <w:rPr>
          <w:rFonts w:asciiTheme="minorEastAsia" w:hAnsiTheme="minorEastAsia" w:eastAsiaTheme="minorEastAsia"/>
          <w:bCs/>
          <w:color w:val="auto"/>
          <w:sz w:val="24"/>
          <w:szCs w:val="24"/>
          <w:highlight w:val="none"/>
        </w:rPr>
        <w:t>日内</w:t>
      </w:r>
      <w:r>
        <w:rPr>
          <w:rFonts w:hint="eastAsia" w:asciiTheme="minorEastAsia" w:hAnsiTheme="minorEastAsia" w:eastAsiaTheme="minorEastAsia"/>
          <w:bCs/>
          <w:color w:val="auto"/>
          <w:sz w:val="24"/>
          <w:szCs w:val="24"/>
          <w:highlight w:val="none"/>
        </w:rPr>
        <w:t>，按甲方要求完成修改调整并报甲方审核。</w:t>
      </w:r>
    </w:p>
    <w:p w14:paraId="5225136A">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（6）当甲方的现场配合条件不能满足监测要求时，乙方可向甲方书面提出推迟进场申请，经甲方书面同意后方可推迟进场。</w:t>
      </w:r>
    </w:p>
    <w:p w14:paraId="7366A9F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（7）乙方所投入人员应与投标文件保持一致，未经甲方同意不得更换。</w:t>
      </w:r>
    </w:p>
    <w:p w14:paraId="449253A0">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（8）乙方未经甲方同意擅自更换项目负责人（技术负责人）或监测项目主要人员的，除按照本合同条款第七条的有关约定承担违约责任外，还应向甲方支付合同价的10%作为专项的人员违约金。</w:t>
      </w:r>
    </w:p>
    <w:p w14:paraId="3C9EE948">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9）因特殊情况需要，乙方确需更换项目负责人（技术负责人）或监测项目主要人员的，乙方应至少提前7天以书面形式向监理单位提出意向（附前任和后任人员的详细履历资料），经总监理工程师签署意见后向甲方提出申请，经甲方同意后方可更换。乙方必须保证后任人员的资质、资历、业绩、实际工作能力不低于前任人员的素质。人员更换后，后任继续行使合同文件约定的前任的职权，履行前任的义务。</w:t>
      </w:r>
    </w:p>
    <w:p w14:paraId="376845E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10）项目负责人（技术负责人）或监测项目主要人员的实际工作能力和工作表现达不到招标文件明确要求或投标文件的承诺、或工作态度存在严重不足，不适应现场工作需要，甲方有权向乙方提出撤换。乙方可以提出整改意见；如甲方不予接受，或认为整改效果不明显的，则乙方必须在收到甲方撤换通知书之日起7天内无条件撤换，所调换来人员的资质、资历、学历、职称、业绩、实际工作能力不低于原投标书中所承诺人员的素质。</w:t>
      </w:r>
    </w:p>
    <w:p w14:paraId="364F559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（11）如甲方要求乙方撤换不合格人员，乙方拒不执行，则自撤换通知下达7天后，视为该岗位已空缺，乙方应按照本合同条款的有关约定承担违约责任。</w:t>
      </w:r>
    </w:p>
    <w:p w14:paraId="1C942A93">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（12）乙方应自行完成本合同约定项目的监测工作（除本合同另有约定外），不得转包和分包。</w:t>
      </w:r>
    </w:p>
    <w:p w14:paraId="7B320844">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（13）乙方应认真、勤奋地工作，按时提交各阶段的监测报告并对监测报告数据的真实性、可靠性负责。对监测报告中出现的遗漏或错误负责无偿修改或补充。</w:t>
      </w:r>
    </w:p>
    <w:p w14:paraId="497401C1">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（14）监测过程中，发现施工单位违反有关法律、法规、规范和工程建设强制性标准的行为，应及时向甲方报告。</w:t>
      </w:r>
    </w:p>
    <w:p w14:paraId="02741612">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（15）乙方对本方监测人员经常进行检查、指导、管理。</w:t>
      </w:r>
    </w:p>
    <w:p w14:paraId="418EFD43">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）乙方应当对受项目施工影响的地铁区间进行相应的监测服务，并应按甲方要求，按频次提供监测成果报告，以满足广州地铁集团地保办的需要。</w:t>
      </w:r>
    </w:p>
    <w:p w14:paraId="2596BE7F">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lang w:val="en-US" w:eastAsia="zh-CN"/>
        </w:rPr>
        <w:t>7</w:t>
      </w:r>
      <w:r>
        <w:rPr>
          <w:rFonts w:hint="eastAsia" w:asciiTheme="minorEastAsia" w:hAnsiTheme="minorEastAsia" w:eastAsiaTheme="minorEastAsia"/>
          <w:bCs/>
          <w:color w:val="auto"/>
          <w:sz w:val="24"/>
          <w:szCs w:val="24"/>
          <w:highlight w:val="none"/>
        </w:rPr>
        <w:t>）监测过程中，如因场地条件、设计方案的变更，需增减监测工程量或改变监测手段的，乙方均应及时向甲方报告，并在甲方批准后方可实施。</w:t>
      </w:r>
    </w:p>
    <w:p w14:paraId="2316C8BC">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lang w:val="en-US" w:eastAsia="zh-CN"/>
        </w:rPr>
        <w:t>8</w:t>
      </w:r>
      <w:r>
        <w:rPr>
          <w:rFonts w:hint="eastAsia" w:asciiTheme="minorEastAsia" w:hAnsiTheme="minorEastAsia" w:eastAsiaTheme="minorEastAsia"/>
          <w:bCs/>
          <w:color w:val="auto"/>
          <w:sz w:val="24"/>
          <w:szCs w:val="24"/>
          <w:highlight w:val="none"/>
        </w:rPr>
        <w:t>）监测后，监测数据报警或由于其他客观情况需要，甲方要求乙方进行复检时，乙方应负责进行监测，费用已包含在合同总价内。</w:t>
      </w:r>
    </w:p>
    <w:p w14:paraId="3C1F896C">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val="en-US" w:eastAsia="zh-CN"/>
        </w:rPr>
        <w:t>19</w:t>
      </w:r>
      <w:r>
        <w:rPr>
          <w:rFonts w:asciiTheme="minorEastAsia" w:hAnsiTheme="minorEastAsia" w:eastAsiaTheme="minorEastAsia"/>
          <w:bCs/>
          <w:color w:val="auto"/>
          <w:sz w:val="24"/>
          <w:szCs w:val="24"/>
          <w:highlight w:val="none"/>
        </w:rPr>
        <w:t>）对于甲方书面提交并要求</w:t>
      </w:r>
      <w:r>
        <w:rPr>
          <w:rFonts w:hint="eastAsia" w:asciiTheme="minorEastAsia" w:hAnsiTheme="minorEastAsia" w:eastAsiaTheme="minorEastAsia"/>
          <w:bCs/>
          <w:color w:val="auto"/>
          <w:sz w:val="24"/>
          <w:szCs w:val="24"/>
          <w:highlight w:val="none"/>
        </w:rPr>
        <w:t>作出决定的事宜，乙方应在收到之日起</w:t>
      </w:r>
      <w:r>
        <w:rPr>
          <w:rFonts w:asciiTheme="minorEastAsia" w:hAnsiTheme="minorEastAsia" w:eastAsiaTheme="minorEastAsia"/>
          <w:bCs/>
          <w:color w:val="auto"/>
          <w:sz w:val="24"/>
          <w:szCs w:val="24"/>
          <w:highlight w:val="none"/>
        </w:rPr>
        <w:t>3个工作日内</w:t>
      </w:r>
      <w:r>
        <w:rPr>
          <w:rFonts w:hint="eastAsia" w:asciiTheme="minorEastAsia" w:hAnsiTheme="minorEastAsia" w:eastAsiaTheme="minorEastAsia"/>
          <w:bCs/>
          <w:color w:val="auto"/>
          <w:sz w:val="24"/>
          <w:szCs w:val="24"/>
          <w:highlight w:val="none"/>
        </w:rPr>
        <w:t>作出书面答复；对影响施工现场进度的事项应在</w:t>
      </w:r>
      <w:r>
        <w:rPr>
          <w:rFonts w:asciiTheme="minorEastAsia" w:hAnsiTheme="minorEastAsia" w:eastAsiaTheme="minorEastAsia"/>
          <w:bCs/>
          <w:color w:val="auto"/>
          <w:sz w:val="24"/>
          <w:szCs w:val="24"/>
          <w:highlight w:val="none"/>
        </w:rPr>
        <w:t>24小时内</w:t>
      </w:r>
      <w:r>
        <w:rPr>
          <w:rFonts w:hint="eastAsia" w:asciiTheme="minorEastAsia" w:hAnsiTheme="minorEastAsia" w:eastAsiaTheme="minorEastAsia"/>
          <w:bCs/>
          <w:color w:val="auto"/>
          <w:sz w:val="24"/>
          <w:szCs w:val="24"/>
          <w:highlight w:val="none"/>
        </w:rPr>
        <w:t>作出具有明确处理意见的书面答复。</w:t>
      </w:r>
    </w:p>
    <w:p w14:paraId="20E7C5C2">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val="en-US" w:eastAsia="zh-CN"/>
        </w:rPr>
        <w:t>20</w:t>
      </w:r>
      <w:r>
        <w:rPr>
          <w:rFonts w:hint="eastAsia" w:asciiTheme="minorEastAsia" w:hAnsiTheme="minorEastAsia" w:eastAsiaTheme="minorEastAsia"/>
          <w:bCs/>
          <w:color w:val="auto"/>
          <w:sz w:val="24"/>
          <w:szCs w:val="24"/>
          <w:highlight w:val="none"/>
        </w:rPr>
        <w:t>）向甲方提供非驻场式的技术咨询、支持服务，包括参加本项目相关会议、安排技术人员到现场解决相关问题。</w:t>
      </w:r>
    </w:p>
    <w:p w14:paraId="769A6EE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1</w:t>
      </w:r>
      <w:r>
        <w:rPr>
          <w:rFonts w:hint="eastAsia" w:asciiTheme="minorEastAsia" w:hAnsiTheme="minorEastAsia" w:eastAsiaTheme="minorEastAsia"/>
          <w:bCs/>
          <w:color w:val="auto"/>
          <w:sz w:val="24"/>
          <w:szCs w:val="24"/>
          <w:highlight w:val="none"/>
        </w:rPr>
        <w:t>）应随时接受甲方、监理单位及广州地铁集团地保办的监督，为确保监测结果的正确，任何人不得干预监测结果。</w:t>
      </w:r>
    </w:p>
    <w:p w14:paraId="1D9E76EE">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）保证监测人员具备监测资格，保证持有的监测资质满足广州地铁集团地保办要求。</w:t>
      </w:r>
    </w:p>
    <w:p w14:paraId="6345539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val="en-US" w:eastAsia="zh-CN"/>
        </w:rPr>
        <w:t>23</w:t>
      </w:r>
      <w:r>
        <w:rPr>
          <w:rFonts w:hint="eastAsia" w:asciiTheme="minorEastAsia" w:hAnsiTheme="minorEastAsia" w:eastAsiaTheme="minorEastAsia"/>
          <w:bCs/>
          <w:color w:val="auto"/>
          <w:sz w:val="24"/>
          <w:szCs w:val="24"/>
          <w:highlight w:val="none"/>
        </w:rPr>
        <w:t>）提供监测仪器设备，负责仪器设备安装及场内中转、进退场。保证监测计量器具在计量检定有效周期内。</w:t>
      </w:r>
    </w:p>
    <w:p w14:paraId="75A58EF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）不向任何第三方泄露甲方的监测结果。</w:t>
      </w:r>
    </w:p>
    <w:p w14:paraId="6B6B81C2">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5</w:t>
      </w:r>
      <w:r>
        <w:rPr>
          <w:rFonts w:hint="eastAsia" w:asciiTheme="minorEastAsia" w:hAnsiTheme="minorEastAsia" w:eastAsiaTheme="minorEastAsia"/>
          <w:bCs/>
          <w:color w:val="auto"/>
          <w:sz w:val="24"/>
          <w:szCs w:val="24"/>
          <w:highlight w:val="none"/>
        </w:rPr>
        <w:t>）乙方应保证技术成果能够通过广州地铁集团地保办认可，确保不因监测工作影响本工程项目的建设进度和竣工验收。</w:t>
      </w:r>
    </w:p>
    <w:p w14:paraId="165DE771">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）保证监测工作的客观、独立、公正，不得与施工单位串通，将监测不合格的工程出具合格监测报告或修改监测结论，损害甲方的利益，否则应按照本合同的有关约定承担违约责任。</w:t>
      </w:r>
    </w:p>
    <w:p w14:paraId="2B84862F">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7</w:t>
      </w:r>
      <w:r>
        <w:rPr>
          <w:rFonts w:hint="eastAsia" w:asciiTheme="minorEastAsia" w:hAnsiTheme="minorEastAsia" w:eastAsiaTheme="minorEastAsia"/>
          <w:bCs/>
          <w:color w:val="auto"/>
          <w:sz w:val="24"/>
          <w:szCs w:val="24"/>
          <w:highlight w:val="none"/>
        </w:rPr>
        <w:t>）对监测过程中发现存在的质量问题，提出具体的处理意见和建议。</w:t>
      </w:r>
    </w:p>
    <w:p w14:paraId="161C9264">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lang w:val="en-US" w:eastAsia="zh-CN"/>
        </w:rPr>
        <w:t>8</w:t>
      </w:r>
      <w:r>
        <w:rPr>
          <w:rFonts w:hint="eastAsia" w:asciiTheme="minorEastAsia" w:hAnsiTheme="minorEastAsia" w:eastAsiaTheme="minorEastAsia"/>
          <w:bCs/>
          <w:color w:val="auto"/>
          <w:sz w:val="24"/>
          <w:szCs w:val="24"/>
          <w:highlight w:val="none"/>
        </w:rPr>
        <w:t>）对监测结果提出异议时，监测单位应无条件配合复检，由此产生的相关费用由责任方承担。</w:t>
      </w:r>
    </w:p>
    <w:p w14:paraId="6128CD95">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val="en-US" w:eastAsia="zh-CN"/>
        </w:rPr>
        <w:t>29</w:t>
      </w:r>
      <w:r>
        <w:rPr>
          <w:rFonts w:hint="eastAsia" w:asciiTheme="minorEastAsia" w:hAnsiTheme="minorEastAsia" w:eastAsiaTheme="minorEastAsia"/>
          <w:bCs/>
          <w:color w:val="auto"/>
          <w:sz w:val="24"/>
          <w:szCs w:val="24"/>
          <w:highlight w:val="none"/>
        </w:rPr>
        <w:t>）乙方应自行解决现场项目组的办公和生活用房、设施、配套水电，以及监测人员交通、通讯费</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住宿费、餐费及其他为完成项目所必需的开支等，由此发生的费用</w:t>
      </w:r>
      <w:r>
        <w:rPr>
          <w:rFonts w:hint="eastAsia" w:asciiTheme="minorEastAsia" w:hAnsiTheme="minorEastAsia" w:eastAsiaTheme="minorEastAsia"/>
          <w:bCs/>
          <w:color w:val="auto"/>
          <w:sz w:val="24"/>
          <w:szCs w:val="24"/>
          <w:highlight w:val="none"/>
          <w:lang w:val="en-US" w:eastAsia="zh-CN"/>
        </w:rPr>
        <w:t>均</w:t>
      </w:r>
      <w:r>
        <w:rPr>
          <w:rFonts w:hint="eastAsia" w:asciiTheme="minorEastAsia" w:hAnsiTheme="minorEastAsia" w:eastAsiaTheme="minorEastAsia"/>
          <w:bCs/>
          <w:color w:val="auto"/>
          <w:sz w:val="24"/>
          <w:szCs w:val="24"/>
          <w:highlight w:val="none"/>
        </w:rPr>
        <w:t>已包含在</w:t>
      </w:r>
      <w:r>
        <w:rPr>
          <w:rFonts w:hint="eastAsia" w:asciiTheme="minorEastAsia" w:hAnsiTheme="minorEastAsia" w:eastAsiaTheme="minorEastAsia"/>
          <w:bCs/>
          <w:color w:val="auto"/>
          <w:sz w:val="24"/>
          <w:szCs w:val="24"/>
          <w:highlight w:val="none"/>
          <w:lang w:val="en-US" w:eastAsia="zh-CN"/>
        </w:rPr>
        <w:t>合同价中</w:t>
      </w:r>
      <w:r>
        <w:rPr>
          <w:rFonts w:hint="eastAsia" w:asciiTheme="minorEastAsia" w:hAnsiTheme="minorEastAsia" w:eastAsiaTheme="minorEastAsia"/>
          <w:bCs/>
          <w:color w:val="auto"/>
          <w:sz w:val="24"/>
          <w:szCs w:val="24"/>
          <w:highlight w:val="none"/>
        </w:rPr>
        <w:t>，不再另行支付。</w:t>
      </w:r>
    </w:p>
    <w:p w14:paraId="7563C35D">
      <w:pPr>
        <w:spacing w:line="500" w:lineRule="exact"/>
        <w:ind w:firstLine="472" w:firstLineChars="196"/>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七、</w:t>
      </w:r>
      <w:bookmarkEnd w:id="5"/>
      <w:r>
        <w:rPr>
          <w:rFonts w:hint="eastAsia" w:asciiTheme="minorEastAsia" w:hAnsiTheme="minorEastAsia" w:eastAsiaTheme="minorEastAsia"/>
          <w:b/>
          <w:bCs/>
          <w:color w:val="auto"/>
          <w:sz w:val="24"/>
          <w:highlight w:val="none"/>
        </w:rPr>
        <w:t>违约责任及争议的解决</w:t>
      </w:r>
    </w:p>
    <w:p w14:paraId="0F4AB8C1">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甲方委托现场监理单位在约定的期限内对乙方上报给甲方已经完成的工作量进行确认，若超过约定期限十五个工作日仍不回复或者确认的，视为对乙方完成工作无异议，乙方将相关情况书面通知甲方并征得甲方同意后，可据此结算。</w:t>
      </w:r>
    </w:p>
    <w:p w14:paraId="409E823B">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乙方应严格按照设计要求及现场监理人员要求，及时开展监测工作。若乙方在合同签订后，经甲方催促不按时开展工作或进场后三次未能及时提交满足合同约定标准的监测报告，甲方有权解除合同，乙方应全额返还受影响段甲方已付款项并赔偿甲方相关损失。</w:t>
      </w:r>
    </w:p>
    <w:p w14:paraId="1BF6DB2A">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乙方未积极主动协调各相关单位按时取得现场监测所需的作业条件的（包括但不限于机械进场、作业面、机械、场地等），且在甲方或监理人发出整改通知后乙方未按要求整改的，甲方可以安排其他单位予以协助，相关费用由乙方承担。乙方累计三次未按整改通知要求整改的，乙方须按合同价的10%承担违约责任。</w:t>
      </w:r>
    </w:p>
    <w:p w14:paraId="6842A9E8">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.甲方要求乙方必须参加的会议，乙方必须按照甲方要求的人员到会，未经甲方同意</w:t>
      </w:r>
      <w:r>
        <w:rPr>
          <w:rFonts w:hint="eastAsia" w:asciiTheme="minorEastAsia" w:hAnsiTheme="minorEastAsia" w:eastAsiaTheme="minorEastAsia"/>
          <w:bCs/>
          <w:color w:val="auto"/>
          <w:sz w:val="24"/>
          <w:szCs w:val="24"/>
          <w:highlight w:val="none"/>
        </w:rPr>
        <w:t>不到会者，累计超过</w:t>
      </w:r>
      <w:r>
        <w:rPr>
          <w:rFonts w:asciiTheme="minorEastAsia" w:hAnsiTheme="minorEastAsia" w:eastAsiaTheme="minorEastAsia"/>
          <w:bCs/>
          <w:color w:val="auto"/>
          <w:sz w:val="24"/>
          <w:szCs w:val="24"/>
          <w:highlight w:val="none"/>
        </w:rPr>
        <w:t>2次（注：参加会议次数以会议纪要签到为准），甲方有权按1000元/每</w:t>
      </w:r>
      <w:r>
        <w:rPr>
          <w:rFonts w:hint="eastAsia" w:asciiTheme="minorEastAsia" w:hAnsiTheme="minorEastAsia" w:eastAsiaTheme="minorEastAsia"/>
          <w:bCs/>
          <w:color w:val="auto"/>
          <w:sz w:val="24"/>
          <w:szCs w:val="24"/>
          <w:highlight w:val="none"/>
        </w:rPr>
        <w:t>人次对乙方进行追加处罚。</w:t>
      </w:r>
    </w:p>
    <w:p w14:paraId="607D0657">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如乙方提交的监测报告不能满足工程建设需要的，乙方应在甲方约定时间内自负费用继续完善，直到满足甲方需要时为止。如经甲方书面催告后仍未能在合理期限内完成的，甲方有权不予支付该不符合标准的服务成果所对应的服务费，直至乙方提供符合本合同约定标准的服务成果。</w:t>
      </w:r>
    </w:p>
    <w:p w14:paraId="5BBDEC88">
      <w:pPr>
        <w:pStyle w:val="12"/>
        <w:spacing w:before="156" w:after="156"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因乙方原因导致未能按照合同约定时间按时提交成果的，每迟延一日，向甲方支付所延误工作应收款项万分之三的违约金，逾期超过30日，甲方有权解除本合同，如因此造成甲方的损失，乙方应承担赔偿责任。非乙方原因造成耽误的，工期可以顺延，顺延期限由甲乙双方另行协商确定。甲方可直接在未付款中扣除违约金后再向乙方支付剩余款项。</w:t>
      </w:r>
    </w:p>
    <w:p w14:paraId="37692860">
      <w:pPr>
        <w:pStyle w:val="12"/>
        <w:spacing w:before="156" w:after="156"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7.</w:t>
      </w:r>
      <w:r>
        <w:rPr>
          <w:rFonts w:hint="eastAsia" w:asciiTheme="minorEastAsia" w:hAnsiTheme="minorEastAsia" w:eastAsiaTheme="minorEastAsia"/>
          <w:bCs/>
          <w:color w:val="auto"/>
          <w:sz w:val="24"/>
          <w:szCs w:val="24"/>
          <w:highlight w:val="none"/>
        </w:rPr>
        <w:t>甲方单方提出解除本合同，或因甲方原因导致本合同解除的，甲方应向乙方支付合同服务费总金额20%的违约金。合同解除后，甲方应向乙方支付到合同解除之日乙方已完成的服务工作所对应的服务费等费用。</w:t>
      </w:r>
    </w:p>
    <w:p w14:paraId="583EAC83">
      <w:pPr>
        <w:pStyle w:val="12"/>
        <w:spacing w:before="156" w:after="156"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8</w:t>
      </w:r>
      <w:r>
        <w:rPr>
          <w:rFonts w:hint="eastAsia" w:asciiTheme="minorEastAsia" w:hAnsiTheme="minorEastAsia" w:eastAsiaTheme="minorEastAsia"/>
          <w:bCs/>
          <w:color w:val="auto"/>
          <w:sz w:val="24"/>
          <w:szCs w:val="24"/>
          <w:highlight w:val="none"/>
        </w:rPr>
        <w:t>.乙方单方提出解除本合同，或因乙方原因导致本合同解除的，乙方应向甲方支付合同服务费总金额20%的违约金，并赔偿甲方因此造成的损失。合同解除后，甲方应向乙方支付到合同解除之日乙方已完成的服务工作所对应的服务费等费用。</w:t>
      </w:r>
    </w:p>
    <w:p w14:paraId="776CFBEC">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9</w:t>
      </w:r>
      <w:r>
        <w:rPr>
          <w:rFonts w:hint="eastAsia" w:asciiTheme="minorEastAsia" w:hAnsiTheme="minorEastAsia" w:eastAsiaTheme="minorEastAsia"/>
          <w:bCs/>
          <w:color w:val="auto"/>
          <w:sz w:val="24"/>
          <w:szCs w:val="24"/>
          <w:highlight w:val="none"/>
        </w:rPr>
        <w:t>.甲方未按照合同约定向乙方支付合同款，乙方有权暂停监测工作。逾期超过30天的，乙方有权单方面解除合同，由此造成的全部损失由甲方承担。</w:t>
      </w:r>
    </w:p>
    <w:p w14:paraId="2B0980E0">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10</w:t>
      </w:r>
      <w:r>
        <w:rPr>
          <w:rFonts w:hint="eastAsia" w:asciiTheme="minorEastAsia" w:hAnsiTheme="minorEastAsia" w:eastAsiaTheme="minorEastAsia"/>
          <w:bCs/>
          <w:color w:val="auto"/>
          <w:sz w:val="24"/>
          <w:szCs w:val="24"/>
          <w:highlight w:val="none"/>
        </w:rPr>
        <w:t>.任何一方向对方提出经济赔偿要求的，都应在赔偿事件发生后三十天内以书面形式提出。</w:t>
      </w:r>
    </w:p>
    <w:p w14:paraId="6EA105E8">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11.乙方应当保证乙方人员的工资、福利等。合同履行过程中发生的工伤事故、劳动纠纷、安全事故、财产损害等法律纠纷均由乙方负责解决、承担全部费用和责任，若造成甲方或其他第三方损失的，乙方承担全部赔偿责任。</w:t>
      </w:r>
    </w:p>
    <w:p w14:paraId="6D77F24D">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12.乙方应保证其向甲方提交的成果文件不侵犯任何第三方的合法权益，并确保甲方不会因乙方提供的文件和资料成果而受到第三方关于侵犯其合法权益的指控，或因此被责令停止使用、追偿或要求赔偿损失。否则，甲方有权要求乙方承担赔偿责任，因此给甲方造成损失的还应赔偿甲方全部损失。</w:t>
      </w:r>
    </w:p>
    <w:p w14:paraId="190D2819">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13.任何一方违约，守约方除可要求对方承担本</w:t>
      </w:r>
      <w:r>
        <w:rPr>
          <w:rFonts w:hint="eastAsia" w:asciiTheme="minorEastAsia" w:hAnsiTheme="minorEastAsia" w:eastAsiaTheme="minorEastAsia"/>
          <w:bCs/>
          <w:color w:val="auto"/>
          <w:sz w:val="24"/>
          <w:szCs w:val="24"/>
          <w:highlight w:val="none"/>
          <w:lang w:val="en-US" w:eastAsia="zh-CN"/>
        </w:rPr>
        <w:t>合同</w:t>
      </w:r>
      <w:r>
        <w:rPr>
          <w:rFonts w:hint="eastAsia" w:asciiTheme="minorEastAsia" w:hAnsiTheme="minorEastAsia" w:eastAsiaTheme="minorEastAsia"/>
          <w:bCs/>
          <w:color w:val="auto"/>
          <w:sz w:val="24"/>
          <w:szCs w:val="24"/>
          <w:highlight w:val="none"/>
        </w:rPr>
        <w:t>约定的违约责任外，还可要求违约方承担守约方因追究违约责任所支付的一切费用，包括但不限于诉讼费、律师费、鉴定（或审计）费、财产保全费、财产保</w:t>
      </w:r>
      <w:bookmarkStart w:id="15" w:name="_GoBack"/>
      <w:bookmarkEnd w:id="15"/>
      <w:r>
        <w:rPr>
          <w:rFonts w:hint="eastAsia" w:asciiTheme="minorEastAsia" w:hAnsiTheme="minorEastAsia" w:eastAsiaTheme="minorEastAsia"/>
          <w:bCs/>
          <w:color w:val="auto"/>
          <w:sz w:val="24"/>
          <w:szCs w:val="24"/>
          <w:highlight w:val="none"/>
        </w:rPr>
        <w:t>全担保费、执行费等。</w:t>
      </w:r>
    </w:p>
    <w:p w14:paraId="60928828">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14.本项目因非甲方过错（包括但不限于政府审批政策调整、规划变更、不可抗力等客观因素）导致项目未获批复或无法继续实施的，甲方有权书面通知乙方终止本合同，合同自书面通知送达之日起终止，未履行部分不再履行</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lang w:val="en-US" w:eastAsia="zh-CN"/>
        </w:rPr>
        <w:t>双方互不追究违约责任。</w:t>
      </w:r>
    </w:p>
    <w:p w14:paraId="4F8BF8BC">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合同终止后，双方应本着公平合理原则，根据乙方实际完成且符合验收标准的工作量，参照合同约定单价或市场公允价格协商确定补偿费用。</w:t>
      </w:r>
    </w:p>
    <w:p w14:paraId="2A2E8CA8">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lang w:val="en-US" w:eastAsia="zh-CN"/>
        </w:rPr>
        <w:t>5</w:t>
      </w:r>
      <w:r>
        <w:rPr>
          <w:rFonts w:hint="eastAsia" w:asciiTheme="minorEastAsia" w:hAnsiTheme="minorEastAsia" w:eastAsiaTheme="minorEastAsia"/>
          <w:bCs/>
          <w:color w:val="auto"/>
          <w:sz w:val="24"/>
          <w:szCs w:val="24"/>
          <w:highlight w:val="none"/>
        </w:rPr>
        <w:t>.合同履行过程中出现分歧，双方应遵循平等互利和诚实信用原则，通过友好协商解决。若协商不成，可向项目所在地有管辖权的人民法院提起诉讼。</w:t>
      </w:r>
    </w:p>
    <w:p w14:paraId="158236D6">
      <w:pPr>
        <w:ind w:firstLine="472" w:firstLineChars="196"/>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rPr>
        <w:t>八、不可抗力</w:t>
      </w:r>
    </w:p>
    <w:p w14:paraId="045757E2">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1.本合同所称"不可抗力"是指受影响一方不能合理控制的，无法预料或即使可预料到也不可避免且无法克服且导致合同无法按约定履行，并于本合同签订日之后出现的事件。</w:t>
      </w:r>
    </w:p>
    <w:p w14:paraId="76ABDE2A">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不可抗力事件发生时或其影响终止或消除后，双方应立即通过友好协商决定如何执行本合同。且遭遇不可抗力事故的一方应采取一切必要措施减少损失，否则应就扩大的损失承担责任，并应在不可抗力发生后15日内，提供事故发生及因此影响到遭遇事故的一方不能履行或需要延期履行、部分履行本合同有关义务的程度的有效证明文件。如因不可抗力导致合同无法履行的，甲乙双方均不承担违约责任。合约双方按照不可抗力事件对本合同履行的影响程度，协商决定是否解除本合同、或者部分免除受影响一方在本合同中的责任、或者延期履行本合同。</w:t>
      </w:r>
    </w:p>
    <w:p w14:paraId="56D6DF6C">
      <w:pPr>
        <w:spacing w:line="500" w:lineRule="exact"/>
        <w:ind w:firstLine="472" w:firstLineChars="196"/>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highlight w:val="none"/>
        </w:rPr>
        <w:t>其他</w:t>
      </w:r>
    </w:p>
    <w:p w14:paraId="0C461CA3">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1．没有甲方的书面同意，乙方不得将合同约定的义务、责任和权利予以转让。否则，甲方有权解除本合同，并要求乙方承担本合同总额20%的违约金。</w:t>
      </w:r>
    </w:p>
    <w:p w14:paraId="78C549FD">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2．为确保监测结果的公正性，任何一方不得干预监测结果。</w:t>
      </w:r>
    </w:p>
    <w:p w14:paraId="7D848CEE">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3</w:t>
      </w:r>
      <w:r>
        <w:rPr>
          <w:rFonts w:hint="eastAsia" w:asciiTheme="minorEastAsia" w:hAnsiTheme="minorEastAsia" w:eastAsiaTheme="minorEastAsia"/>
          <w:bCs/>
          <w:color w:val="auto"/>
          <w:sz w:val="24"/>
          <w:szCs w:val="24"/>
          <w:highlight w:val="none"/>
        </w:rPr>
        <w:t>．乙方在收取服务费用时应向付款人提供真实、合法有效的</w:t>
      </w:r>
      <w:r>
        <w:rPr>
          <w:rFonts w:hint="eastAsia" w:asciiTheme="minorEastAsia" w:hAnsiTheme="minorEastAsia" w:eastAsiaTheme="minorEastAsia"/>
          <w:bCs/>
          <w:color w:val="auto"/>
          <w:sz w:val="24"/>
          <w:szCs w:val="24"/>
          <w:highlight w:val="none"/>
          <w:lang w:val="en-US" w:eastAsia="zh-CN"/>
        </w:rPr>
        <w:t>增值税专用发票</w:t>
      </w:r>
      <w:r>
        <w:rPr>
          <w:rFonts w:hint="eastAsia" w:asciiTheme="minorEastAsia" w:hAnsiTheme="minorEastAsia" w:eastAsiaTheme="minorEastAsia"/>
          <w:bCs/>
          <w:color w:val="auto"/>
          <w:sz w:val="24"/>
          <w:szCs w:val="24"/>
          <w:highlight w:val="none"/>
        </w:rPr>
        <w:t>。乙方收取的费用已包括各项税费。</w:t>
      </w:r>
    </w:p>
    <w:p w14:paraId="611F7B7F">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．合同自双方法定代表人或其委托代理人签字并加盖单位公章后生效，如乙方在合同双方签字盖章前已按甲方要求进场作业的，则合同生效期为乙方进场作业之日。</w:t>
      </w:r>
    </w:p>
    <w:p w14:paraId="0FD1ACDA">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5</w:t>
      </w:r>
      <w:r>
        <w:rPr>
          <w:rFonts w:hint="eastAsia" w:asciiTheme="minorEastAsia" w:hAnsiTheme="minorEastAsia" w:eastAsiaTheme="minorEastAsia"/>
          <w:bCs/>
          <w:color w:val="auto"/>
          <w:sz w:val="24"/>
          <w:szCs w:val="24"/>
          <w:highlight w:val="none"/>
        </w:rPr>
        <w:t>．本合同一式</w:t>
      </w:r>
      <w:r>
        <w:rPr>
          <w:rFonts w:hint="eastAsia" w:asciiTheme="minorEastAsia" w:hAnsiTheme="minorEastAsia" w:eastAsiaTheme="minorEastAsia"/>
          <w:bCs/>
          <w:color w:val="auto"/>
          <w:sz w:val="24"/>
          <w:szCs w:val="24"/>
          <w:highlight w:val="none"/>
          <w:u w:val="single"/>
        </w:rPr>
        <w:t>捌</w:t>
      </w:r>
      <w:r>
        <w:rPr>
          <w:rFonts w:hint="eastAsia" w:asciiTheme="minorEastAsia" w:hAnsiTheme="minorEastAsia" w:eastAsiaTheme="minorEastAsia"/>
          <w:bCs/>
          <w:color w:val="auto"/>
          <w:sz w:val="24"/>
          <w:szCs w:val="24"/>
          <w:highlight w:val="none"/>
        </w:rPr>
        <w:t>份，甲方执</w:t>
      </w:r>
      <w:r>
        <w:rPr>
          <w:rFonts w:hint="eastAsia" w:asciiTheme="minorEastAsia" w:hAnsiTheme="minorEastAsia" w:eastAsiaTheme="minorEastAsia"/>
          <w:bCs/>
          <w:color w:val="auto"/>
          <w:sz w:val="24"/>
          <w:szCs w:val="24"/>
          <w:highlight w:val="none"/>
          <w:u w:val="single"/>
        </w:rPr>
        <w:t>陆</w:t>
      </w:r>
      <w:r>
        <w:rPr>
          <w:rFonts w:hint="eastAsia" w:asciiTheme="minorEastAsia" w:hAnsiTheme="minorEastAsia" w:eastAsiaTheme="minorEastAsia"/>
          <w:color w:val="auto"/>
          <w:sz w:val="24"/>
          <w:szCs w:val="24"/>
          <w:highlight w:val="none"/>
        </w:rPr>
        <w:t>份，乙方</w:t>
      </w:r>
      <w:r>
        <w:rPr>
          <w:rFonts w:hint="eastAsia" w:asciiTheme="minorEastAsia" w:hAnsiTheme="minorEastAsia" w:eastAsiaTheme="minorEastAsia"/>
          <w:bCs/>
          <w:color w:val="auto"/>
          <w:sz w:val="24"/>
          <w:szCs w:val="24"/>
          <w:highlight w:val="none"/>
        </w:rPr>
        <w:t>执</w:t>
      </w:r>
      <w:r>
        <w:rPr>
          <w:rFonts w:hint="eastAsia" w:asciiTheme="minorEastAsia" w:hAnsiTheme="minorEastAsia" w:eastAsiaTheme="minorEastAsia"/>
          <w:bCs/>
          <w:color w:val="auto"/>
          <w:sz w:val="24"/>
          <w:szCs w:val="24"/>
          <w:highlight w:val="none"/>
          <w:u w:val="single"/>
        </w:rPr>
        <w:t>贰</w:t>
      </w:r>
      <w:r>
        <w:rPr>
          <w:rFonts w:hint="eastAsia" w:asciiTheme="minorEastAsia" w:hAnsiTheme="minorEastAsia" w:eastAsiaTheme="minorEastAsia"/>
          <w:bCs/>
          <w:color w:val="auto"/>
          <w:sz w:val="24"/>
          <w:szCs w:val="24"/>
          <w:highlight w:val="none"/>
        </w:rPr>
        <w:t>份，具同等法律效力。</w:t>
      </w:r>
    </w:p>
    <w:p w14:paraId="79E0E861">
      <w:pPr>
        <w:pStyle w:val="12"/>
        <w:spacing w:line="500" w:lineRule="exact"/>
        <w:ind w:firstLine="48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．合同附件作为本合同的一部分，与合同</w:t>
      </w:r>
      <w:r>
        <w:rPr>
          <w:rFonts w:hint="eastAsia" w:asciiTheme="minorEastAsia" w:hAnsiTheme="minorEastAsia" w:eastAsiaTheme="minorEastAsia"/>
          <w:bCs/>
          <w:color w:val="auto"/>
          <w:sz w:val="24"/>
          <w:szCs w:val="24"/>
          <w:highlight w:val="none"/>
          <w:lang w:val="en-US" w:eastAsia="zh-CN"/>
        </w:rPr>
        <w:t>正文</w:t>
      </w:r>
      <w:r>
        <w:rPr>
          <w:rFonts w:hint="eastAsia" w:asciiTheme="minorEastAsia" w:hAnsiTheme="minorEastAsia" w:eastAsiaTheme="minorEastAsia"/>
          <w:bCs/>
          <w:color w:val="auto"/>
          <w:sz w:val="24"/>
          <w:szCs w:val="24"/>
          <w:highlight w:val="none"/>
        </w:rPr>
        <w:t>具有同等法律效力。</w:t>
      </w:r>
    </w:p>
    <w:p w14:paraId="443FD27D">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7</w:t>
      </w:r>
      <w:r>
        <w:rPr>
          <w:rFonts w:hint="eastAsia" w:asciiTheme="minorEastAsia" w:hAnsiTheme="minorEastAsia" w:eastAsiaTheme="minorEastAsia"/>
          <w:bCs/>
          <w:color w:val="auto"/>
          <w:sz w:val="24"/>
          <w:szCs w:val="24"/>
          <w:highlight w:val="none"/>
        </w:rPr>
        <w:t>．本合同及附件有关条款如与政府、建设行政主管部门的有关规定不符合，应当按其有关规定执行。</w:t>
      </w:r>
    </w:p>
    <w:p w14:paraId="1AD21E2A">
      <w:pPr>
        <w:pStyle w:val="12"/>
        <w:spacing w:line="500" w:lineRule="exact"/>
        <w:ind w:firstLine="48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8.</w:t>
      </w:r>
      <w:r>
        <w:rPr>
          <w:rFonts w:hint="eastAsia" w:asciiTheme="minorEastAsia" w:hAnsiTheme="minorEastAsia" w:eastAsiaTheme="minorEastAsia"/>
          <w:bCs/>
          <w:color w:val="auto"/>
          <w:sz w:val="24"/>
          <w:szCs w:val="24"/>
          <w:highlight w:val="none"/>
        </w:rPr>
        <w:t>本合同如有未尽事宜，双方另行协商达成补充协议。</w:t>
      </w:r>
    </w:p>
    <w:p w14:paraId="5F7AEBFC">
      <w:pPr>
        <w:widowControl/>
        <w:spacing w:line="500" w:lineRule="exact"/>
        <w:jc w:val="left"/>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t>（以下无正文）</w:t>
      </w:r>
    </w:p>
    <w:p w14:paraId="22C72CCC">
      <w:pPr>
        <w:pStyle w:val="9"/>
        <w:rPr>
          <w:rStyle w:val="24"/>
          <w:rFonts w:asciiTheme="minorEastAsia" w:hAnsiTheme="minorEastAsia" w:eastAsiaTheme="minorEastAsia"/>
          <w:b w:val="0"/>
          <w:color w:val="auto"/>
          <w:sz w:val="24"/>
          <w:szCs w:val="24"/>
          <w:highlight w:val="none"/>
        </w:rPr>
      </w:pPr>
    </w:p>
    <w:p w14:paraId="0D7B504C">
      <w:pPr>
        <w:widowControl/>
        <w:spacing w:line="500" w:lineRule="exact"/>
        <w:jc w:val="left"/>
        <w:rPr>
          <w:rFonts w:asciiTheme="minorEastAsia" w:hAnsiTheme="minorEastAsia" w:eastAsiaTheme="minorEastAsia"/>
          <w:bCs/>
          <w:color w:val="auto"/>
          <w:sz w:val="24"/>
          <w:highlight w:val="none"/>
        </w:rPr>
      </w:pPr>
      <w:r>
        <w:rPr>
          <w:rStyle w:val="24"/>
          <w:rFonts w:hint="eastAsia" w:asciiTheme="minorEastAsia" w:hAnsiTheme="minorEastAsia" w:eastAsiaTheme="minorEastAsia"/>
          <w:b w:val="0"/>
          <w:color w:val="auto"/>
          <w:sz w:val="24"/>
          <w:szCs w:val="24"/>
          <w:highlight w:val="none"/>
        </w:rPr>
        <w:t>附件：1</w:t>
      </w:r>
      <w:r>
        <w:rPr>
          <w:rStyle w:val="24"/>
          <w:rFonts w:asciiTheme="minorEastAsia" w:hAnsiTheme="minorEastAsia" w:eastAsiaTheme="minorEastAsia"/>
          <w:b w:val="0"/>
          <w:color w:val="auto"/>
          <w:sz w:val="24"/>
          <w:szCs w:val="24"/>
          <w:highlight w:val="none"/>
        </w:rPr>
        <w:t>.</w:t>
      </w:r>
      <w:r>
        <w:rPr>
          <w:rStyle w:val="24"/>
          <w:rFonts w:hint="eastAsia" w:asciiTheme="minorEastAsia" w:hAnsiTheme="minorEastAsia" w:eastAsiaTheme="minorEastAsia"/>
          <w:b w:val="0"/>
          <w:color w:val="auto"/>
          <w:sz w:val="24"/>
          <w:szCs w:val="24"/>
          <w:highlight w:val="none"/>
        </w:rPr>
        <w:t>中标通知书</w:t>
      </w:r>
    </w:p>
    <w:p w14:paraId="0BE8EF8B">
      <w:pPr>
        <w:widowControl/>
        <w:spacing w:line="500" w:lineRule="exact"/>
        <w:ind w:firstLine="720" w:firstLineChars="300"/>
        <w:jc w:val="left"/>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t>2</w:t>
      </w:r>
      <w:r>
        <w:rPr>
          <w:rStyle w:val="24"/>
          <w:rFonts w:asciiTheme="minorEastAsia" w:hAnsiTheme="minorEastAsia" w:eastAsiaTheme="minorEastAsia"/>
          <w:b w:val="0"/>
          <w:color w:val="auto"/>
          <w:sz w:val="24"/>
          <w:szCs w:val="24"/>
          <w:highlight w:val="none"/>
        </w:rPr>
        <w:t>.</w:t>
      </w:r>
      <w:r>
        <w:rPr>
          <w:rStyle w:val="24"/>
          <w:rFonts w:hint="eastAsia" w:asciiTheme="minorEastAsia" w:hAnsiTheme="minorEastAsia" w:eastAsiaTheme="minorEastAsia"/>
          <w:b w:val="0"/>
          <w:color w:val="auto"/>
          <w:sz w:val="24"/>
          <w:szCs w:val="24"/>
          <w:highlight w:val="none"/>
        </w:rPr>
        <w:t>保密协议</w:t>
      </w:r>
    </w:p>
    <w:p w14:paraId="712617D6">
      <w:pPr>
        <w:widowControl/>
        <w:spacing w:line="500" w:lineRule="exact"/>
        <w:ind w:firstLine="720" w:firstLineChars="300"/>
        <w:jc w:val="left"/>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t>3</w:t>
      </w:r>
      <w:r>
        <w:rPr>
          <w:rStyle w:val="24"/>
          <w:rFonts w:asciiTheme="minorEastAsia" w:hAnsiTheme="minorEastAsia" w:eastAsiaTheme="minorEastAsia"/>
          <w:b w:val="0"/>
          <w:color w:val="auto"/>
          <w:sz w:val="24"/>
          <w:szCs w:val="24"/>
          <w:highlight w:val="none"/>
        </w:rPr>
        <w:t>.</w:t>
      </w:r>
      <w:r>
        <w:rPr>
          <w:rStyle w:val="24"/>
          <w:rFonts w:hint="eastAsia" w:asciiTheme="minorEastAsia" w:hAnsiTheme="minorEastAsia" w:eastAsiaTheme="minorEastAsia"/>
          <w:b w:val="0"/>
          <w:color w:val="auto"/>
          <w:sz w:val="24"/>
          <w:szCs w:val="24"/>
          <w:highlight w:val="none"/>
        </w:rPr>
        <w:t>廉洁协议</w:t>
      </w:r>
    </w:p>
    <w:p w14:paraId="040EB02A">
      <w:pPr>
        <w:widowControl/>
        <w:spacing w:line="500" w:lineRule="exact"/>
        <w:ind w:firstLine="720" w:firstLineChars="300"/>
        <w:jc w:val="left"/>
        <w:rPr>
          <w:rStyle w:val="24"/>
          <w:rFonts w:hint="default" w:asciiTheme="minorEastAsia" w:hAnsiTheme="minorEastAsia" w:eastAsiaTheme="minorEastAsia"/>
          <w:b w:val="0"/>
          <w:color w:val="auto"/>
          <w:sz w:val="24"/>
          <w:szCs w:val="24"/>
          <w:highlight w:val="none"/>
          <w:lang w:val="en-US" w:eastAsia="zh-CN"/>
        </w:rPr>
      </w:pPr>
      <w:r>
        <w:rPr>
          <w:rStyle w:val="24"/>
          <w:rFonts w:hint="eastAsia" w:asciiTheme="minorEastAsia" w:hAnsiTheme="minorEastAsia" w:eastAsiaTheme="minorEastAsia"/>
          <w:b w:val="0"/>
          <w:color w:val="auto"/>
          <w:sz w:val="24"/>
          <w:szCs w:val="24"/>
          <w:highlight w:val="none"/>
        </w:rPr>
        <w:t>4</w:t>
      </w:r>
      <w:r>
        <w:rPr>
          <w:rStyle w:val="24"/>
          <w:rFonts w:asciiTheme="minorEastAsia" w:hAnsiTheme="minorEastAsia" w:eastAsiaTheme="minorEastAsia"/>
          <w:b w:val="0"/>
          <w:color w:val="auto"/>
          <w:sz w:val="24"/>
          <w:szCs w:val="24"/>
          <w:highlight w:val="none"/>
        </w:rPr>
        <w:t>.</w:t>
      </w:r>
      <w:r>
        <w:rPr>
          <w:rStyle w:val="24"/>
          <w:rFonts w:hint="eastAsia" w:asciiTheme="minorEastAsia" w:hAnsiTheme="minorEastAsia" w:eastAsiaTheme="minorEastAsia"/>
          <w:b w:val="0"/>
          <w:color w:val="auto"/>
          <w:sz w:val="24"/>
          <w:szCs w:val="24"/>
          <w:highlight w:val="none"/>
          <w:lang w:val="en-US" w:eastAsia="zh-CN"/>
        </w:rPr>
        <w:t>安全生产协议</w:t>
      </w:r>
    </w:p>
    <w:p w14:paraId="322186CB">
      <w:pPr>
        <w:widowControl/>
        <w:spacing w:line="500" w:lineRule="exact"/>
        <w:ind w:firstLine="720" w:firstLineChars="300"/>
        <w:jc w:val="left"/>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t>5.</w:t>
      </w:r>
      <w:r>
        <w:rPr>
          <w:rStyle w:val="24"/>
          <w:rFonts w:cs="Times New Roman" w:asciiTheme="minorEastAsia" w:hAnsiTheme="minorEastAsia" w:eastAsiaTheme="minorEastAsia"/>
          <w:b w:val="0"/>
          <w:color w:val="auto"/>
          <w:sz w:val="24"/>
          <w:szCs w:val="24"/>
          <w:highlight w:val="none"/>
        </w:rPr>
        <w:t>拟投入本项目</w:t>
      </w:r>
      <w:r>
        <w:rPr>
          <w:rStyle w:val="24"/>
          <w:rFonts w:hint="eastAsia" w:asciiTheme="minorEastAsia" w:hAnsiTheme="minorEastAsia" w:eastAsiaTheme="minorEastAsia"/>
          <w:b w:val="0"/>
          <w:color w:val="auto"/>
          <w:sz w:val="24"/>
          <w:szCs w:val="24"/>
          <w:highlight w:val="none"/>
        </w:rPr>
        <w:t>人员一览表</w:t>
      </w:r>
    </w:p>
    <w:p w14:paraId="4FDABF42">
      <w:pPr>
        <w:widowControl/>
        <w:spacing w:line="500" w:lineRule="exact"/>
        <w:ind w:firstLine="720" w:firstLineChars="300"/>
        <w:jc w:val="left"/>
        <w:rPr>
          <w:rFonts w:hint="eastAsia" w:asciiTheme="minorEastAsia" w:hAnsiTheme="minorEastAsia" w:eastAsiaTheme="minorEastAsia"/>
          <w:bCs/>
          <w:color w:val="auto"/>
          <w:sz w:val="24"/>
          <w:highlight w:val="none"/>
          <w:lang w:val="en-US" w:eastAsia="zh-CN"/>
        </w:rPr>
      </w:pPr>
      <w:r>
        <w:rPr>
          <w:rStyle w:val="24"/>
          <w:rFonts w:hint="eastAsia" w:asciiTheme="minorEastAsia" w:hAnsiTheme="minorEastAsia" w:eastAsiaTheme="minorEastAsia"/>
          <w:b w:val="0"/>
          <w:color w:val="auto"/>
          <w:sz w:val="24"/>
          <w:szCs w:val="24"/>
          <w:highlight w:val="none"/>
        </w:rPr>
        <w:t>6</w:t>
      </w:r>
      <w:r>
        <w:rPr>
          <w:rStyle w:val="24"/>
          <w:rFonts w:asciiTheme="minorEastAsia" w:hAnsiTheme="minorEastAsia" w:eastAsiaTheme="minorEastAsia"/>
          <w:b w:val="0"/>
          <w:color w:val="auto"/>
          <w:sz w:val="24"/>
          <w:szCs w:val="24"/>
          <w:highlight w:val="none"/>
        </w:rPr>
        <w:t>.</w:t>
      </w:r>
      <w:r>
        <w:rPr>
          <w:rStyle w:val="24"/>
          <w:rFonts w:hint="eastAsia" w:asciiTheme="minorEastAsia" w:hAnsiTheme="minorEastAsia" w:eastAsiaTheme="minorEastAsia"/>
          <w:b w:val="0"/>
          <w:color w:val="auto"/>
          <w:sz w:val="24"/>
          <w:szCs w:val="24"/>
          <w:highlight w:val="none"/>
          <w:lang w:val="en-US" w:eastAsia="zh-CN"/>
        </w:rPr>
        <w:t>投标</w:t>
      </w:r>
      <w:r>
        <w:rPr>
          <w:rStyle w:val="24"/>
          <w:rFonts w:hint="eastAsia" w:asciiTheme="minorEastAsia" w:hAnsiTheme="minorEastAsia" w:eastAsiaTheme="minorEastAsia"/>
          <w:b w:val="0"/>
          <w:color w:val="auto"/>
          <w:sz w:val="24"/>
          <w:szCs w:val="24"/>
          <w:highlight w:val="none"/>
        </w:rPr>
        <w:t>报价</w:t>
      </w:r>
      <w:r>
        <w:rPr>
          <w:rStyle w:val="24"/>
          <w:rFonts w:hint="eastAsia" w:asciiTheme="minorEastAsia" w:hAnsiTheme="minorEastAsia" w:eastAsiaTheme="minorEastAsia"/>
          <w:b w:val="0"/>
          <w:color w:val="auto"/>
          <w:sz w:val="24"/>
          <w:szCs w:val="24"/>
          <w:highlight w:val="none"/>
          <w:lang w:val="en-US" w:eastAsia="zh-CN"/>
        </w:rPr>
        <w:t>表</w:t>
      </w:r>
    </w:p>
    <w:p w14:paraId="1A95F05E">
      <w:pPr>
        <w:widowControl/>
        <w:spacing w:line="500" w:lineRule="exact"/>
        <w:ind w:firstLine="720" w:firstLineChars="300"/>
        <w:jc w:val="left"/>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t>履约保函（格式参考）</w:t>
      </w:r>
    </w:p>
    <w:p w14:paraId="0FAA9FFC">
      <w:pPr>
        <w:widowControl/>
        <w:spacing w:line="500" w:lineRule="exact"/>
        <w:jc w:val="left"/>
        <w:rPr>
          <w:rStyle w:val="24"/>
          <w:rFonts w:asciiTheme="minorEastAsia" w:hAnsiTheme="minorEastAsia" w:eastAsiaTheme="minorEastAsia"/>
          <w:b w:val="0"/>
          <w:color w:val="auto"/>
          <w:sz w:val="24"/>
          <w:szCs w:val="24"/>
          <w:highlight w:val="none"/>
        </w:rPr>
      </w:pPr>
    </w:p>
    <w:p w14:paraId="0FA2678A">
      <w:pPr>
        <w:widowControl/>
        <w:spacing w:line="500" w:lineRule="exact"/>
        <w:jc w:val="left"/>
        <w:rPr>
          <w:rStyle w:val="24"/>
          <w:rFonts w:asciiTheme="minorEastAsia" w:hAnsiTheme="minorEastAsia" w:eastAsiaTheme="minorEastAsia"/>
          <w:b w:val="0"/>
          <w:color w:val="auto"/>
          <w:sz w:val="24"/>
          <w:szCs w:val="24"/>
          <w:highlight w:val="none"/>
        </w:rPr>
      </w:pPr>
    </w:p>
    <w:p w14:paraId="646ADA52">
      <w:pPr>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br w:type="page"/>
      </w:r>
    </w:p>
    <w:p w14:paraId="0F78115A">
      <w:pPr>
        <w:widowControl/>
        <w:spacing w:line="460" w:lineRule="exact"/>
        <w:jc w:val="left"/>
        <w:rPr>
          <w:rStyle w:val="24"/>
          <w:rFonts w:asciiTheme="minorEastAsia" w:hAnsiTheme="minorEastAsia" w:eastAsiaTheme="minorEastAsia"/>
          <w:b w:val="0"/>
          <w:color w:val="auto"/>
          <w:sz w:val="24"/>
          <w:szCs w:val="24"/>
          <w:highlight w:val="none"/>
        </w:rPr>
      </w:pPr>
      <w:r>
        <w:rPr>
          <w:rStyle w:val="24"/>
          <w:rFonts w:hint="eastAsia" w:asciiTheme="minorEastAsia" w:hAnsiTheme="minorEastAsia" w:eastAsiaTheme="minorEastAsia"/>
          <w:b w:val="0"/>
          <w:color w:val="auto"/>
          <w:sz w:val="24"/>
          <w:szCs w:val="24"/>
          <w:highlight w:val="none"/>
        </w:rPr>
        <w:t>（本页无正文，为合同签署页）</w:t>
      </w:r>
    </w:p>
    <w:p w14:paraId="0C3E6FC2">
      <w:pPr>
        <w:pStyle w:val="9"/>
        <w:rPr>
          <w:rStyle w:val="24"/>
          <w:rFonts w:asciiTheme="minorEastAsia" w:hAnsiTheme="minorEastAsia" w:eastAsiaTheme="minorEastAsia"/>
          <w:b w:val="0"/>
          <w:color w:val="auto"/>
          <w:sz w:val="24"/>
          <w:szCs w:val="24"/>
          <w:highlight w:val="none"/>
        </w:rPr>
      </w:pPr>
    </w:p>
    <w:p w14:paraId="214EA98B">
      <w:pPr>
        <w:widowControl/>
        <w:tabs>
          <w:tab w:val="left" w:pos="1890"/>
        </w:tabs>
        <w:spacing w:line="460" w:lineRule="exact"/>
        <w:jc w:val="left"/>
        <w:rPr>
          <w:rStyle w:val="24"/>
          <w:rFonts w:asciiTheme="minorEastAsia" w:hAnsiTheme="minorEastAsia" w:eastAsiaTheme="minorEastAsia"/>
          <w:b w:val="0"/>
          <w:color w:val="auto"/>
          <w:sz w:val="24"/>
          <w:szCs w:val="24"/>
          <w:highlight w:val="none"/>
        </w:rPr>
      </w:pPr>
    </w:p>
    <w:p w14:paraId="268B86B0">
      <w:pPr>
        <w:pStyle w:val="11"/>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甲方（盖章）：</w:t>
      </w:r>
      <w:r>
        <w:rPr>
          <w:rFonts w:hint="eastAsia" w:hAnsi="宋体" w:eastAsia="宋体" w:cs="宋体"/>
          <w:color w:val="auto"/>
          <w:kern w:val="0"/>
          <w:sz w:val="24"/>
          <w:szCs w:val="24"/>
          <w:highlight w:val="none"/>
        </w:rPr>
        <w:t>广州市天投城市更新有限公司</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58B20E25">
      <w:pPr>
        <w:pStyle w:val="11"/>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   </w:t>
      </w:r>
    </w:p>
    <w:p w14:paraId="27C3DD38">
      <w:pPr>
        <w:pStyle w:val="11"/>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 xml:space="preserve">委托代理人（签名）：     </w:t>
      </w:r>
    </w:p>
    <w:p w14:paraId="4FD4316E">
      <w:pPr>
        <w:pStyle w:val="2"/>
        <w:rPr>
          <w:rFonts w:hint="eastAsia"/>
          <w:color w:val="auto"/>
          <w:highlight w:val="none"/>
        </w:rPr>
      </w:pPr>
    </w:p>
    <w:p w14:paraId="011623F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乙方（盖章）：</w:t>
      </w:r>
      <w:r>
        <w:rPr>
          <w:rFonts w:hint="eastAsia" w:ascii="宋体" w:hAnsi="宋体" w:eastAsia="宋体" w:cs="宋体"/>
          <w:color w:val="auto"/>
          <w:kern w:val="0"/>
          <w:sz w:val="24"/>
          <w:szCs w:val="24"/>
          <w:highlight w:val="none"/>
          <w:u w:val="single"/>
          <w:lang w:val="en-US" w:eastAsia="zh-CN"/>
        </w:rPr>
        <w:t xml:space="preserve">              </w:t>
      </w:r>
    </w:p>
    <w:p w14:paraId="12531611">
      <w:pPr>
        <w:pStyle w:val="11"/>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p w14:paraId="395E4B0C">
      <w:pPr>
        <w:pStyle w:val="11"/>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委托代理人（签名）：</w:t>
      </w:r>
    </w:p>
    <w:p w14:paraId="74379A3E">
      <w:pPr>
        <w:pStyle w:val="11"/>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p>
    <w:p w14:paraId="5D32F2B8">
      <w:pPr>
        <w:widowControl/>
        <w:spacing w:line="460" w:lineRule="exact"/>
        <w:jc w:val="left"/>
        <w:rPr>
          <w:rStyle w:val="24"/>
          <w:rFonts w:asciiTheme="minorEastAsia" w:hAnsiTheme="minorEastAsia" w:eastAsiaTheme="minorEastAsia"/>
          <w:b w:val="0"/>
          <w:color w:val="auto"/>
          <w:sz w:val="24"/>
          <w:szCs w:val="24"/>
          <w:highlight w:val="none"/>
        </w:rPr>
      </w:pPr>
    </w:p>
    <w:p w14:paraId="31B3AA80">
      <w:pPr>
        <w:spacing w:line="460" w:lineRule="exact"/>
        <w:jc w:val="left"/>
        <w:rPr>
          <w:rFonts w:asciiTheme="minorEastAsia" w:hAnsiTheme="minorEastAsia" w:eastAsiaTheme="minorEastAsia"/>
          <w:color w:val="auto"/>
          <w:sz w:val="24"/>
          <w:highlight w:val="none"/>
        </w:rPr>
      </w:pPr>
    </w:p>
    <w:p w14:paraId="54A0ABFE">
      <w:pPr>
        <w:spacing w:line="460" w:lineRule="exact"/>
        <w:jc w:val="left"/>
        <w:rPr>
          <w:rFonts w:asciiTheme="minorEastAsia" w:hAnsiTheme="minorEastAsia" w:eastAsiaTheme="minorEastAsia"/>
          <w:color w:val="auto"/>
          <w:sz w:val="24"/>
          <w:highlight w:val="none"/>
        </w:rPr>
        <w:sectPr>
          <w:footerReference r:id="rId5" w:type="first"/>
          <w:footerReference r:id="rId4" w:type="default"/>
          <w:pgSz w:w="11906" w:h="16838"/>
          <w:pgMar w:top="1440" w:right="1797" w:bottom="1440" w:left="1797" w:header="851" w:footer="992" w:gutter="0"/>
          <w:pgNumType w:start="1"/>
          <w:cols w:space="720" w:num="1"/>
          <w:titlePg/>
          <w:docGrid w:linePitch="312" w:charSpace="0"/>
        </w:sectPr>
      </w:pPr>
    </w:p>
    <w:p w14:paraId="32F311A8">
      <w:pPr>
        <w:widowControl/>
        <w:spacing w:line="560" w:lineRule="exact"/>
        <w:jc w:val="left"/>
        <w:rPr>
          <w:rStyle w:val="24"/>
          <w:rFonts w:hint="default" w:eastAsia="宋体"/>
          <w:color w:val="auto"/>
          <w:sz w:val="28"/>
          <w:szCs w:val="28"/>
          <w:highlight w:val="none"/>
          <w:lang w:val="en-US" w:eastAsia="zh-CN"/>
        </w:rPr>
      </w:pPr>
      <w:r>
        <w:rPr>
          <w:rStyle w:val="24"/>
          <w:rFonts w:hint="eastAsia"/>
          <w:color w:val="auto"/>
          <w:sz w:val="28"/>
          <w:szCs w:val="28"/>
          <w:highlight w:val="none"/>
        </w:rPr>
        <w:t>附件</w:t>
      </w:r>
      <w:r>
        <w:rPr>
          <w:rStyle w:val="24"/>
          <w:color w:val="auto"/>
          <w:sz w:val="28"/>
          <w:szCs w:val="28"/>
          <w:highlight w:val="none"/>
        </w:rPr>
        <w:t>1</w:t>
      </w:r>
      <w:r>
        <w:rPr>
          <w:rStyle w:val="24"/>
          <w:rFonts w:hint="eastAsia"/>
          <w:color w:val="auto"/>
          <w:sz w:val="28"/>
          <w:szCs w:val="28"/>
          <w:highlight w:val="none"/>
          <w:lang w:eastAsia="zh-CN"/>
        </w:rPr>
        <w:t>：</w:t>
      </w:r>
      <w:r>
        <w:rPr>
          <w:rStyle w:val="24"/>
          <w:rFonts w:hint="eastAsia"/>
          <w:color w:val="auto"/>
          <w:sz w:val="28"/>
          <w:szCs w:val="28"/>
          <w:highlight w:val="none"/>
          <w:lang w:val="en-US" w:eastAsia="zh-CN"/>
        </w:rPr>
        <w:t>中标通知书</w:t>
      </w:r>
    </w:p>
    <w:p w14:paraId="3D5F452E">
      <w:pPr>
        <w:pStyle w:val="4"/>
        <w:rPr>
          <w:rStyle w:val="24"/>
          <w:b/>
          <w:color w:val="auto"/>
          <w:sz w:val="28"/>
          <w:szCs w:val="28"/>
          <w:highlight w:val="none"/>
        </w:rPr>
      </w:pPr>
    </w:p>
    <w:p w14:paraId="0AEDC849">
      <w:pPr>
        <w:rPr>
          <w:rStyle w:val="24"/>
          <w:color w:val="auto"/>
          <w:sz w:val="28"/>
          <w:szCs w:val="28"/>
          <w:highlight w:val="none"/>
        </w:rPr>
      </w:pPr>
    </w:p>
    <w:p w14:paraId="5F295270">
      <w:pPr>
        <w:pStyle w:val="4"/>
        <w:rPr>
          <w:rStyle w:val="24"/>
          <w:b/>
          <w:color w:val="auto"/>
          <w:sz w:val="28"/>
          <w:szCs w:val="28"/>
          <w:highlight w:val="none"/>
        </w:rPr>
      </w:pPr>
    </w:p>
    <w:p w14:paraId="4F4C7C30">
      <w:pPr>
        <w:rPr>
          <w:rStyle w:val="24"/>
          <w:color w:val="auto"/>
          <w:sz w:val="28"/>
          <w:szCs w:val="28"/>
          <w:highlight w:val="none"/>
        </w:rPr>
      </w:pPr>
    </w:p>
    <w:p w14:paraId="44450DB0">
      <w:pPr>
        <w:pStyle w:val="4"/>
        <w:rPr>
          <w:rStyle w:val="24"/>
          <w:b/>
          <w:color w:val="auto"/>
          <w:sz w:val="28"/>
          <w:szCs w:val="28"/>
          <w:highlight w:val="none"/>
        </w:rPr>
      </w:pPr>
    </w:p>
    <w:p w14:paraId="282AE105">
      <w:pPr>
        <w:rPr>
          <w:rStyle w:val="24"/>
          <w:color w:val="auto"/>
          <w:sz w:val="28"/>
          <w:szCs w:val="28"/>
          <w:highlight w:val="none"/>
        </w:rPr>
      </w:pPr>
    </w:p>
    <w:p w14:paraId="10074C9E">
      <w:pPr>
        <w:pStyle w:val="4"/>
        <w:rPr>
          <w:rStyle w:val="24"/>
          <w:b/>
          <w:color w:val="auto"/>
          <w:sz w:val="28"/>
          <w:szCs w:val="28"/>
          <w:highlight w:val="none"/>
        </w:rPr>
      </w:pPr>
    </w:p>
    <w:p w14:paraId="03130E09">
      <w:pPr>
        <w:rPr>
          <w:rStyle w:val="24"/>
          <w:color w:val="auto"/>
          <w:sz w:val="28"/>
          <w:szCs w:val="28"/>
          <w:highlight w:val="none"/>
        </w:rPr>
      </w:pPr>
    </w:p>
    <w:p w14:paraId="0D0E316F">
      <w:pPr>
        <w:pStyle w:val="4"/>
        <w:rPr>
          <w:rStyle w:val="24"/>
          <w:b/>
          <w:color w:val="auto"/>
          <w:sz w:val="28"/>
          <w:szCs w:val="28"/>
          <w:highlight w:val="none"/>
        </w:rPr>
      </w:pPr>
    </w:p>
    <w:p w14:paraId="748B31B6">
      <w:pPr>
        <w:rPr>
          <w:rStyle w:val="24"/>
          <w:color w:val="auto"/>
          <w:sz w:val="28"/>
          <w:szCs w:val="28"/>
          <w:highlight w:val="none"/>
        </w:rPr>
      </w:pPr>
    </w:p>
    <w:p w14:paraId="1AFF0168">
      <w:pPr>
        <w:pStyle w:val="4"/>
        <w:rPr>
          <w:rStyle w:val="24"/>
          <w:b/>
          <w:color w:val="auto"/>
          <w:sz w:val="28"/>
          <w:szCs w:val="28"/>
          <w:highlight w:val="none"/>
        </w:rPr>
      </w:pPr>
    </w:p>
    <w:p w14:paraId="43E5A582">
      <w:pPr>
        <w:rPr>
          <w:rStyle w:val="24"/>
          <w:color w:val="auto"/>
          <w:sz w:val="28"/>
          <w:szCs w:val="28"/>
          <w:highlight w:val="none"/>
        </w:rPr>
      </w:pPr>
    </w:p>
    <w:p w14:paraId="5C0B44F1">
      <w:pPr>
        <w:pStyle w:val="4"/>
        <w:rPr>
          <w:rStyle w:val="24"/>
          <w:b/>
          <w:color w:val="auto"/>
          <w:sz w:val="28"/>
          <w:szCs w:val="28"/>
          <w:highlight w:val="none"/>
        </w:rPr>
      </w:pPr>
    </w:p>
    <w:p w14:paraId="3760ADCA">
      <w:pPr>
        <w:rPr>
          <w:rStyle w:val="24"/>
          <w:color w:val="auto"/>
          <w:sz w:val="28"/>
          <w:szCs w:val="28"/>
          <w:highlight w:val="none"/>
        </w:rPr>
      </w:pPr>
    </w:p>
    <w:p w14:paraId="12F7E8DD">
      <w:pPr>
        <w:pStyle w:val="4"/>
        <w:rPr>
          <w:rStyle w:val="24"/>
          <w:b/>
          <w:color w:val="auto"/>
          <w:sz w:val="28"/>
          <w:szCs w:val="28"/>
          <w:highlight w:val="none"/>
        </w:rPr>
      </w:pPr>
    </w:p>
    <w:p w14:paraId="4BAD2EE4">
      <w:pPr>
        <w:pStyle w:val="4"/>
        <w:ind w:left="0"/>
        <w:jc w:val="both"/>
        <w:rPr>
          <w:rStyle w:val="24"/>
          <w:b/>
          <w:color w:val="auto"/>
          <w:sz w:val="28"/>
          <w:szCs w:val="28"/>
          <w:highlight w:val="none"/>
        </w:rPr>
      </w:pPr>
    </w:p>
    <w:p w14:paraId="4DECBB0B">
      <w:pPr>
        <w:rPr>
          <w:color w:val="auto"/>
          <w:highlight w:val="none"/>
        </w:rPr>
      </w:pPr>
    </w:p>
    <w:p w14:paraId="5900A983">
      <w:pPr>
        <w:widowControl/>
        <w:spacing w:line="240" w:lineRule="auto"/>
        <w:jc w:val="left"/>
        <w:rPr>
          <w:rStyle w:val="24"/>
          <w:rFonts w:hint="eastAsia"/>
          <w:color w:val="auto"/>
          <w:sz w:val="28"/>
          <w:szCs w:val="28"/>
          <w:highlight w:val="none"/>
        </w:rPr>
      </w:pPr>
      <w:r>
        <w:rPr>
          <w:rStyle w:val="24"/>
          <w:rFonts w:hint="eastAsia"/>
          <w:color w:val="auto"/>
          <w:sz w:val="28"/>
          <w:szCs w:val="28"/>
          <w:highlight w:val="none"/>
        </w:rPr>
        <w:br w:type="page"/>
      </w:r>
    </w:p>
    <w:p w14:paraId="0DD06326">
      <w:pPr>
        <w:widowControl/>
        <w:spacing w:line="560" w:lineRule="exact"/>
        <w:jc w:val="left"/>
        <w:rPr>
          <w:rFonts w:ascii="宋体" w:hAnsi="宋体" w:cs="宋体"/>
          <w:b/>
          <w:bCs/>
          <w:color w:val="auto"/>
          <w:kern w:val="0"/>
          <w:sz w:val="28"/>
          <w:szCs w:val="28"/>
          <w:highlight w:val="none"/>
        </w:rPr>
      </w:pPr>
      <w:r>
        <w:rPr>
          <w:rStyle w:val="24"/>
          <w:rFonts w:hint="eastAsia"/>
          <w:color w:val="auto"/>
          <w:sz w:val="28"/>
          <w:szCs w:val="28"/>
          <w:highlight w:val="none"/>
        </w:rPr>
        <w:t>附件</w:t>
      </w:r>
      <w:r>
        <w:rPr>
          <w:rStyle w:val="24"/>
          <w:color w:val="auto"/>
          <w:sz w:val="28"/>
          <w:szCs w:val="28"/>
          <w:highlight w:val="none"/>
        </w:rPr>
        <w:t>2</w:t>
      </w:r>
    </w:p>
    <w:p w14:paraId="0E786D98">
      <w:pPr>
        <w:widowControl/>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保密协议</w:t>
      </w:r>
    </w:p>
    <w:p w14:paraId="3D1109F4">
      <w:pPr>
        <w:widowControl/>
        <w:spacing w:before="312" w:beforeLines="100" w:line="360" w:lineRule="auto"/>
        <w:jc w:val="left"/>
        <w:rPr>
          <w:rFonts w:ascii="黑体" w:hAnsi="黑体" w:eastAsia="黑体" w:cs="宋体"/>
          <w:color w:val="auto"/>
          <w:kern w:val="0"/>
          <w:sz w:val="24"/>
          <w:highlight w:val="none"/>
        </w:rPr>
      </w:pPr>
      <w:r>
        <w:rPr>
          <w:rFonts w:hint="eastAsia" w:ascii="黑体" w:hAnsi="黑体" w:eastAsia="黑体" w:cs="宋体"/>
          <w:color w:val="auto"/>
          <w:kern w:val="0"/>
          <w:sz w:val="24"/>
          <w:highlight w:val="none"/>
        </w:rPr>
        <w:t>甲方：广州市天投城市更新有限公司</w:t>
      </w:r>
    </w:p>
    <w:p w14:paraId="51B7B626">
      <w:pPr>
        <w:widowControl/>
        <w:spacing w:after="156" w:afterLines="50" w:line="360" w:lineRule="auto"/>
        <w:jc w:val="left"/>
        <w:rPr>
          <w:rFonts w:ascii="黑体" w:hAnsi="黑体" w:eastAsia="黑体" w:cs="宋体"/>
          <w:color w:val="auto"/>
          <w:kern w:val="0"/>
          <w:sz w:val="24"/>
          <w:highlight w:val="none"/>
        </w:rPr>
      </w:pPr>
      <w:r>
        <w:rPr>
          <w:rFonts w:hint="eastAsia" w:ascii="黑体" w:hAnsi="黑体" w:eastAsia="黑体" w:cs="宋体"/>
          <w:color w:val="auto"/>
          <w:kern w:val="0"/>
          <w:sz w:val="24"/>
          <w:highlight w:val="none"/>
        </w:rPr>
        <w:t xml:space="preserve">乙方：                              </w:t>
      </w:r>
    </w:p>
    <w:p w14:paraId="0FD3A7D9">
      <w:pPr>
        <w:widowControl/>
        <w:spacing w:line="400" w:lineRule="exact"/>
        <w:ind w:firstLine="424" w:firstLineChars="202"/>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Cs w:val="24"/>
          <w:highlight w:val="none"/>
          <w:lang w:val="en-US" w:eastAsia="zh-CN"/>
        </w:rPr>
        <w:t>乙方</w:t>
      </w:r>
      <w:r>
        <w:rPr>
          <w:rFonts w:hint="eastAsia" w:ascii="Times New Roman" w:hAnsi="Times New Roman" w:eastAsia="宋体" w:cs="Times New Roman"/>
          <w:color w:val="auto"/>
          <w:kern w:val="2"/>
          <w:szCs w:val="24"/>
          <w:highlight w:val="none"/>
        </w:rPr>
        <w:t>作为</w:t>
      </w:r>
      <w:r>
        <w:rPr>
          <w:rFonts w:hint="eastAsia" w:ascii="Times New Roman" w:hAnsi="Times New Roman" w:eastAsia="宋体" w:cs="Times New Roman"/>
          <w:color w:val="auto"/>
          <w:kern w:val="2"/>
          <w:szCs w:val="24"/>
          <w:highlight w:val="none"/>
          <w:lang w:val="en-US" w:eastAsia="zh-CN"/>
        </w:rPr>
        <w:t>甲方</w:t>
      </w:r>
      <w:r>
        <w:rPr>
          <w:rFonts w:hint="eastAsia" w:ascii="Times New Roman" w:hAnsi="Times New Roman" w:eastAsia="宋体" w:cs="Times New Roman"/>
          <w:color w:val="auto"/>
          <w:highlight w:val="none"/>
          <w:lang w:val="en-US" w:eastAsia="zh-CN"/>
        </w:rPr>
        <w:t>的</w:t>
      </w:r>
      <w:r>
        <w:rPr>
          <w:rFonts w:hint="eastAsia" w:ascii="Times New Roman" w:hAnsi="Times New Roman" w:eastAsia="宋体" w:cs="Times New Roman"/>
          <w:color w:val="auto"/>
          <w:highlight w:val="none"/>
        </w:rPr>
        <w:t>服务</w:t>
      </w:r>
      <w:r>
        <w:rPr>
          <w:rFonts w:hint="eastAsia" w:ascii="Times New Roman" w:hAnsi="Times New Roman" w:eastAsia="宋体" w:cs="Times New Roman"/>
          <w:color w:val="auto"/>
          <w:kern w:val="2"/>
          <w:szCs w:val="24"/>
          <w:highlight w:val="none"/>
        </w:rPr>
        <w:t>单位，</w:t>
      </w:r>
      <w:r>
        <w:rPr>
          <w:rFonts w:hint="eastAsia" w:ascii="Times New Roman" w:hAnsi="Times New Roman" w:eastAsia="宋体" w:cs="Times New Roman"/>
          <w:color w:val="auto"/>
          <w:kern w:val="2"/>
          <w:szCs w:val="24"/>
          <w:highlight w:val="none"/>
          <w:lang w:val="en-US" w:eastAsia="zh-CN"/>
        </w:rPr>
        <w:t>乙方</w:t>
      </w:r>
      <w:r>
        <w:rPr>
          <w:rFonts w:hint="eastAsia" w:ascii="Times New Roman" w:hAnsi="Times New Roman" w:eastAsia="宋体" w:cs="Times New Roman"/>
          <w:color w:val="auto"/>
          <w:kern w:val="2"/>
          <w:szCs w:val="24"/>
          <w:highlight w:val="none"/>
        </w:rPr>
        <w:t>同意遵守委托人下列保密条款：</w:t>
      </w:r>
    </w:p>
    <w:p w14:paraId="45DAF3B8">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一、保密信息的范围</w:t>
      </w:r>
    </w:p>
    <w:p w14:paraId="7BC4A30C">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41AFEEF5">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不论以何种形式或载于何种载体，无论在披露时是否以口头、图像或以书面方式表明其具有保密性，都视为甲方的保密信息。</w:t>
      </w:r>
    </w:p>
    <w:p w14:paraId="156F008D">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二、乙方的保密义务</w:t>
      </w:r>
    </w:p>
    <w:p w14:paraId="5E74E901">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乙方对已知悉的甲方保密信息，在此同意：</w:t>
      </w:r>
    </w:p>
    <w:p w14:paraId="461BA5A7">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（一）未经甲方事前书面批准，不论服务期间或以后，乙方及其工作人员不得以任何方式向任何第三方泄漏甲方的保密信息。</w:t>
      </w:r>
    </w:p>
    <w:p w14:paraId="2DAECCCA">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（二）一旦服务工作终止，乙方及其工作人员将退还保存的属于甲方的所有机密资料，如方案、制度、报告、合同等。</w:t>
      </w:r>
    </w:p>
    <w:p w14:paraId="25F3220C">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（三）严守机密，并采取所有保密措施保护保密信息。</w:t>
      </w:r>
    </w:p>
    <w:p w14:paraId="7B6DF6D4">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三、保密期限</w:t>
      </w:r>
    </w:p>
    <w:p w14:paraId="44A3265D">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保密期限包括但不限于：从获知甲方保密信息时起，至保密信息已由甲方通过合法途径让普通公众知悉时止。</w:t>
      </w:r>
    </w:p>
    <w:p w14:paraId="4203A7A9">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四、违约责任</w:t>
      </w:r>
    </w:p>
    <w:p w14:paraId="2143CB20">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乙方违反本保密协议约定，要承担违约责任，甲方有权通过任何合理方式追究乙方的责任并终止服务合同。造成损失的，甲方有权要求乙方进行赔偿或追究乙方的法律责任。</w:t>
      </w:r>
    </w:p>
    <w:p w14:paraId="63FC9A5F">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五、其他约定</w:t>
      </w:r>
    </w:p>
    <w:p w14:paraId="138197C1">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本保密协议作为</w:t>
      </w:r>
      <w:r>
        <w:rPr>
          <w:rFonts w:hint="eastAsia" w:ascii="Times New Roman" w:hAnsi="Times New Roman" w:eastAsia="宋体" w:cs="Times New Roman"/>
          <w:color w:val="auto"/>
          <w:highlight w:val="none"/>
          <w:lang w:val="en-US" w:eastAsia="zh-CN"/>
        </w:rPr>
        <w:t>主</w:t>
      </w:r>
      <w:r>
        <w:rPr>
          <w:rFonts w:hint="eastAsia" w:ascii="Times New Roman" w:hAnsi="Times New Roman" w:eastAsia="宋体" w:cs="Times New Roman"/>
          <w:color w:val="auto"/>
          <w:highlight w:val="none"/>
        </w:rPr>
        <w:t>合同的附件，与该合同具有同等的法律效力，经合同双方法定代表人或委托代理人签名并加盖公章之日起生效。</w:t>
      </w:r>
    </w:p>
    <w:p w14:paraId="40D43E1A">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本保密协议一式</w:t>
      </w:r>
      <w:r>
        <w:rPr>
          <w:rFonts w:hint="eastAsia" w:ascii="Times New Roman" w:hAnsi="Times New Roman" w:eastAsia="宋体" w:cs="Times New Roman"/>
          <w:color w:val="auto"/>
          <w:highlight w:val="none"/>
          <w:lang w:val="en-US" w:eastAsia="zh-CN"/>
        </w:rPr>
        <w:t>捌</w:t>
      </w:r>
      <w:r>
        <w:rPr>
          <w:rFonts w:hint="eastAsia" w:ascii="Times New Roman" w:hAnsi="Times New Roman" w:eastAsia="宋体" w:cs="Times New Roman"/>
          <w:color w:val="auto"/>
          <w:highlight w:val="none"/>
        </w:rPr>
        <w:t>份，甲方执</w:t>
      </w:r>
      <w:r>
        <w:rPr>
          <w:rFonts w:hint="eastAsia" w:ascii="Times New Roman" w:hAnsi="Times New Roman" w:eastAsia="宋体" w:cs="Times New Roman"/>
          <w:color w:val="auto"/>
          <w:highlight w:val="none"/>
          <w:lang w:val="en-US" w:eastAsia="zh-CN"/>
        </w:rPr>
        <w:t>陆</w:t>
      </w:r>
      <w:r>
        <w:rPr>
          <w:rFonts w:hint="eastAsia" w:ascii="Times New Roman" w:hAnsi="Times New Roman" w:eastAsia="宋体" w:cs="Times New Roman"/>
          <w:color w:val="auto"/>
          <w:highlight w:val="none"/>
        </w:rPr>
        <w:t>份，乙方执</w:t>
      </w:r>
      <w:r>
        <w:rPr>
          <w:rFonts w:hint="eastAsia" w:ascii="Times New Roman" w:hAnsi="Times New Roman" w:eastAsia="宋体" w:cs="Times New Roman"/>
          <w:color w:val="auto"/>
          <w:highlight w:val="none"/>
          <w:lang w:val="en-US" w:eastAsia="zh-CN"/>
        </w:rPr>
        <w:t>贰</w:t>
      </w:r>
      <w:r>
        <w:rPr>
          <w:rFonts w:hint="eastAsia" w:ascii="Times New Roman" w:hAnsi="Times New Roman" w:eastAsia="宋体" w:cs="Times New Roman"/>
          <w:color w:val="auto"/>
          <w:highlight w:val="none"/>
        </w:rPr>
        <w:t>份。均具有同等法律效力。</w:t>
      </w:r>
    </w:p>
    <w:p w14:paraId="19E2ADA4">
      <w:pPr>
        <w:spacing w:line="400" w:lineRule="exact"/>
        <w:ind w:firstLine="424" w:firstLineChars="202"/>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（本页以下无正文）</w:t>
      </w:r>
    </w:p>
    <w:p w14:paraId="295F3D1E">
      <w:pPr>
        <w:widowControl/>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甲方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盖章</w:t>
      </w:r>
      <w:r>
        <w:rPr>
          <w:rFonts w:hint="eastAsia" w:ascii="宋体" w:hAnsi="宋体" w:cs="宋体"/>
          <w:color w:val="auto"/>
          <w:kern w:val="0"/>
          <w:sz w:val="21"/>
          <w:szCs w:val="21"/>
          <w:highlight w:val="none"/>
          <w:lang w:eastAsia="zh-CN"/>
        </w:rPr>
        <w:t>）：广州市天投城市更新有限公司</w:t>
      </w:r>
      <w:r>
        <w:rPr>
          <w:rFonts w:hint="eastAsia" w:ascii="宋体" w:hAnsi="宋体" w:cs="宋体"/>
          <w:color w:val="auto"/>
          <w:kern w:val="0"/>
          <w:sz w:val="21"/>
          <w:szCs w:val="21"/>
          <w:highlight w:val="none"/>
        </w:rPr>
        <w:t xml:space="preserve">    乙方</w:t>
      </w:r>
      <w:r>
        <w:rPr>
          <w:rFonts w:hint="eastAsia" w:ascii="宋体" w:hAnsi="宋体" w:cs="宋体"/>
          <w:color w:val="auto"/>
          <w:kern w:val="0"/>
          <w:szCs w:val="21"/>
          <w:highlight w:val="none"/>
        </w:rPr>
        <w:t>（盖章）</w:t>
      </w:r>
      <w:r>
        <w:rPr>
          <w:rFonts w:hint="eastAsia" w:ascii="宋体" w:hAnsi="宋体" w:cs="宋体"/>
          <w:color w:val="auto"/>
          <w:kern w:val="0"/>
          <w:szCs w:val="21"/>
          <w:highlight w:val="none"/>
          <w:lang w:eastAsia="zh-CN"/>
        </w:rPr>
        <w:t>：</w:t>
      </w:r>
    </w:p>
    <w:p w14:paraId="02CF8237">
      <w:pPr>
        <w:widowControl/>
        <w:spacing w:line="264" w:lineRule="auto"/>
        <w:jc w:val="left"/>
        <w:rPr>
          <w:rFonts w:hint="eastAsia" w:ascii="宋体" w:hAnsi="宋体" w:eastAsia="宋体" w:cs="宋体"/>
          <w:color w:val="auto"/>
          <w:kern w:val="0"/>
          <w:sz w:val="21"/>
          <w:szCs w:val="21"/>
          <w:highlight w:val="none"/>
          <w:lang w:val="en-US" w:eastAsia="zh-CN"/>
        </w:rPr>
      </w:pPr>
      <w:bookmarkStart w:id="7" w:name="OLE_LINK6"/>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法定代表人</w:t>
      </w:r>
    </w:p>
    <w:p w14:paraId="45B8814A">
      <w:pPr>
        <w:widowControl/>
        <w:spacing w:line="264"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w:t>
      </w:r>
      <w:bookmarkEnd w:id="7"/>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或委托代理人</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557FCD88">
      <w:pPr>
        <w:widowControl/>
        <w:spacing w:line="240" w:lineRule="auto"/>
        <w:rPr>
          <w:rStyle w:val="24"/>
          <w:rFonts w:hint="eastAsia"/>
          <w:color w:val="auto"/>
          <w:sz w:val="28"/>
          <w:szCs w:val="28"/>
          <w:highlight w:val="none"/>
        </w:rPr>
      </w:pPr>
      <w:r>
        <w:rPr>
          <w:rStyle w:val="24"/>
          <w:rFonts w:hint="eastAsia"/>
          <w:color w:val="auto"/>
          <w:sz w:val="28"/>
          <w:szCs w:val="28"/>
          <w:highlight w:val="none"/>
        </w:rPr>
        <w:br w:type="page"/>
      </w:r>
    </w:p>
    <w:p w14:paraId="6E8438C8">
      <w:pPr>
        <w:widowControl/>
        <w:spacing w:line="560" w:lineRule="exact"/>
        <w:rPr>
          <w:rFonts w:ascii="宋体" w:hAnsi="宋体" w:cs="宋体"/>
          <w:b/>
          <w:bCs/>
          <w:color w:val="auto"/>
          <w:kern w:val="0"/>
          <w:sz w:val="28"/>
          <w:szCs w:val="28"/>
          <w:highlight w:val="none"/>
        </w:rPr>
      </w:pPr>
      <w:r>
        <w:rPr>
          <w:rStyle w:val="24"/>
          <w:rFonts w:hint="eastAsia"/>
          <w:color w:val="auto"/>
          <w:sz w:val="28"/>
          <w:szCs w:val="28"/>
          <w:highlight w:val="none"/>
        </w:rPr>
        <w:t>附件</w:t>
      </w:r>
      <w:r>
        <w:rPr>
          <w:rStyle w:val="24"/>
          <w:color w:val="auto"/>
          <w:sz w:val="28"/>
          <w:szCs w:val="28"/>
          <w:highlight w:val="none"/>
        </w:rPr>
        <w:t>3</w:t>
      </w:r>
    </w:p>
    <w:p w14:paraId="61834B89">
      <w:pPr>
        <w:widowControl/>
        <w:spacing w:line="264" w:lineRule="auto"/>
        <w:jc w:val="center"/>
        <w:rPr>
          <w:rFonts w:ascii="宋体" w:hAnsi="宋体" w:cs="宋体"/>
          <w:color w:val="auto"/>
          <w:kern w:val="0"/>
          <w:sz w:val="24"/>
          <w:highlight w:val="none"/>
        </w:rPr>
      </w:pPr>
    </w:p>
    <w:p w14:paraId="04F5C2C8">
      <w:pPr>
        <w:spacing w:line="560" w:lineRule="exact"/>
        <w:jc w:val="center"/>
        <w:rPr>
          <w:rFonts w:ascii="宋体" w:hAnsi="宋体" w:cs="宋体"/>
          <w:color w:val="auto"/>
          <w:sz w:val="32"/>
          <w:szCs w:val="32"/>
          <w:highlight w:val="none"/>
        </w:rPr>
      </w:pPr>
      <w:bookmarkStart w:id="8" w:name="OLE_LINK5"/>
      <w:r>
        <w:rPr>
          <w:rFonts w:hint="eastAsia" w:ascii="宋体" w:hAnsi="宋体" w:cs="宋体"/>
          <w:color w:val="auto"/>
          <w:sz w:val="32"/>
          <w:szCs w:val="32"/>
          <w:highlight w:val="none"/>
        </w:rPr>
        <w:t>廉洁协议书</w:t>
      </w:r>
    </w:p>
    <w:bookmarkEnd w:id="8"/>
    <w:p w14:paraId="633E175F">
      <w:pPr>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广州市天投城市更新有限公司</w:t>
      </w:r>
    </w:p>
    <w:p w14:paraId="60137180">
      <w:pPr>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14:paraId="64F61B1B">
      <w:pPr>
        <w:spacing w:line="560" w:lineRule="exact"/>
        <w:ind w:firstLine="480" w:firstLineChars="200"/>
        <w:rPr>
          <w:rFonts w:ascii="仿宋_GB2312" w:hAnsi="仿宋_GB2312" w:eastAsia="仿宋_GB2312" w:cs="仿宋_GB2312"/>
          <w:color w:val="auto"/>
          <w:sz w:val="24"/>
          <w:highlight w:val="none"/>
        </w:rPr>
      </w:pPr>
    </w:p>
    <w:p w14:paraId="507AD252">
      <w:pPr>
        <w:pStyle w:val="10"/>
        <w:spacing w:line="360" w:lineRule="auto"/>
        <w:ind w:left="0" w:leftChars="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2E362C4">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第一条 甲、乙双方的共同责任</w:t>
      </w:r>
    </w:p>
    <w:p w14:paraId="3850BDEA">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（一）严格遵守国家关于市场准入、招标投标、工程建设、物资采购、投资并购、国有资产处置等市场经济活动的法律法规制度以及廉洁建设规定。</w:t>
      </w:r>
    </w:p>
    <w:p w14:paraId="0C928324">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（二）严格履行合同约定，自觉承担合同义务。</w:t>
      </w:r>
    </w:p>
    <w:p w14:paraId="6BBDBA57">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68A299A2">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（四）建立健全自我制约制度，开展廉洁教育，公布举报电话，监督并认真查处违法违纪行为。</w:t>
      </w:r>
    </w:p>
    <w:p w14:paraId="40ECC9C6">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（五）发现对方在业务活动中有违规、违纪、违法行为的，应及时提醒对方，情节严重的，应向有关纪检监察部门举报。</w:t>
      </w:r>
    </w:p>
    <w:p w14:paraId="57057650">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甲方的责任：</w:t>
      </w:r>
    </w:p>
    <w:p w14:paraId="0798BC8C">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甲方相关工作人员，在与乙方业务活动的事前、事中、事后，应遵守以下规定：</w:t>
      </w:r>
    </w:p>
    <w:p w14:paraId="09860667">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（一）贯彻落实广州城投城市更新集团有限公司有关党风廉政建设责任制及廉洁从业的规定；</w:t>
      </w:r>
    </w:p>
    <w:p w14:paraId="75B05217">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（二）按照公平、公正、公开和诚实守信的原则开展各项业务活动；</w:t>
      </w:r>
    </w:p>
    <w:p w14:paraId="084A30CC">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（三）不准向乙方泄漏涉及有关业务活动的秘密，不准以谋取非正当利益为目的，擅自与乙方工作人员就业务问题达成利益默契；</w:t>
      </w:r>
    </w:p>
    <w:p w14:paraId="213EC014">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（四）不准向乙方和相关单位索要或接受回扣、红包、礼金、购物卡、有价证券、贵重物品和好处费、感谢费等；</w:t>
      </w:r>
    </w:p>
    <w:p w14:paraId="7F5B7B0E">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（五）不准在乙方和相关单位报销任何应由甲方或个人支付的费用；</w:t>
      </w:r>
    </w:p>
    <w:p w14:paraId="738CC656">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（六）不准要求、暗示或接受乙方和相关单位为个人装修住房、婚丧嫁娶、配偶子女的工作安排以及境内外旅游等提供方便；</w:t>
      </w:r>
    </w:p>
    <w:p w14:paraId="7AA1D3FD">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（七）不准向乙方介绍配偶、子女、亲属参与与甲方有关的经济活动，不得以任何理由向乙方和相关单位推荐第三方单位；</w:t>
      </w:r>
    </w:p>
    <w:p w14:paraId="2D4E8FC4">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（八）不准参与影响相关工作正常和公正开展的其他活动；</w:t>
      </w:r>
    </w:p>
    <w:p w14:paraId="39EE199C">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（九）不准违反《中共中央纪委关于严格禁止利用职务上的便利谋取不正当利益的若干规定》的内容。</w:t>
      </w:r>
    </w:p>
    <w:p w14:paraId="7E59537B">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第三条 乙方的责任：</w:t>
      </w:r>
    </w:p>
    <w:p w14:paraId="43E47F68">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在与甲方业务交往过程中，按照有关法律法规和程序开展工作，严格执行国家的有关方针、政策，并遵守以下规定：</w:t>
      </w:r>
    </w:p>
    <w:p w14:paraId="2FF89E03">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（一）不准以任何理由为甲方和相关单位报销应由对方或个人支付的费用；</w:t>
      </w:r>
    </w:p>
    <w:p w14:paraId="6FD29BC6">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（二）不准以任何理由向甲方负责人及其工作人员赠送回扣、红包、礼金、购物卡、有价证券、贵重物品和好处费、感谢费等；</w:t>
      </w:r>
    </w:p>
    <w:p w14:paraId="7DAEEE17">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（三）不准以任何理由为甲方、与甲方相关的单位或个人提供高消费宴请及娱乐活动；</w:t>
      </w:r>
    </w:p>
    <w:p w14:paraId="3AF0EF9A">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（四）不准以任何理由为甲方、与甲方相关的单位或个人购置或提供通讯工具、交通工具和高档办公用品；</w:t>
      </w:r>
    </w:p>
    <w:p w14:paraId="4824BB8A">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（五）不准接受或暗示为甲方、与甲方相关的单位或个人装修住房、婚丧嫁取、配偶子女的工作安排以及境内外旅游等提供方便；</w:t>
      </w:r>
    </w:p>
    <w:p w14:paraId="443B79BF">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（六）不准以谋取非正当利益为目的，擅自与甲方工作人员就业务问题进行私下商谈或者达成利益默契；</w:t>
      </w:r>
    </w:p>
    <w:p w14:paraId="38BA5B58">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（七）发现甲方工作人员有违反本廉洁协议书规定的，应向甲方单位举报（反映）。广州城投城市更新集团有限公司受理部门：纪检室；举报邮箱：ctcgjtjjs@163.com。</w:t>
      </w:r>
    </w:p>
    <w:p w14:paraId="604F1955">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第四条 相关责任</w:t>
      </w:r>
    </w:p>
    <w:p w14:paraId="558BADF7">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6A9DBFA2">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40CDA110">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（三）乙方违反本廉洁协议书第一、三条规定，发生行贿行为，经有关执纪执法部门或甲方纪检机构查证属实，甲方对乙方实施3年的市场禁入。</w:t>
      </w:r>
    </w:p>
    <w:p w14:paraId="2BA8BC47">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协议书生效及法律效力</w:t>
      </w:r>
    </w:p>
    <w:p w14:paraId="034BC4FE">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（一）本廉洁协议书作为合同的附件，与合同具有同等法律效力，经双方签字盖章后立即生效。</w:t>
      </w:r>
    </w:p>
    <w:p w14:paraId="0CD0E58C">
      <w:pPr>
        <w:pStyle w:val="10"/>
        <w:spacing w:line="360" w:lineRule="auto"/>
        <w:ind w:left="0" w:leftChars="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（二）除非甲乙双方另行签订新的廉洁协议书，否则本廉洁协议书在甲方与乙方存在业务关系期间均对双方产生约束力。</w:t>
      </w:r>
    </w:p>
    <w:p w14:paraId="4502D1DA">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协议书份数</w:t>
      </w:r>
    </w:p>
    <w:p w14:paraId="18396630">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本廉洁协议书一式</w:t>
      </w:r>
      <w:r>
        <w:rPr>
          <w:rFonts w:hint="eastAsia" w:ascii="仿宋_GB2312" w:hAnsi="仿宋_GB2312" w:eastAsia="仿宋_GB2312" w:cs="仿宋_GB2312"/>
          <w:color w:val="auto"/>
          <w:sz w:val="24"/>
          <w:highlight w:val="none"/>
          <w:u w:val="single"/>
        </w:rPr>
        <w:t>捌</w:t>
      </w:r>
      <w:r>
        <w:rPr>
          <w:rFonts w:hint="eastAsia" w:ascii="仿宋_GB2312" w:hAnsi="仿宋_GB2312" w:eastAsia="仿宋_GB2312" w:cs="仿宋_GB2312"/>
          <w:color w:val="auto"/>
          <w:sz w:val="24"/>
          <w:highlight w:val="none"/>
        </w:rPr>
        <w:t>份，甲方</w:t>
      </w:r>
      <w:r>
        <w:rPr>
          <w:rFonts w:hint="eastAsia" w:ascii="仿宋_GB2312" w:hAnsi="仿宋_GB2312" w:eastAsia="仿宋_GB2312" w:cs="仿宋_GB2312"/>
          <w:color w:val="auto"/>
          <w:sz w:val="24"/>
          <w:highlight w:val="none"/>
          <w:u w:val="single"/>
        </w:rPr>
        <w:t>陆</w:t>
      </w:r>
      <w:r>
        <w:rPr>
          <w:rFonts w:hint="eastAsia" w:ascii="仿宋_GB2312" w:hAnsi="仿宋_GB2312" w:eastAsia="仿宋_GB2312" w:cs="仿宋_GB2312"/>
          <w:color w:val="auto"/>
          <w:sz w:val="24"/>
          <w:highlight w:val="none"/>
        </w:rPr>
        <w:t>份，乙方</w:t>
      </w:r>
      <w:r>
        <w:rPr>
          <w:rFonts w:hint="eastAsia" w:ascii="仿宋_GB2312" w:hAnsi="仿宋_GB2312" w:eastAsia="仿宋_GB2312" w:cs="仿宋_GB2312"/>
          <w:color w:val="auto"/>
          <w:sz w:val="24"/>
          <w:highlight w:val="none"/>
          <w:u w:val="single"/>
        </w:rPr>
        <w:t>贰</w:t>
      </w:r>
      <w:r>
        <w:rPr>
          <w:rFonts w:hint="eastAsia" w:ascii="仿宋_GB2312" w:hAnsi="仿宋_GB2312" w:eastAsia="仿宋_GB2312" w:cs="仿宋_GB2312"/>
          <w:color w:val="auto"/>
          <w:sz w:val="24"/>
          <w:highlight w:val="none"/>
        </w:rPr>
        <w:t>份。</w:t>
      </w:r>
    </w:p>
    <w:p w14:paraId="6D120D5C">
      <w:pPr>
        <w:pStyle w:val="12"/>
        <w:spacing w:line="360" w:lineRule="auto"/>
        <w:ind w:firstLine="48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甲乙双方确认在签订本廉洁协议书前已仔细阅读条款内容，甲乙双方对本廉洁协议书所产生的法律责任已清楚知悉并承诺遵守。</w:t>
      </w:r>
    </w:p>
    <w:p w14:paraId="68977F07">
      <w:pPr>
        <w:pStyle w:val="12"/>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（本页以下无正文）</w:t>
      </w:r>
    </w:p>
    <w:p w14:paraId="62AFF095">
      <w:pPr>
        <w:spacing w:line="560" w:lineRule="exact"/>
        <w:ind w:firstLine="480" w:firstLineChars="200"/>
        <w:rPr>
          <w:rFonts w:hint="eastAsia" w:ascii="仿宋_GB2312" w:hAnsi="仿宋_GB2312" w:eastAsia="仿宋_GB2312" w:cs="仿宋_GB2312"/>
          <w:color w:val="auto"/>
          <w:sz w:val="24"/>
          <w:highlight w:val="none"/>
        </w:rPr>
      </w:pPr>
    </w:p>
    <w:p w14:paraId="410BFF25">
      <w:pPr>
        <w:spacing w:line="560" w:lineRule="exact"/>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甲方（盖章）</w:t>
      </w:r>
      <w:r>
        <w:rPr>
          <w:rFonts w:hint="eastAsia" w:ascii="仿宋_GB2312" w:hAnsi="仿宋_GB2312" w:eastAsia="仿宋_GB2312" w:cs="仿宋_GB2312"/>
          <w:color w:val="auto"/>
          <w:sz w:val="24"/>
          <w:highlight w:val="none"/>
          <w:lang w:eastAsia="zh-CN"/>
        </w:rPr>
        <w:t>：广州市天投城市更新有限公司</w:t>
      </w:r>
    </w:p>
    <w:p w14:paraId="17D248ED">
      <w:pPr>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w:t>
      </w:r>
    </w:p>
    <w:p w14:paraId="63AD7990">
      <w:pPr>
        <w:spacing w:line="560" w:lineRule="exact"/>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或委托代理人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签字</w:t>
      </w:r>
      <w:r>
        <w:rPr>
          <w:rFonts w:hint="eastAsia" w:ascii="仿宋_GB2312" w:hAnsi="仿宋_GB2312" w:eastAsia="仿宋_GB2312" w:cs="仿宋_GB2312"/>
          <w:color w:val="auto"/>
          <w:sz w:val="24"/>
          <w:highlight w:val="none"/>
          <w:lang w:eastAsia="zh-CN"/>
        </w:rPr>
        <w:t>）：</w:t>
      </w:r>
    </w:p>
    <w:p w14:paraId="7C0FA20D">
      <w:pPr>
        <w:pStyle w:val="2"/>
        <w:rPr>
          <w:rFonts w:hint="default"/>
          <w:color w:val="auto"/>
          <w:highlight w:val="none"/>
        </w:rPr>
      </w:pPr>
    </w:p>
    <w:p w14:paraId="390728E2">
      <w:pPr>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乙方（盖章）：</w:t>
      </w:r>
    </w:p>
    <w:p w14:paraId="1898E367">
      <w:pPr>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w:t>
      </w:r>
    </w:p>
    <w:p w14:paraId="0CCC0D18">
      <w:pPr>
        <w:spacing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或委托代理人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签字</w:t>
      </w:r>
      <w:r>
        <w:rPr>
          <w:rFonts w:hint="eastAsia" w:ascii="仿宋_GB2312" w:hAnsi="仿宋_GB2312" w:eastAsia="仿宋_GB2312" w:cs="仿宋_GB2312"/>
          <w:color w:val="auto"/>
          <w:sz w:val="24"/>
          <w:highlight w:val="none"/>
          <w:lang w:eastAsia="zh-CN"/>
        </w:rPr>
        <w:t>）：</w:t>
      </w:r>
    </w:p>
    <w:p w14:paraId="0F514D9C">
      <w:pPr>
        <w:widowControl/>
        <w:spacing w:line="264" w:lineRule="auto"/>
        <w:jc w:val="left"/>
        <w:rPr>
          <w:rFonts w:ascii="宋体" w:hAnsi="宋体" w:cs="宋体"/>
          <w:color w:val="auto"/>
          <w:kern w:val="0"/>
          <w:sz w:val="24"/>
          <w:highlight w:val="none"/>
        </w:rPr>
      </w:pPr>
    </w:p>
    <w:p w14:paraId="49AEABC7">
      <w:pPr>
        <w:rPr>
          <w:rStyle w:val="24"/>
          <w:color w:val="auto"/>
          <w:sz w:val="28"/>
          <w:szCs w:val="28"/>
          <w:highlight w:val="none"/>
        </w:rPr>
      </w:pPr>
      <w:r>
        <w:rPr>
          <w:rStyle w:val="24"/>
          <w:rFonts w:hint="eastAsia"/>
          <w:color w:val="auto"/>
          <w:sz w:val="28"/>
          <w:szCs w:val="28"/>
          <w:highlight w:val="none"/>
        </w:rPr>
        <w:br w:type="page"/>
      </w:r>
    </w:p>
    <w:p w14:paraId="4D00DAA4">
      <w:pPr>
        <w:widowControl/>
        <w:spacing w:line="560" w:lineRule="exact"/>
        <w:jc w:val="left"/>
        <w:rPr>
          <w:rFonts w:ascii="宋体" w:hAnsi="宋体" w:cs="宋体"/>
          <w:b/>
          <w:bCs/>
          <w:color w:val="auto"/>
          <w:kern w:val="0"/>
          <w:sz w:val="28"/>
          <w:szCs w:val="28"/>
          <w:highlight w:val="none"/>
        </w:rPr>
      </w:pPr>
      <w:r>
        <w:rPr>
          <w:rStyle w:val="24"/>
          <w:rFonts w:hint="eastAsia"/>
          <w:color w:val="auto"/>
          <w:sz w:val="28"/>
          <w:szCs w:val="28"/>
          <w:highlight w:val="none"/>
        </w:rPr>
        <w:t>附件</w:t>
      </w:r>
      <w:r>
        <w:rPr>
          <w:rStyle w:val="24"/>
          <w:color w:val="auto"/>
          <w:sz w:val="28"/>
          <w:szCs w:val="28"/>
          <w:highlight w:val="none"/>
        </w:rPr>
        <w:t>4</w:t>
      </w:r>
    </w:p>
    <w:p w14:paraId="22DC152F">
      <w:pPr>
        <w:widowControl/>
        <w:jc w:val="center"/>
        <w:rPr>
          <w:rFonts w:hint="eastAsia" w:ascii="宋体" w:hAnsi="宋体" w:eastAsia="宋体" w:cs="宋体"/>
          <w:b/>
          <w:bCs/>
          <w:color w:val="auto"/>
          <w:spacing w:val="0"/>
          <w:sz w:val="30"/>
          <w:szCs w:val="30"/>
          <w:highlight w:val="none"/>
          <w:lang w:eastAsia="zh-CN"/>
        </w:rPr>
      </w:pPr>
      <w:r>
        <w:rPr>
          <w:rFonts w:hint="eastAsia" w:ascii="宋体" w:hAnsi="宋体" w:eastAsia="宋体" w:cs="宋体"/>
          <w:b/>
          <w:bCs/>
          <w:color w:val="auto"/>
          <w:spacing w:val="0"/>
          <w:sz w:val="30"/>
          <w:szCs w:val="30"/>
          <w:highlight w:val="none"/>
          <w:lang w:eastAsia="zh-CN"/>
        </w:rPr>
        <w:t xml:space="preserve">安全生产协议     </w:t>
      </w:r>
    </w:p>
    <w:p w14:paraId="13028259">
      <w:pPr>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spacing w:val="4"/>
          <w:kern w:val="0"/>
          <w:sz w:val="24"/>
          <w:highlight w:val="none"/>
          <w:u w:val="single"/>
        </w:rPr>
        <w:t>天河区柯木塱村城中村改造项目-首开区凤凰汇东侧地块复建安置房及配套工程地铁保护监测服务</w:t>
      </w:r>
      <w:r>
        <w:rPr>
          <w:rFonts w:hint="eastAsia" w:ascii="宋体" w:hAnsi="宋体" w:eastAsia="宋体" w:cs="宋体"/>
          <w:color w:val="auto"/>
          <w:sz w:val="24"/>
          <w:szCs w:val="24"/>
          <w:highlight w:val="none"/>
        </w:rPr>
        <w:t>的实施过程中创造安全，高效的施工环境，切实搞好本项目的安全管理工作，</w:t>
      </w:r>
      <w:r>
        <w:rPr>
          <w:rFonts w:hint="eastAsia" w:ascii="宋体" w:hAnsi="宋体" w:eastAsia="宋体" w:cs="宋体"/>
          <w:color w:val="auto"/>
          <w:sz w:val="24"/>
          <w:szCs w:val="24"/>
          <w:highlight w:val="none"/>
          <w:u w:val="single"/>
        </w:rPr>
        <w:t>广州市天投城市更新有限公司</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pacing w:val="4"/>
          <w:kern w:val="0"/>
          <w:sz w:val="24"/>
          <w:szCs w:val="24"/>
          <w:highlight w:val="none"/>
          <w:lang w:val="en-US" w:eastAsia="zh-CN"/>
        </w:rPr>
        <w:t>服务</w:t>
      </w:r>
      <w:r>
        <w:rPr>
          <w:rFonts w:hint="eastAsia" w:ascii="宋体" w:hAnsi="宋体" w:eastAsia="宋体" w:cs="宋体"/>
          <w:color w:val="auto"/>
          <w:spacing w:val="4"/>
          <w:kern w:val="0"/>
          <w:sz w:val="24"/>
          <w:szCs w:val="24"/>
          <w:highlight w:val="none"/>
        </w:rPr>
        <w:t>单位</w:t>
      </w:r>
      <w:r>
        <w:rPr>
          <w:rFonts w:hint="eastAsia" w:ascii="宋体" w:hAnsi="宋体" w:eastAsia="宋体" w:cs="宋体"/>
          <w:color w:val="auto"/>
          <w:spacing w:val="4"/>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）特此签订安全生产协议：</w:t>
      </w:r>
      <w:bookmarkStart w:id="9" w:name="_Toc21714511"/>
      <w:bookmarkStart w:id="10" w:name="_Toc21714282"/>
    </w:p>
    <w:p w14:paraId="518AD748">
      <w:pPr>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bookmarkEnd w:id="9"/>
      <w:bookmarkEnd w:id="10"/>
      <w:r>
        <w:rPr>
          <w:rFonts w:hint="eastAsia" w:ascii="宋体" w:hAnsi="宋体" w:eastAsia="宋体" w:cs="宋体"/>
          <w:b/>
          <w:color w:val="auto"/>
          <w:sz w:val="24"/>
          <w:szCs w:val="24"/>
          <w:highlight w:val="none"/>
        </w:rPr>
        <w:t>甲方权责</w:t>
      </w:r>
    </w:p>
    <w:p w14:paraId="556CAA48">
      <w:pPr>
        <w:spacing w:line="360" w:lineRule="auto"/>
        <w:ind w:firstLine="480" w:firstLineChars="200"/>
        <w:rPr>
          <w:rFonts w:hint="eastAsia" w:ascii="宋体" w:hAnsi="宋体" w:eastAsia="宋体" w:cs="宋体"/>
          <w:color w:val="auto"/>
          <w:sz w:val="24"/>
          <w:szCs w:val="24"/>
          <w:highlight w:val="none"/>
        </w:rPr>
      </w:pPr>
      <w:bookmarkStart w:id="11" w:name="_Toc21714512"/>
      <w:bookmarkStart w:id="12" w:name="_Toc21714283"/>
      <w:r>
        <w:rPr>
          <w:rFonts w:hint="eastAsia" w:ascii="宋体" w:hAnsi="宋体" w:eastAsia="宋体" w:cs="宋体"/>
          <w:color w:val="auto"/>
          <w:sz w:val="24"/>
          <w:szCs w:val="24"/>
          <w:highlight w:val="none"/>
        </w:rPr>
        <w:t>1．认真贯彻国家、地方及上级有关安全生产的方针、政策，严格执行安全生产的法律法规、规定、标准。</w:t>
      </w:r>
    </w:p>
    <w:p w14:paraId="45C7B4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2．按照“管业务必须管安全”、“管生产必须管安全”的原则进行安全生产管理，做到生产与安全工作同时计划、布置、检查、总结和评比。</w:t>
      </w:r>
    </w:p>
    <w:p w14:paraId="68B7C6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3．甲方有权或委托本项目监理方对乙方在本合同业务内的安全生产情况进行检查、监督，对违反安全生产标准和规章制度的行为进行纠正，监督乙方及时处理发现的各种安全隐患。</w:t>
      </w:r>
    </w:p>
    <w:p w14:paraId="437254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4.对乙方自带的不符合安全要求的设备、工具、安全用具、安全防护用具，有权禁止乙方使用。</w:t>
      </w:r>
    </w:p>
    <w:p w14:paraId="58BBEBE1">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.法律法规规定的其他权责。</w:t>
      </w:r>
    </w:p>
    <w:p w14:paraId="00B256E9">
      <w:pPr>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bookmarkEnd w:id="11"/>
      <w:bookmarkEnd w:id="12"/>
      <w:r>
        <w:rPr>
          <w:rFonts w:hint="eastAsia" w:ascii="宋体" w:hAnsi="宋体" w:eastAsia="宋体" w:cs="宋体"/>
          <w:b/>
          <w:color w:val="auto"/>
          <w:sz w:val="24"/>
          <w:szCs w:val="24"/>
          <w:highlight w:val="none"/>
        </w:rPr>
        <w:t>乙方权责</w:t>
      </w:r>
    </w:p>
    <w:p w14:paraId="5E2F29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1、认真贯彻国家、地方及上级有关安全生产的方针、政策，严格执行安全生产的法律法规、规定、标准。</w:t>
      </w:r>
    </w:p>
    <w:p w14:paraId="625AF2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2.有权拒绝甲方的违章指挥和强令冒险作业；发现直接危及人身安全的紧急情况时，有权停止作业或者在采取可能的应急措施后撤离作业场所。</w:t>
      </w:r>
    </w:p>
    <w:p w14:paraId="6E42D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3.乙方应按相关规定建立健全本服务项目的安全管理保障体系，建立安全管理组织架构，指定安全管理责任人，完善安全管理工作机制，确保本项目的安全。</w:t>
      </w:r>
    </w:p>
    <w:p w14:paraId="001D25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遵守甲方及建设项目现场安全生产管理制度和劳动纪律。服从甲方及建设项目监理方的安全生产管理。接受上级部门、甲方等安全检查人员依法实施的监督检查，对检查提出的问题和隐患，落实人员及时整改，不得以任何理由拒绝整改或设置障碍。</w:t>
      </w:r>
    </w:p>
    <w:p w14:paraId="51BC63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5.按规定加强作业人员管理，应当告知作业人员危险岗位的操作规程和违章操作的危害，做好劳动保护。</w:t>
      </w:r>
    </w:p>
    <w:p w14:paraId="21CAE0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6.因乙方安全管理不到位或安全责任不落实等原因造成生产安全事故的，由乙方承担全部责任，由此给甲方及相关方造成损失的，概由乙方负责，并赔偿损失</w:t>
      </w:r>
      <w:r>
        <w:rPr>
          <w:rFonts w:hint="eastAsia" w:ascii="宋体" w:hAnsi="宋体" w:eastAsia="宋体" w:cs="宋体"/>
          <w:color w:val="auto"/>
          <w:sz w:val="24"/>
          <w:szCs w:val="24"/>
          <w:highlight w:val="none"/>
          <w:lang w:eastAsia="zh-CN"/>
        </w:rPr>
        <w:t>。</w:t>
      </w:r>
    </w:p>
    <w:p w14:paraId="030D132C">
      <w:pPr>
        <w:spacing w:line="360" w:lineRule="auto"/>
        <w:ind w:firstLine="482" w:firstLineChars="200"/>
        <w:outlineLvl w:val="9"/>
        <w:rPr>
          <w:rFonts w:hint="eastAsia" w:ascii="宋体" w:hAnsi="宋体" w:eastAsia="宋体" w:cs="宋体"/>
          <w:b/>
          <w:color w:val="auto"/>
          <w:sz w:val="24"/>
          <w:szCs w:val="24"/>
          <w:highlight w:val="none"/>
        </w:rPr>
      </w:pPr>
      <w:bookmarkStart w:id="13" w:name="_Toc21714513"/>
      <w:bookmarkStart w:id="14" w:name="_Toc21714284"/>
      <w:r>
        <w:rPr>
          <w:rFonts w:hint="eastAsia" w:ascii="宋体" w:hAnsi="宋体" w:eastAsia="宋体" w:cs="宋体"/>
          <w:b/>
          <w:color w:val="auto"/>
          <w:sz w:val="24"/>
          <w:szCs w:val="24"/>
          <w:highlight w:val="none"/>
        </w:rPr>
        <w:t>三、违约责任</w:t>
      </w:r>
      <w:bookmarkEnd w:id="13"/>
      <w:bookmarkEnd w:id="14"/>
    </w:p>
    <w:p w14:paraId="2E8B6148">
      <w:pPr>
        <w:spacing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如甲方或乙方因管理不到位或法定安全责任不落实造成安全事故，将依法追究责任。</w:t>
      </w:r>
    </w:p>
    <w:p w14:paraId="6603EB34">
      <w:pPr>
        <w:spacing w:line="36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本安全协议书作为合同的附件，与合同具有同等法律效力。由双方法定代表人或其</w:t>
      </w:r>
      <w:r>
        <w:rPr>
          <w:rFonts w:hint="eastAsia" w:ascii="宋体" w:hAnsi="宋体" w:eastAsia="宋体" w:cs="宋体"/>
          <w:color w:val="auto"/>
          <w:kern w:val="2"/>
          <w:sz w:val="24"/>
          <w:szCs w:val="24"/>
          <w:highlight w:val="none"/>
        </w:rPr>
        <w:t>委托代理人</w:t>
      </w:r>
      <w:r>
        <w:rPr>
          <w:rFonts w:hint="eastAsia" w:ascii="宋体" w:hAnsi="宋体" w:eastAsia="宋体" w:cs="宋体"/>
          <w:color w:val="auto"/>
          <w:sz w:val="24"/>
          <w:szCs w:val="24"/>
          <w:highlight w:val="none"/>
        </w:rPr>
        <w:t>签署并加盖公章后生效。</w:t>
      </w:r>
    </w:p>
    <w:p w14:paraId="08A57F6B">
      <w:pPr>
        <w:spacing w:line="360" w:lineRule="auto"/>
        <w:ind w:firstLine="482" w:firstLineChars="200"/>
        <w:outlineLvl w:val="9"/>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color w:val="auto"/>
          <w:sz w:val="24"/>
          <w:szCs w:val="24"/>
          <w:highlight w:val="none"/>
        </w:rPr>
        <w:t>四、</w:t>
      </w:r>
      <w:r>
        <w:rPr>
          <w:rFonts w:hint="eastAsia" w:ascii="宋体" w:hAnsi="宋体" w:eastAsia="宋体" w:cs="宋体"/>
          <w:b w:val="0"/>
          <w:bCs/>
          <w:color w:val="auto"/>
          <w:sz w:val="24"/>
          <w:szCs w:val="24"/>
          <w:highlight w:val="none"/>
        </w:rPr>
        <w:t>本安全协议书份数及甲乙所持有的份数均与主合同一致。</w:t>
      </w:r>
      <w:r>
        <w:rPr>
          <w:rFonts w:hint="eastAsia" w:ascii="Times New Roman" w:hAnsi="Times New Roman" w:eastAsia="宋体" w:cs="Times New Roman"/>
          <w:color w:val="auto"/>
          <w:spacing w:val="0"/>
          <w:sz w:val="24"/>
          <w:szCs w:val="24"/>
          <w:highlight w:val="none"/>
          <w:lang w:eastAsia="zh-CN"/>
        </w:rPr>
        <w:t xml:space="preserve"> </w:t>
      </w:r>
    </w:p>
    <w:p w14:paraId="611C5629">
      <w:pPr>
        <w:spacing w:line="400" w:lineRule="exact"/>
        <w:ind w:firstLine="484" w:firstLineChars="202"/>
        <w:rPr>
          <w:rFonts w:hint="eastAsia"/>
          <w:color w:val="auto"/>
          <w:sz w:val="24"/>
          <w:highlight w:val="none"/>
        </w:rPr>
      </w:pPr>
      <w:r>
        <w:rPr>
          <w:rFonts w:hint="eastAsia"/>
          <w:color w:val="auto"/>
          <w:sz w:val="24"/>
          <w:highlight w:val="none"/>
        </w:rPr>
        <w:t>（本页以下无正文）</w:t>
      </w:r>
    </w:p>
    <w:p w14:paraId="2B174F3A">
      <w:pPr>
        <w:spacing w:line="400" w:lineRule="exact"/>
        <w:ind w:firstLine="484" w:firstLineChars="202"/>
        <w:rPr>
          <w:rFonts w:hint="eastAsia"/>
          <w:color w:val="auto"/>
          <w:sz w:val="24"/>
          <w:highlight w:val="none"/>
          <w:lang w:eastAsia="zh-CN"/>
        </w:rPr>
      </w:pPr>
    </w:p>
    <w:p w14:paraId="24C5DDB6">
      <w:pPr>
        <w:widowControl/>
        <w:spacing w:line="360" w:lineRule="auto"/>
        <w:ind w:left="2" w:leftChars="1"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甲方</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盖章</w:t>
      </w:r>
      <w:r>
        <w:rPr>
          <w:rFonts w:hint="eastAsia" w:ascii="宋体" w:hAnsi="宋体" w:eastAsia="宋体" w:cs="宋体"/>
          <w:color w:val="auto"/>
          <w:kern w:val="2"/>
          <w:sz w:val="24"/>
          <w:szCs w:val="24"/>
          <w:highlight w:val="none"/>
          <w:lang w:eastAsia="zh-CN"/>
        </w:rPr>
        <w:t>）：广州市天投城市更新有限公司</w:t>
      </w:r>
      <w:r>
        <w:rPr>
          <w:rFonts w:hint="eastAsia" w:ascii="宋体" w:hAnsi="宋体" w:eastAsia="宋体" w:cs="宋体"/>
          <w:color w:val="auto"/>
          <w:kern w:val="2"/>
          <w:sz w:val="24"/>
          <w:szCs w:val="24"/>
          <w:highlight w:val="none"/>
        </w:rPr>
        <w:t xml:space="preserve">    </w:t>
      </w:r>
    </w:p>
    <w:p w14:paraId="52E53AD7">
      <w:pPr>
        <w:widowControl/>
        <w:spacing w:line="360" w:lineRule="auto"/>
        <w:ind w:left="2" w:leftChars="1"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val="en-US" w:eastAsia="zh-CN"/>
        </w:rPr>
        <w:t xml:space="preserve">          </w:t>
      </w:r>
    </w:p>
    <w:p w14:paraId="432FCCAA">
      <w:pPr>
        <w:widowControl/>
        <w:spacing w:line="360" w:lineRule="auto"/>
        <w:ind w:left="2" w:leftChars="1"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或委托代理人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签字</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p w14:paraId="48F8938A">
      <w:pPr>
        <w:widowControl/>
        <w:spacing w:line="360" w:lineRule="auto"/>
        <w:ind w:left="2" w:leftChars="1" w:firstLine="480" w:firstLineChars="200"/>
        <w:jc w:val="left"/>
        <w:rPr>
          <w:rFonts w:hint="eastAsia" w:ascii="宋体" w:hAnsi="宋体" w:eastAsia="宋体" w:cs="宋体"/>
          <w:color w:val="auto"/>
          <w:sz w:val="24"/>
          <w:szCs w:val="24"/>
          <w:highlight w:val="none"/>
        </w:rPr>
      </w:pPr>
    </w:p>
    <w:p w14:paraId="0A2D6E68">
      <w:pPr>
        <w:widowControl/>
        <w:spacing w:line="360" w:lineRule="auto"/>
        <w:ind w:left="2" w:leftChars="1"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乙方（盖章）</w:t>
      </w:r>
      <w:r>
        <w:rPr>
          <w:rFonts w:hint="eastAsia" w:ascii="宋体" w:hAnsi="宋体" w:eastAsia="宋体" w:cs="宋体"/>
          <w:color w:val="auto"/>
          <w:kern w:val="2"/>
          <w:sz w:val="24"/>
          <w:szCs w:val="24"/>
          <w:highlight w:val="none"/>
          <w:lang w:eastAsia="zh-CN"/>
        </w:rPr>
        <w:t>：</w:t>
      </w:r>
    </w:p>
    <w:p w14:paraId="521190DB">
      <w:pPr>
        <w:widowControl/>
        <w:spacing w:line="360" w:lineRule="auto"/>
        <w:ind w:left="2" w:leftChars="1"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p>
    <w:p w14:paraId="536C046D">
      <w:pPr>
        <w:widowControl/>
        <w:spacing w:line="360" w:lineRule="auto"/>
        <w:ind w:left="2" w:leftChars="1" w:firstLine="480" w:firstLineChars="200"/>
        <w:jc w:val="left"/>
        <w:rPr>
          <w:rStyle w:val="24"/>
          <w:rFonts w:hint="eastAsia"/>
          <w:color w:val="auto"/>
          <w:sz w:val="28"/>
          <w:szCs w:val="28"/>
          <w:highlight w:val="none"/>
        </w:rPr>
      </w:pPr>
      <w:r>
        <w:rPr>
          <w:rFonts w:hint="eastAsia" w:ascii="宋体" w:hAnsi="宋体" w:eastAsia="宋体" w:cs="宋体"/>
          <w:color w:val="auto"/>
          <w:kern w:val="2"/>
          <w:sz w:val="24"/>
          <w:szCs w:val="24"/>
          <w:highlight w:val="none"/>
        </w:rPr>
        <w:t>或委托代理人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签字</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r>
        <w:rPr>
          <w:rStyle w:val="24"/>
          <w:rFonts w:hint="eastAsia"/>
          <w:color w:val="auto"/>
          <w:sz w:val="28"/>
          <w:szCs w:val="28"/>
          <w:highlight w:val="none"/>
        </w:rPr>
        <w:br w:type="page"/>
      </w:r>
    </w:p>
    <w:p w14:paraId="7A11151C">
      <w:pPr>
        <w:widowControl/>
        <w:spacing w:line="560" w:lineRule="exact"/>
        <w:jc w:val="left"/>
        <w:rPr>
          <w:rStyle w:val="24"/>
          <w:rFonts w:hint="eastAsia" w:ascii="宋体" w:hAnsi="宋体" w:eastAsia="宋体" w:cs="Times New Roman"/>
          <w:color w:val="auto"/>
          <w:sz w:val="28"/>
          <w:szCs w:val="28"/>
          <w:highlight w:val="none"/>
        </w:rPr>
      </w:pPr>
      <w:r>
        <w:rPr>
          <w:rStyle w:val="24"/>
          <w:rFonts w:hint="eastAsia"/>
          <w:color w:val="auto"/>
          <w:sz w:val="28"/>
          <w:szCs w:val="28"/>
          <w:highlight w:val="none"/>
        </w:rPr>
        <w:t>附件</w:t>
      </w:r>
      <w:r>
        <w:rPr>
          <w:rStyle w:val="24"/>
          <w:color w:val="auto"/>
          <w:sz w:val="28"/>
          <w:szCs w:val="28"/>
          <w:highlight w:val="none"/>
        </w:rPr>
        <w:t>5</w:t>
      </w:r>
      <w:r>
        <w:rPr>
          <w:rStyle w:val="24"/>
          <w:rFonts w:hint="eastAsia" w:ascii="宋体" w:hAnsi="宋体" w:eastAsia="宋体" w:cs="Times New Roman"/>
          <w:color w:val="auto"/>
          <w:sz w:val="28"/>
          <w:szCs w:val="28"/>
          <w:highlight w:val="none"/>
          <w:lang w:eastAsia="zh-CN"/>
        </w:rPr>
        <w:t>：</w:t>
      </w:r>
      <w:r>
        <w:rPr>
          <w:rStyle w:val="24"/>
          <w:rFonts w:ascii="宋体" w:hAnsi="宋体" w:eastAsia="宋体" w:cs="Times New Roman"/>
          <w:color w:val="auto"/>
          <w:sz w:val="28"/>
          <w:szCs w:val="28"/>
          <w:highlight w:val="none"/>
        </w:rPr>
        <w:t>拟投入本项目人员一览表</w:t>
      </w:r>
    </w:p>
    <w:p w14:paraId="1E5D2848">
      <w:pPr>
        <w:widowControl/>
        <w:spacing w:line="264" w:lineRule="auto"/>
        <w:jc w:val="left"/>
        <w:rPr>
          <w:rFonts w:ascii="宋体" w:hAnsi="宋体" w:cs="宋体"/>
          <w:color w:val="auto"/>
          <w:kern w:val="0"/>
          <w:sz w:val="24"/>
          <w:highlight w:val="none"/>
        </w:rPr>
      </w:pPr>
    </w:p>
    <w:p w14:paraId="76DF0508">
      <w:pPr>
        <w:widowControl/>
        <w:spacing w:line="264" w:lineRule="auto"/>
        <w:jc w:val="left"/>
        <w:rPr>
          <w:rFonts w:ascii="宋体" w:hAnsi="宋体" w:cs="宋体"/>
          <w:color w:val="auto"/>
          <w:kern w:val="0"/>
          <w:sz w:val="24"/>
          <w:highlight w:val="none"/>
        </w:rPr>
      </w:pPr>
    </w:p>
    <w:p w14:paraId="64D0EA8E">
      <w:pPr>
        <w:widowControl/>
        <w:spacing w:line="264" w:lineRule="auto"/>
        <w:jc w:val="left"/>
        <w:rPr>
          <w:rFonts w:ascii="宋体" w:hAnsi="宋体" w:cs="宋体"/>
          <w:color w:val="auto"/>
          <w:kern w:val="0"/>
          <w:sz w:val="24"/>
          <w:highlight w:val="none"/>
        </w:rPr>
      </w:pPr>
    </w:p>
    <w:p w14:paraId="3DC34418">
      <w:pPr>
        <w:widowControl/>
        <w:spacing w:line="560" w:lineRule="exact"/>
        <w:jc w:val="left"/>
        <w:rPr>
          <w:rStyle w:val="24"/>
          <w:color w:val="auto"/>
          <w:sz w:val="28"/>
          <w:szCs w:val="28"/>
          <w:highlight w:val="none"/>
        </w:rPr>
        <w:sectPr>
          <w:pgSz w:w="11906" w:h="16838"/>
          <w:pgMar w:top="1440" w:right="1800" w:bottom="1440" w:left="1800" w:header="851" w:footer="992" w:gutter="0"/>
          <w:cols w:space="720" w:num="1"/>
          <w:docGrid w:type="lines" w:linePitch="312" w:charSpace="0"/>
        </w:sectPr>
      </w:pPr>
    </w:p>
    <w:p w14:paraId="071825E3">
      <w:pPr>
        <w:widowControl/>
        <w:spacing w:line="560" w:lineRule="exact"/>
        <w:jc w:val="left"/>
        <w:rPr>
          <w:rStyle w:val="24"/>
          <w:rFonts w:ascii="宋体" w:hAnsi="宋体" w:eastAsia="宋体" w:cs="Times New Roman"/>
          <w:color w:val="auto"/>
          <w:sz w:val="28"/>
          <w:szCs w:val="28"/>
          <w:highlight w:val="none"/>
        </w:rPr>
      </w:pPr>
      <w:r>
        <w:rPr>
          <w:rStyle w:val="24"/>
          <w:rFonts w:hint="eastAsia" w:ascii="宋体" w:hAnsi="宋体" w:eastAsia="宋体" w:cs="Times New Roman"/>
          <w:color w:val="auto"/>
          <w:sz w:val="28"/>
          <w:szCs w:val="28"/>
          <w:highlight w:val="none"/>
        </w:rPr>
        <w:t>附件6</w:t>
      </w:r>
      <w:r>
        <w:rPr>
          <w:rStyle w:val="24"/>
          <w:rFonts w:hint="eastAsia" w:ascii="宋体" w:hAnsi="宋体" w:eastAsia="宋体" w:cs="Times New Roman"/>
          <w:color w:val="auto"/>
          <w:sz w:val="28"/>
          <w:szCs w:val="28"/>
          <w:highlight w:val="none"/>
          <w:lang w:eastAsia="zh-CN"/>
        </w:rPr>
        <w:t>：</w:t>
      </w:r>
      <w:r>
        <w:rPr>
          <w:rStyle w:val="24"/>
          <w:rFonts w:hint="eastAsia" w:ascii="宋体" w:hAnsi="宋体" w:eastAsia="宋体" w:cs="Times New Roman"/>
          <w:b/>
          <w:color w:val="auto"/>
          <w:sz w:val="28"/>
          <w:szCs w:val="28"/>
          <w:highlight w:val="none"/>
        </w:rPr>
        <w:t>投标报价</w:t>
      </w:r>
      <w:r>
        <w:rPr>
          <w:rStyle w:val="24"/>
          <w:rFonts w:hint="eastAsia" w:ascii="宋体" w:hAnsi="宋体" w:eastAsia="宋体" w:cs="Times New Roman"/>
          <w:b/>
          <w:color w:val="auto"/>
          <w:sz w:val="28"/>
          <w:szCs w:val="28"/>
          <w:highlight w:val="none"/>
          <w:lang w:val="en-US" w:eastAsia="zh-CN"/>
        </w:rPr>
        <w:t>表</w:t>
      </w:r>
    </w:p>
    <w:p w14:paraId="6B79AD22">
      <w:pPr>
        <w:widowControl/>
        <w:spacing w:line="264" w:lineRule="auto"/>
        <w:jc w:val="left"/>
        <w:rPr>
          <w:rFonts w:ascii="宋体" w:hAnsi="宋体" w:cs="宋体"/>
          <w:color w:val="auto"/>
          <w:kern w:val="0"/>
          <w:sz w:val="24"/>
          <w:highlight w:val="none"/>
        </w:rPr>
      </w:pPr>
    </w:p>
    <w:p w14:paraId="35F3E292">
      <w:pPr>
        <w:widowControl/>
        <w:spacing w:line="264" w:lineRule="auto"/>
        <w:jc w:val="left"/>
        <w:rPr>
          <w:rFonts w:ascii="宋体" w:hAnsi="宋体" w:cs="宋体"/>
          <w:color w:val="auto"/>
          <w:kern w:val="0"/>
          <w:sz w:val="24"/>
          <w:highlight w:val="none"/>
        </w:rPr>
      </w:pPr>
    </w:p>
    <w:p w14:paraId="6847C032">
      <w:pPr>
        <w:widowControl/>
        <w:jc w:val="left"/>
        <w:rPr>
          <w:rFonts w:asciiTheme="minorEastAsia" w:hAnsiTheme="minorEastAsia" w:eastAsiaTheme="minorEastAsia"/>
          <w:color w:val="auto"/>
          <w:sz w:val="24"/>
          <w:highlight w:val="none"/>
        </w:rPr>
      </w:pPr>
    </w:p>
    <w:p w14:paraId="23A5311B">
      <w:pPr>
        <w:ind w:firstLine="628" w:firstLineChars="200"/>
        <w:jc w:val="left"/>
        <w:rPr>
          <w:rFonts w:ascii="仿宋_GB2312" w:hAnsi="仿宋_GB2312" w:eastAsia="仿宋_GB2312" w:cs="仿宋_GB2312"/>
          <w:color w:val="auto"/>
          <w:spacing w:val="7"/>
          <w:sz w:val="30"/>
          <w:szCs w:val="30"/>
          <w:highlight w:val="none"/>
        </w:rPr>
      </w:pPr>
    </w:p>
    <w:p w14:paraId="1359A4B7">
      <w:pPr>
        <w:jc w:val="left"/>
        <w:rPr>
          <w:rFonts w:ascii="仿宋_GB2312" w:hAnsi="仿宋_GB2312" w:eastAsia="仿宋_GB2312" w:cs="仿宋_GB2312"/>
          <w:color w:val="auto"/>
          <w:spacing w:val="7"/>
          <w:sz w:val="30"/>
          <w:szCs w:val="30"/>
          <w:highlight w:val="none"/>
        </w:rPr>
      </w:pPr>
    </w:p>
    <w:p w14:paraId="7110B407">
      <w:pPr>
        <w:jc w:val="left"/>
        <w:rPr>
          <w:rFonts w:ascii="仿宋_GB2312" w:hAnsi="仿宋_GB2312" w:eastAsia="仿宋_GB2312" w:cs="仿宋_GB2312"/>
          <w:color w:val="auto"/>
          <w:spacing w:val="7"/>
          <w:sz w:val="30"/>
          <w:szCs w:val="30"/>
          <w:highlight w:val="none"/>
        </w:rPr>
      </w:pPr>
    </w:p>
    <w:p w14:paraId="28D76F8C">
      <w:pPr>
        <w:jc w:val="left"/>
        <w:rPr>
          <w:rFonts w:ascii="仿宋_GB2312" w:hAnsi="仿宋_GB2312" w:eastAsia="仿宋_GB2312" w:cs="仿宋_GB2312"/>
          <w:color w:val="auto"/>
          <w:spacing w:val="7"/>
          <w:sz w:val="30"/>
          <w:szCs w:val="30"/>
          <w:highlight w:val="none"/>
        </w:rPr>
      </w:pPr>
    </w:p>
    <w:p w14:paraId="6BDF2333">
      <w:pPr>
        <w:jc w:val="left"/>
        <w:rPr>
          <w:rFonts w:ascii="仿宋_GB2312" w:hAnsi="仿宋_GB2312" w:eastAsia="仿宋_GB2312" w:cs="仿宋_GB2312"/>
          <w:color w:val="auto"/>
          <w:spacing w:val="7"/>
          <w:sz w:val="30"/>
          <w:szCs w:val="30"/>
          <w:highlight w:val="none"/>
        </w:rPr>
      </w:pPr>
    </w:p>
    <w:p w14:paraId="6A565775">
      <w:pPr>
        <w:jc w:val="left"/>
        <w:rPr>
          <w:rFonts w:ascii="仿宋_GB2312" w:hAnsi="仿宋_GB2312" w:eastAsia="仿宋_GB2312" w:cs="仿宋_GB2312"/>
          <w:color w:val="auto"/>
          <w:spacing w:val="7"/>
          <w:sz w:val="30"/>
          <w:szCs w:val="30"/>
          <w:highlight w:val="none"/>
        </w:rPr>
      </w:pPr>
    </w:p>
    <w:p w14:paraId="0D660E21">
      <w:pPr>
        <w:jc w:val="left"/>
        <w:rPr>
          <w:rFonts w:ascii="仿宋_GB2312" w:hAnsi="仿宋_GB2312" w:eastAsia="仿宋_GB2312" w:cs="仿宋_GB2312"/>
          <w:color w:val="auto"/>
          <w:spacing w:val="7"/>
          <w:sz w:val="30"/>
          <w:szCs w:val="30"/>
          <w:highlight w:val="none"/>
        </w:rPr>
      </w:pPr>
    </w:p>
    <w:p w14:paraId="1F38CDAD">
      <w:pPr>
        <w:jc w:val="left"/>
        <w:rPr>
          <w:rFonts w:ascii="仿宋_GB2312" w:hAnsi="仿宋_GB2312" w:eastAsia="仿宋_GB2312" w:cs="仿宋_GB2312"/>
          <w:color w:val="auto"/>
          <w:spacing w:val="7"/>
          <w:sz w:val="30"/>
          <w:szCs w:val="30"/>
          <w:highlight w:val="none"/>
        </w:rPr>
      </w:pPr>
    </w:p>
    <w:p w14:paraId="61371679">
      <w:pPr>
        <w:jc w:val="left"/>
        <w:rPr>
          <w:rFonts w:ascii="仿宋_GB2312" w:hAnsi="仿宋_GB2312" w:eastAsia="仿宋_GB2312" w:cs="仿宋_GB2312"/>
          <w:color w:val="auto"/>
          <w:spacing w:val="7"/>
          <w:sz w:val="30"/>
          <w:szCs w:val="30"/>
          <w:highlight w:val="none"/>
        </w:rPr>
      </w:pPr>
    </w:p>
    <w:p w14:paraId="19661BBE">
      <w:pPr>
        <w:jc w:val="left"/>
        <w:rPr>
          <w:rFonts w:ascii="仿宋_GB2312" w:hAnsi="仿宋_GB2312" w:eastAsia="仿宋_GB2312" w:cs="仿宋_GB2312"/>
          <w:color w:val="auto"/>
          <w:spacing w:val="7"/>
          <w:sz w:val="30"/>
          <w:szCs w:val="30"/>
          <w:highlight w:val="none"/>
        </w:rPr>
      </w:pPr>
    </w:p>
    <w:p w14:paraId="7D42FE31">
      <w:pPr>
        <w:jc w:val="left"/>
        <w:rPr>
          <w:rFonts w:ascii="仿宋_GB2312" w:hAnsi="仿宋_GB2312" w:eastAsia="仿宋_GB2312" w:cs="仿宋_GB2312"/>
          <w:color w:val="auto"/>
          <w:spacing w:val="7"/>
          <w:sz w:val="30"/>
          <w:szCs w:val="30"/>
          <w:highlight w:val="none"/>
        </w:rPr>
      </w:pPr>
    </w:p>
    <w:p w14:paraId="0E1EAA85">
      <w:pPr>
        <w:jc w:val="left"/>
        <w:rPr>
          <w:rFonts w:ascii="仿宋_GB2312" w:hAnsi="仿宋_GB2312" w:eastAsia="仿宋_GB2312" w:cs="仿宋_GB2312"/>
          <w:color w:val="auto"/>
          <w:spacing w:val="7"/>
          <w:sz w:val="30"/>
          <w:szCs w:val="30"/>
          <w:highlight w:val="none"/>
        </w:rPr>
      </w:pPr>
    </w:p>
    <w:p w14:paraId="49806896">
      <w:pPr>
        <w:jc w:val="left"/>
        <w:rPr>
          <w:rFonts w:ascii="仿宋_GB2312" w:hAnsi="仿宋_GB2312" w:eastAsia="仿宋_GB2312" w:cs="仿宋_GB2312"/>
          <w:color w:val="auto"/>
          <w:spacing w:val="7"/>
          <w:sz w:val="30"/>
          <w:szCs w:val="30"/>
          <w:highlight w:val="none"/>
        </w:rPr>
      </w:pPr>
    </w:p>
    <w:p w14:paraId="5E392C24">
      <w:pPr>
        <w:jc w:val="left"/>
        <w:rPr>
          <w:rFonts w:ascii="仿宋_GB2312" w:hAnsi="仿宋_GB2312" w:eastAsia="仿宋_GB2312" w:cs="仿宋_GB2312"/>
          <w:color w:val="auto"/>
          <w:spacing w:val="7"/>
          <w:sz w:val="30"/>
          <w:szCs w:val="30"/>
          <w:highlight w:val="none"/>
        </w:rPr>
      </w:pPr>
    </w:p>
    <w:p w14:paraId="525F3F43">
      <w:pPr>
        <w:jc w:val="left"/>
        <w:rPr>
          <w:rFonts w:ascii="仿宋_GB2312" w:hAnsi="仿宋_GB2312" w:eastAsia="仿宋_GB2312" w:cs="仿宋_GB2312"/>
          <w:color w:val="auto"/>
          <w:spacing w:val="7"/>
          <w:sz w:val="30"/>
          <w:szCs w:val="30"/>
          <w:highlight w:val="none"/>
        </w:rPr>
      </w:pPr>
    </w:p>
    <w:p w14:paraId="2B0AD38B">
      <w:pPr>
        <w:jc w:val="left"/>
        <w:rPr>
          <w:rFonts w:ascii="仿宋_GB2312" w:hAnsi="仿宋_GB2312" w:eastAsia="仿宋_GB2312" w:cs="仿宋_GB2312"/>
          <w:color w:val="auto"/>
          <w:spacing w:val="7"/>
          <w:sz w:val="30"/>
          <w:szCs w:val="30"/>
          <w:highlight w:val="none"/>
        </w:rPr>
      </w:pPr>
    </w:p>
    <w:p w14:paraId="59624C0B">
      <w:pPr>
        <w:jc w:val="left"/>
        <w:rPr>
          <w:rFonts w:ascii="仿宋_GB2312" w:hAnsi="仿宋_GB2312" w:eastAsia="仿宋_GB2312" w:cs="仿宋_GB2312"/>
          <w:color w:val="auto"/>
          <w:spacing w:val="7"/>
          <w:sz w:val="30"/>
          <w:szCs w:val="30"/>
          <w:highlight w:val="none"/>
        </w:rPr>
      </w:pPr>
    </w:p>
    <w:p w14:paraId="2B0C25F4">
      <w:pPr>
        <w:jc w:val="left"/>
        <w:rPr>
          <w:rFonts w:ascii="仿宋_GB2312" w:hAnsi="仿宋_GB2312" w:eastAsia="仿宋_GB2312" w:cs="仿宋_GB2312"/>
          <w:color w:val="auto"/>
          <w:spacing w:val="7"/>
          <w:sz w:val="30"/>
          <w:szCs w:val="30"/>
          <w:highlight w:val="none"/>
        </w:rPr>
      </w:pPr>
    </w:p>
    <w:p w14:paraId="0C18C0F5">
      <w:pPr>
        <w:jc w:val="left"/>
        <w:rPr>
          <w:rFonts w:ascii="仿宋_GB2312" w:hAnsi="仿宋_GB2312" w:eastAsia="仿宋_GB2312" w:cs="仿宋_GB2312"/>
          <w:color w:val="auto"/>
          <w:spacing w:val="7"/>
          <w:sz w:val="30"/>
          <w:szCs w:val="30"/>
          <w:highlight w:val="none"/>
        </w:rPr>
      </w:pPr>
    </w:p>
    <w:p w14:paraId="2CAF3D23">
      <w:pPr>
        <w:jc w:val="left"/>
        <w:rPr>
          <w:rFonts w:ascii="仿宋_GB2312" w:hAnsi="仿宋_GB2312" w:eastAsia="仿宋_GB2312" w:cs="仿宋_GB2312"/>
          <w:color w:val="auto"/>
          <w:spacing w:val="7"/>
          <w:sz w:val="30"/>
          <w:szCs w:val="30"/>
          <w:highlight w:val="none"/>
        </w:rPr>
      </w:pPr>
    </w:p>
    <w:p w14:paraId="59C94227">
      <w:pPr>
        <w:jc w:val="left"/>
        <w:rPr>
          <w:rFonts w:ascii="仿宋_GB2312" w:hAnsi="仿宋_GB2312" w:eastAsia="仿宋_GB2312" w:cs="仿宋_GB2312"/>
          <w:color w:val="auto"/>
          <w:spacing w:val="7"/>
          <w:sz w:val="30"/>
          <w:szCs w:val="30"/>
          <w:highlight w:val="none"/>
        </w:rPr>
      </w:pPr>
    </w:p>
    <w:p w14:paraId="18FBB53A">
      <w:pPr>
        <w:jc w:val="left"/>
        <w:rPr>
          <w:rFonts w:ascii="仿宋_GB2312" w:hAnsi="仿宋_GB2312" w:eastAsia="仿宋_GB2312" w:cs="仿宋_GB2312"/>
          <w:color w:val="auto"/>
          <w:spacing w:val="7"/>
          <w:sz w:val="30"/>
          <w:szCs w:val="30"/>
          <w:highlight w:val="none"/>
        </w:rPr>
      </w:pPr>
    </w:p>
    <w:p w14:paraId="0B642A7F">
      <w:pPr>
        <w:jc w:val="left"/>
        <w:rPr>
          <w:rFonts w:ascii="仿宋_GB2312" w:hAnsi="仿宋_GB2312" w:eastAsia="仿宋_GB2312" w:cs="仿宋_GB2312"/>
          <w:color w:val="auto"/>
          <w:spacing w:val="7"/>
          <w:sz w:val="30"/>
          <w:szCs w:val="30"/>
          <w:highlight w:val="none"/>
        </w:rPr>
      </w:pPr>
    </w:p>
    <w:p w14:paraId="1CBEF500">
      <w:pPr>
        <w:jc w:val="left"/>
        <w:rPr>
          <w:rFonts w:ascii="仿宋_GB2312" w:hAnsi="仿宋_GB2312" w:eastAsia="仿宋_GB2312" w:cs="仿宋_GB2312"/>
          <w:color w:val="auto"/>
          <w:spacing w:val="7"/>
          <w:sz w:val="30"/>
          <w:szCs w:val="30"/>
          <w:highlight w:val="none"/>
        </w:rPr>
      </w:pPr>
    </w:p>
    <w:p w14:paraId="64C9B094">
      <w:pPr>
        <w:jc w:val="left"/>
        <w:rPr>
          <w:rFonts w:ascii="仿宋_GB2312" w:hAnsi="仿宋_GB2312" w:eastAsia="仿宋_GB2312" w:cs="仿宋_GB2312"/>
          <w:color w:val="auto"/>
          <w:spacing w:val="7"/>
          <w:sz w:val="30"/>
          <w:szCs w:val="30"/>
          <w:highlight w:val="none"/>
        </w:rPr>
      </w:pPr>
    </w:p>
    <w:p w14:paraId="288804B8">
      <w:pPr>
        <w:jc w:val="left"/>
        <w:rPr>
          <w:rFonts w:ascii="仿宋_GB2312" w:hAnsi="仿宋_GB2312" w:eastAsia="仿宋_GB2312" w:cs="仿宋_GB2312"/>
          <w:color w:val="auto"/>
          <w:spacing w:val="7"/>
          <w:sz w:val="30"/>
          <w:szCs w:val="30"/>
          <w:highlight w:val="none"/>
        </w:rPr>
      </w:pPr>
    </w:p>
    <w:p w14:paraId="0529D05A">
      <w:pPr>
        <w:jc w:val="left"/>
        <w:rPr>
          <w:rFonts w:ascii="仿宋_GB2312" w:hAnsi="仿宋_GB2312" w:eastAsia="仿宋_GB2312" w:cs="仿宋_GB2312"/>
          <w:color w:val="auto"/>
          <w:spacing w:val="7"/>
          <w:sz w:val="30"/>
          <w:szCs w:val="30"/>
          <w:highlight w:val="none"/>
        </w:rPr>
      </w:pPr>
    </w:p>
    <w:p w14:paraId="302AC771">
      <w:pPr>
        <w:jc w:val="left"/>
        <w:rPr>
          <w:rFonts w:ascii="仿宋_GB2312" w:hAnsi="仿宋_GB2312" w:eastAsia="仿宋_GB2312" w:cs="仿宋_GB2312"/>
          <w:color w:val="auto"/>
          <w:spacing w:val="7"/>
          <w:sz w:val="30"/>
          <w:szCs w:val="30"/>
          <w:highlight w:val="none"/>
        </w:rPr>
      </w:pPr>
    </w:p>
    <w:p w14:paraId="7431FD1C">
      <w:pPr>
        <w:jc w:val="left"/>
        <w:rPr>
          <w:rFonts w:ascii="仿宋_GB2312" w:hAnsi="仿宋_GB2312" w:eastAsia="仿宋_GB2312" w:cs="仿宋_GB2312"/>
          <w:color w:val="auto"/>
          <w:spacing w:val="7"/>
          <w:sz w:val="30"/>
          <w:szCs w:val="30"/>
          <w:highlight w:val="none"/>
        </w:rPr>
      </w:pPr>
    </w:p>
    <w:p w14:paraId="45506696">
      <w:pPr>
        <w:jc w:val="left"/>
        <w:rPr>
          <w:rFonts w:hint="eastAsia" w:ascii="仿宋_GB2312" w:hAnsi="仿宋_GB2312" w:eastAsia="仿宋_GB2312" w:cs="仿宋_GB2312"/>
          <w:color w:val="auto"/>
          <w:spacing w:val="7"/>
          <w:sz w:val="30"/>
          <w:szCs w:val="30"/>
          <w:highlight w:val="none"/>
        </w:rPr>
      </w:pPr>
      <w:r>
        <w:rPr>
          <w:rFonts w:hint="eastAsia" w:ascii="仿宋_GB2312" w:hAnsi="仿宋_GB2312" w:eastAsia="仿宋_GB2312" w:cs="仿宋_GB2312"/>
          <w:color w:val="auto"/>
          <w:spacing w:val="7"/>
          <w:sz w:val="30"/>
          <w:szCs w:val="30"/>
          <w:highlight w:val="none"/>
        </w:rPr>
        <w:br w:type="page"/>
      </w:r>
    </w:p>
    <w:p w14:paraId="3CC80AD1">
      <w:pPr>
        <w:jc w:val="lef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7"/>
          <w:sz w:val="30"/>
          <w:szCs w:val="30"/>
          <w:highlight w:val="none"/>
        </w:rPr>
        <w:t>履约保函(格式参考)</w:t>
      </w:r>
    </w:p>
    <w:p w14:paraId="6153C047">
      <w:pPr>
        <w:spacing w:line="360" w:lineRule="auto"/>
        <w:ind w:firstLine="739" w:firstLineChars="200"/>
        <w:jc w:val="center"/>
        <w:rPr>
          <w:rFonts w:ascii="宋体" w:hAnsi="宋体" w:cs="宋体"/>
          <w:b/>
          <w:bCs/>
          <w:snapToGrid w:val="0"/>
          <w:color w:val="auto"/>
          <w:spacing w:val="24"/>
          <w:kern w:val="0"/>
          <w:sz w:val="32"/>
          <w:szCs w:val="32"/>
          <w:highlight w:val="none"/>
        </w:rPr>
      </w:pPr>
    </w:p>
    <w:p w14:paraId="65044127">
      <w:pPr>
        <w:spacing w:line="360" w:lineRule="auto"/>
        <w:ind w:firstLine="739" w:firstLineChars="200"/>
        <w:jc w:val="center"/>
        <w:rPr>
          <w:rFonts w:ascii="宋体" w:hAnsi="宋体" w:cs="宋体"/>
          <w:b/>
          <w:bCs/>
          <w:snapToGrid w:val="0"/>
          <w:color w:val="auto"/>
          <w:spacing w:val="24"/>
          <w:kern w:val="0"/>
          <w:sz w:val="32"/>
          <w:szCs w:val="32"/>
          <w:highlight w:val="none"/>
        </w:rPr>
      </w:pPr>
      <w:r>
        <w:rPr>
          <w:rFonts w:hint="eastAsia" w:ascii="宋体" w:hAnsi="宋体" w:cs="宋体"/>
          <w:b/>
          <w:bCs/>
          <w:snapToGrid w:val="0"/>
          <w:color w:val="auto"/>
          <w:spacing w:val="24"/>
          <w:kern w:val="0"/>
          <w:sz w:val="32"/>
          <w:szCs w:val="32"/>
          <w:highlight w:val="none"/>
        </w:rPr>
        <w:t>履约保函(格式参考)</w:t>
      </w:r>
    </w:p>
    <w:p w14:paraId="6F445B71">
      <w:pPr>
        <w:spacing w:line="360" w:lineRule="auto"/>
        <w:rPr>
          <w:rFonts w:ascii="仿宋_GB2312" w:hAnsi="仿宋_GB2312" w:eastAsia="仿宋_GB2312" w:cs="仿宋_GB2312"/>
          <w:snapToGrid w:val="0"/>
          <w:color w:val="auto"/>
          <w:spacing w:val="24"/>
          <w:kern w:val="0"/>
          <w:sz w:val="24"/>
          <w:highlight w:val="none"/>
        </w:rPr>
      </w:pPr>
    </w:p>
    <w:p w14:paraId="2C74FBEF">
      <w:pPr>
        <w:spacing w:line="360" w:lineRule="auto"/>
        <w:ind w:firstLine="696" w:firstLineChars="200"/>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致：广州市天投城市更新有限公司</w:t>
      </w:r>
    </w:p>
    <w:p w14:paraId="1EF1B94C">
      <w:pPr>
        <w:spacing w:line="360" w:lineRule="auto"/>
        <w:ind w:firstLine="696" w:firstLineChars="200"/>
        <w:rPr>
          <w:rFonts w:ascii="仿宋_GB2312" w:hAnsi="仿宋_GB2312" w:eastAsia="仿宋_GB2312" w:cs="仿宋_GB2312"/>
          <w:color w:val="auto"/>
          <w:sz w:val="30"/>
          <w:szCs w:val="30"/>
          <w:highlight w:val="none"/>
          <w:u w:val="single"/>
        </w:rPr>
      </w:pPr>
      <w:r>
        <w:rPr>
          <w:rFonts w:hint="eastAsia" w:ascii="仿宋_GB2312" w:hAnsi="仿宋_GB2312" w:eastAsia="仿宋_GB2312" w:cs="仿宋_GB2312"/>
          <w:snapToGrid w:val="0"/>
          <w:color w:val="auto"/>
          <w:spacing w:val="24"/>
          <w:kern w:val="0"/>
          <w:sz w:val="30"/>
          <w:szCs w:val="30"/>
          <w:highlight w:val="none"/>
        </w:rPr>
        <w:t>鉴于</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snapToGrid w:val="0"/>
          <w:color w:val="auto"/>
          <w:spacing w:val="24"/>
          <w:kern w:val="0"/>
          <w:sz w:val="30"/>
          <w:szCs w:val="30"/>
          <w:highlight w:val="none"/>
        </w:rPr>
        <w:t>(以下简称“承包人”)已与</w:t>
      </w:r>
      <w:r>
        <w:rPr>
          <w:rFonts w:hint="eastAsia" w:ascii="仿宋_GB2312" w:hAnsi="仿宋_GB2312" w:eastAsia="仿宋_GB2312" w:cs="仿宋_GB2312"/>
          <w:color w:val="auto"/>
          <w:sz w:val="30"/>
          <w:szCs w:val="30"/>
          <w:highlight w:val="none"/>
          <w:u w:val="single"/>
        </w:rPr>
        <w:t>广州市天投城市更新有限公司</w:t>
      </w:r>
      <w:r>
        <w:rPr>
          <w:rFonts w:hint="eastAsia" w:ascii="仿宋_GB2312" w:hAnsi="仿宋_GB2312" w:eastAsia="仿宋_GB2312" w:cs="仿宋_GB2312"/>
          <w:color w:val="auto"/>
          <w:sz w:val="30"/>
          <w:szCs w:val="30"/>
          <w:highlight w:val="none"/>
        </w:rPr>
        <w:t>（下称“你方”）签订了《</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 xml:space="preserve">合同》（合同编号：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rPr>
        <w:t>）</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Cs/>
          <w:color w:val="auto"/>
          <w:sz w:val="30"/>
          <w:szCs w:val="30"/>
          <w:highlight w:val="none"/>
        </w:rPr>
        <w:t>上述合同</w:t>
      </w:r>
      <w:r>
        <w:rPr>
          <w:rFonts w:hint="eastAsia" w:ascii="仿宋_GB2312" w:hAnsi="仿宋_GB2312" w:eastAsia="仿宋_GB2312" w:cs="仿宋_GB2312"/>
          <w:color w:val="auto"/>
          <w:sz w:val="30"/>
          <w:szCs w:val="30"/>
          <w:highlight w:val="none"/>
        </w:rPr>
        <w:t>简称“该合同”。你方在该合同中要求承包人向你方提交下述金额的银行开具履约保函，作为承包方履行该合同的保证。本银行同意为承包方出具本保函。</w:t>
      </w:r>
    </w:p>
    <w:p w14:paraId="3A5E584D">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根据本保函，本银行向你方承担保证责任最高限额为人民币</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元（大写:</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）[合同总价的10%]，并无条件接受本保函的约束。</w:t>
      </w:r>
    </w:p>
    <w:p w14:paraId="506E4495">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方在履行该合同过程中，因违反合同义务而应承担违约金的支付责任时，在你方以书面形式提出要求得到上述金额内的任何付款时，本银行于3日内给予支付，不挑剔，不争辩，也不要求你方出具证明或说明背景、理由。</w:t>
      </w:r>
    </w:p>
    <w:p w14:paraId="3149F454">
      <w:pPr>
        <w:spacing w:line="360" w:lineRule="auto"/>
        <w:ind w:firstLine="584" w:firstLineChars="200"/>
        <w:rPr>
          <w:rFonts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本银行放弃你方应先向</w:t>
      </w:r>
      <w:r>
        <w:rPr>
          <w:rFonts w:hint="eastAsia" w:ascii="仿宋_GB2312" w:hAnsi="仿宋_GB2312" w:eastAsia="仿宋_GB2312" w:cs="仿宋_GB2312"/>
          <w:color w:val="auto"/>
          <w:sz w:val="30"/>
          <w:szCs w:val="30"/>
          <w:highlight w:val="none"/>
        </w:rPr>
        <w:t>承包方</w:t>
      </w:r>
      <w:r>
        <w:rPr>
          <w:rFonts w:hint="eastAsia" w:ascii="仿宋_GB2312" w:hAnsi="仿宋_GB2312" w:eastAsia="仿宋_GB2312" w:cs="仿宋_GB2312"/>
          <w:color w:val="auto"/>
          <w:spacing w:val="-4"/>
          <w:sz w:val="30"/>
          <w:szCs w:val="30"/>
          <w:highlight w:val="none"/>
        </w:rPr>
        <w:t>要求赔偿上述金额然后再向本银行提出要求的权力。</w:t>
      </w:r>
    </w:p>
    <w:p w14:paraId="7D2EF914">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本银行还同意在你方、承包方之间的合同条款发生变更、补充或修改后，本银行承担本保函的责任也不改变，有关上述变更、补充或修改也无须通知本银行。</w:t>
      </w:r>
    </w:p>
    <w:p w14:paraId="0E1667CF">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本保函效力自该合同签订之日起，至承包方全部完成该合同约定事项之日止，但本保函有效期最长不超过_______年______月______日。</w:t>
      </w:r>
    </w:p>
    <w:p w14:paraId="0C992746">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本保函有效期届满或提前终止，本保函自动失效，我行在本保函项下的义务与责任自动全部消灭，此后提出的任何索赔均为无效索赔，我行无义务作出任何赔付。</w:t>
      </w:r>
    </w:p>
    <w:p w14:paraId="6A846F4F">
      <w:pPr>
        <w:spacing w:line="360" w:lineRule="auto"/>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所有索赔通知和本保函正本须在本保函有效期内我行营业时间内到达本保函规定的地址，即每个银行营业日 16点前，否则视为在下一个银行营业日到达。</w:t>
      </w:r>
    </w:p>
    <w:p w14:paraId="75AF2374">
      <w:pPr>
        <w:spacing w:line="360" w:lineRule="auto"/>
        <w:ind w:firstLine="600" w:firstLineChars="200"/>
        <w:rPr>
          <w:rFonts w:ascii="宋体" w:hAnsi="宋体"/>
          <w:color w:val="auto"/>
          <w:sz w:val="24"/>
          <w:highlight w:val="none"/>
          <w:u w:val="single"/>
        </w:rPr>
      </w:pPr>
      <w:r>
        <w:rPr>
          <w:rFonts w:hint="eastAsia" w:ascii="仿宋_GB2312" w:hAnsi="仿宋_GB2312" w:eastAsia="仿宋_GB2312" w:cs="仿宋_GB2312"/>
          <w:color w:val="auto"/>
          <w:sz w:val="30"/>
          <w:szCs w:val="30"/>
          <w:highlight w:val="none"/>
        </w:rPr>
        <w:t>本保函自我行负责人或授权代理人签字并加盖公章之日起生效。</w:t>
      </w:r>
    </w:p>
    <w:p w14:paraId="5AF01FB6">
      <w:pPr>
        <w:spacing w:line="360" w:lineRule="auto"/>
        <w:ind w:firstLine="696" w:firstLineChars="200"/>
        <w:rPr>
          <w:rFonts w:ascii="仿宋_GB2312" w:hAnsi="仿宋_GB2312" w:eastAsia="仿宋_GB2312" w:cs="仿宋_GB2312"/>
          <w:snapToGrid w:val="0"/>
          <w:color w:val="auto"/>
          <w:spacing w:val="24"/>
          <w:kern w:val="0"/>
          <w:sz w:val="30"/>
          <w:szCs w:val="30"/>
          <w:highlight w:val="none"/>
          <w:u w:val="single"/>
        </w:rPr>
      </w:pPr>
    </w:p>
    <w:p w14:paraId="48FD6BA6">
      <w:pPr>
        <w:spacing w:line="360" w:lineRule="auto"/>
        <w:ind w:firstLine="3132" w:firstLineChars="900"/>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银行名称：  ( 盖 章 )</w:t>
      </w:r>
    </w:p>
    <w:p w14:paraId="3D1793AD">
      <w:pPr>
        <w:spacing w:line="360" w:lineRule="auto"/>
        <w:jc w:val="center"/>
        <w:rPr>
          <w:rFonts w:ascii="仿宋_GB2312" w:hAnsi="仿宋_GB2312" w:eastAsia="仿宋_GB2312" w:cs="仿宋_GB2312"/>
          <w:snapToGrid w:val="0"/>
          <w:color w:val="auto"/>
          <w:spacing w:val="24"/>
          <w:kern w:val="0"/>
          <w:sz w:val="30"/>
          <w:szCs w:val="30"/>
          <w:highlight w:val="none"/>
        </w:rPr>
      </w:pPr>
      <w:r>
        <w:rPr>
          <w:rFonts w:hint="eastAsia" w:ascii="仿宋_GB2312" w:hAnsi="仿宋_GB2312" w:eastAsia="仿宋_GB2312" w:cs="仿宋_GB2312"/>
          <w:snapToGrid w:val="0"/>
          <w:color w:val="auto"/>
          <w:spacing w:val="24"/>
          <w:kern w:val="0"/>
          <w:sz w:val="30"/>
          <w:szCs w:val="30"/>
          <w:highlight w:val="none"/>
        </w:rPr>
        <w:t xml:space="preserve">  银行负责人或委托代理人：</w:t>
      </w:r>
    </w:p>
    <w:p w14:paraId="4C891B8E">
      <w:pPr>
        <w:pStyle w:val="4"/>
        <w:rPr>
          <w:color w:val="auto"/>
          <w:highlight w:val="none"/>
        </w:rPr>
      </w:pPr>
      <w:r>
        <w:rPr>
          <w:rFonts w:hint="eastAsia" w:ascii="仿宋_GB2312" w:hAnsi="仿宋_GB2312" w:eastAsia="仿宋_GB2312" w:cs="仿宋_GB2312"/>
          <w:b w:val="0"/>
          <w:snapToGrid w:val="0"/>
          <w:color w:val="auto"/>
          <w:spacing w:val="24"/>
          <w:kern w:val="0"/>
          <w:sz w:val="30"/>
          <w:szCs w:val="30"/>
          <w:highlight w:val="none"/>
          <w:lang w:eastAsia="en-US"/>
        </w:rPr>
        <w:t>日  期：     年    月    日</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5E61">
    <w:pPr>
      <w:pStyle w:val="14"/>
      <w:framePr w:wrap="around" w:vAnchor="text" w:hAnchor="margin" w:xAlign="center" w:y="1"/>
      <w:rPr>
        <w:rStyle w:val="19"/>
      </w:rPr>
    </w:pPr>
    <w:r>
      <w:fldChar w:fldCharType="begin"/>
    </w:r>
    <w:r>
      <w:rPr>
        <w:rStyle w:val="19"/>
      </w:rPr>
      <w:instrText xml:space="preserve">PAGE  </w:instrText>
    </w:r>
    <w:r>
      <w:fldChar w:fldCharType="end"/>
    </w:r>
  </w:p>
  <w:p w14:paraId="4F6474D9">
    <w:pPr>
      <w:pStyle w:val="14"/>
    </w:pPr>
  </w:p>
  <w:p w14:paraId="5BE378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F23E">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EA00A8">
                          <w:pPr>
                            <w:pStyle w:val="14"/>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51EA00A8">
                    <w:pPr>
                      <w:pStyle w:val="14"/>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FBC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F1C5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0AF1C54">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CD"/>
    <w:rsid w:val="00001269"/>
    <w:rsid w:val="0000420C"/>
    <w:rsid w:val="00013C45"/>
    <w:rsid w:val="00030AA1"/>
    <w:rsid w:val="000313B6"/>
    <w:rsid w:val="00041902"/>
    <w:rsid w:val="00057113"/>
    <w:rsid w:val="000579A4"/>
    <w:rsid w:val="00062AC4"/>
    <w:rsid w:val="00070EC5"/>
    <w:rsid w:val="0008177E"/>
    <w:rsid w:val="00082611"/>
    <w:rsid w:val="00092E8A"/>
    <w:rsid w:val="00093242"/>
    <w:rsid w:val="0009769C"/>
    <w:rsid w:val="000A2A28"/>
    <w:rsid w:val="000A39DE"/>
    <w:rsid w:val="000B384A"/>
    <w:rsid w:val="000B40D8"/>
    <w:rsid w:val="000D0B9E"/>
    <w:rsid w:val="000E3A18"/>
    <w:rsid w:val="000F0B54"/>
    <w:rsid w:val="000F79EC"/>
    <w:rsid w:val="00115CF2"/>
    <w:rsid w:val="0012687B"/>
    <w:rsid w:val="00130006"/>
    <w:rsid w:val="00153A80"/>
    <w:rsid w:val="00170A1E"/>
    <w:rsid w:val="00175168"/>
    <w:rsid w:val="00182079"/>
    <w:rsid w:val="00182C1E"/>
    <w:rsid w:val="001927BD"/>
    <w:rsid w:val="001A68BD"/>
    <w:rsid w:val="001B4E72"/>
    <w:rsid w:val="001C56A0"/>
    <w:rsid w:val="001D0173"/>
    <w:rsid w:val="001E654E"/>
    <w:rsid w:val="001F4CE2"/>
    <w:rsid w:val="001F5A31"/>
    <w:rsid w:val="0021191B"/>
    <w:rsid w:val="00211E18"/>
    <w:rsid w:val="00212189"/>
    <w:rsid w:val="00214492"/>
    <w:rsid w:val="002402E0"/>
    <w:rsid w:val="002462B5"/>
    <w:rsid w:val="0025418B"/>
    <w:rsid w:val="002673BD"/>
    <w:rsid w:val="0028470D"/>
    <w:rsid w:val="0028568F"/>
    <w:rsid w:val="00285AB3"/>
    <w:rsid w:val="00286C15"/>
    <w:rsid w:val="00291E26"/>
    <w:rsid w:val="002A020A"/>
    <w:rsid w:val="002B1B30"/>
    <w:rsid w:val="002B3CBC"/>
    <w:rsid w:val="002C29AB"/>
    <w:rsid w:val="002C3E4A"/>
    <w:rsid w:val="002C79FB"/>
    <w:rsid w:val="002D1BE9"/>
    <w:rsid w:val="002E0285"/>
    <w:rsid w:val="002E61D6"/>
    <w:rsid w:val="0030338B"/>
    <w:rsid w:val="00303DFA"/>
    <w:rsid w:val="0031467A"/>
    <w:rsid w:val="00317CF4"/>
    <w:rsid w:val="00330E4A"/>
    <w:rsid w:val="00334F1D"/>
    <w:rsid w:val="00341674"/>
    <w:rsid w:val="00341849"/>
    <w:rsid w:val="00343497"/>
    <w:rsid w:val="00345112"/>
    <w:rsid w:val="00356B8E"/>
    <w:rsid w:val="003632A1"/>
    <w:rsid w:val="003800E6"/>
    <w:rsid w:val="00386619"/>
    <w:rsid w:val="0039099D"/>
    <w:rsid w:val="00395E75"/>
    <w:rsid w:val="003969BE"/>
    <w:rsid w:val="0039712C"/>
    <w:rsid w:val="003A4BE6"/>
    <w:rsid w:val="003A72F4"/>
    <w:rsid w:val="003A7AFD"/>
    <w:rsid w:val="003B4D18"/>
    <w:rsid w:val="003B5298"/>
    <w:rsid w:val="003C340A"/>
    <w:rsid w:val="003C6B9C"/>
    <w:rsid w:val="003D221F"/>
    <w:rsid w:val="003E1FD9"/>
    <w:rsid w:val="003E3A13"/>
    <w:rsid w:val="003F23E8"/>
    <w:rsid w:val="003F3154"/>
    <w:rsid w:val="003F7F06"/>
    <w:rsid w:val="004167BC"/>
    <w:rsid w:val="00420489"/>
    <w:rsid w:val="00424AB7"/>
    <w:rsid w:val="004324AA"/>
    <w:rsid w:val="00432CC7"/>
    <w:rsid w:val="0044384F"/>
    <w:rsid w:val="00457878"/>
    <w:rsid w:val="00466338"/>
    <w:rsid w:val="00475FF0"/>
    <w:rsid w:val="004A24B0"/>
    <w:rsid w:val="004A5A0D"/>
    <w:rsid w:val="004B124F"/>
    <w:rsid w:val="004B170B"/>
    <w:rsid w:val="004C7807"/>
    <w:rsid w:val="004F02D4"/>
    <w:rsid w:val="00500771"/>
    <w:rsid w:val="00506925"/>
    <w:rsid w:val="005237DB"/>
    <w:rsid w:val="00525612"/>
    <w:rsid w:val="005401EB"/>
    <w:rsid w:val="0055798E"/>
    <w:rsid w:val="00566734"/>
    <w:rsid w:val="00580E5C"/>
    <w:rsid w:val="005825DD"/>
    <w:rsid w:val="00583640"/>
    <w:rsid w:val="00586833"/>
    <w:rsid w:val="00591420"/>
    <w:rsid w:val="005A0B61"/>
    <w:rsid w:val="005B22BC"/>
    <w:rsid w:val="005C0E57"/>
    <w:rsid w:val="005D5006"/>
    <w:rsid w:val="005F7C4F"/>
    <w:rsid w:val="00611859"/>
    <w:rsid w:val="00613556"/>
    <w:rsid w:val="00622A5A"/>
    <w:rsid w:val="00634237"/>
    <w:rsid w:val="0063503E"/>
    <w:rsid w:val="00637C23"/>
    <w:rsid w:val="00641984"/>
    <w:rsid w:val="00670ED2"/>
    <w:rsid w:val="0068015E"/>
    <w:rsid w:val="006A2CEF"/>
    <w:rsid w:val="006B35DD"/>
    <w:rsid w:val="006B5539"/>
    <w:rsid w:val="006C5CB3"/>
    <w:rsid w:val="006C6D6A"/>
    <w:rsid w:val="006D0B71"/>
    <w:rsid w:val="006D3CA6"/>
    <w:rsid w:val="006D75E7"/>
    <w:rsid w:val="006E4906"/>
    <w:rsid w:val="006F01A4"/>
    <w:rsid w:val="006F7981"/>
    <w:rsid w:val="006F7FD9"/>
    <w:rsid w:val="007044C0"/>
    <w:rsid w:val="00710853"/>
    <w:rsid w:val="007125F5"/>
    <w:rsid w:val="00730716"/>
    <w:rsid w:val="00742398"/>
    <w:rsid w:val="0074777B"/>
    <w:rsid w:val="007654F4"/>
    <w:rsid w:val="00767085"/>
    <w:rsid w:val="007677DE"/>
    <w:rsid w:val="00770892"/>
    <w:rsid w:val="00773754"/>
    <w:rsid w:val="007833B6"/>
    <w:rsid w:val="00786979"/>
    <w:rsid w:val="00786DA5"/>
    <w:rsid w:val="007A002F"/>
    <w:rsid w:val="007A2858"/>
    <w:rsid w:val="007A2FDD"/>
    <w:rsid w:val="007A489C"/>
    <w:rsid w:val="007B5630"/>
    <w:rsid w:val="007B7827"/>
    <w:rsid w:val="007C20F7"/>
    <w:rsid w:val="007C388E"/>
    <w:rsid w:val="007C44ED"/>
    <w:rsid w:val="007D476D"/>
    <w:rsid w:val="007D6A7C"/>
    <w:rsid w:val="007E001B"/>
    <w:rsid w:val="007E4C29"/>
    <w:rsid w:val="007E60CB"/>
    <w:rsid w:val="007E7F01"/>
    <w:rsid w:val="007F1320"/>
    <w:rsid w:val="007F4111"/>
    <w:rsid w:val="00803C0C"/>
    <w:rsid w:val="00820236"/>
    <w:rsid w:val="00821B3C"/>
    <w:rsid w:val="0083020F"/>
    <w:rsid w:val="008304F7"/>
    <w:rsid w:val="00833998"/>
    <w:rsid w:val="00854A1D"/>
    <w:rsid w:val="00856CF7"/>
    <w:rsid w:val="00857B72"/>
    <w:rsid w:val="008612D0"/>
    <w:rsid w:val="00862744"/>
    <w:rsid w:val="00873CBD"/>
    <w:rsid w:val="0087637F"/>
    <w:rsid w:val="00882A6B"/>
    <w:rsid w:val="008A4C58"/>
    <w:rsid w:val="008A6273"/>
    <w:rsid w:val="008A7888"/>
    <w:rsid w:val="008B5BB7"/>
    <w:rsid w:val="008C05C3"/>
    <w:rsid w:val="008D1517"/>
    <w:rsid w:val="008D29C1"/>
    <w:rsid w:val="008D3410"/>
    <w:rsid w:val="008D4B65"/>
    <w:rsid w:val="00901D13"/>
    <w:rsid w:val="009053AD"/>
    <w:rsid w:val="0091058A"/>
    <w:rsid w:val="00920075"/>
    <w:rsid w:val="009266EC"/>
    <w:rsid w:val="00932763"/>
    <w:rsid w:val="0093398F"/>
    <w:rsid w:val="00940DFF"/>
    <w:rsid w:val="00942650"/>
    <w:rsid w:val="009459B7"/>
    <w:rsid w:val="009459BF"/>
    <w:rsid w:val="009572FF"/>
    <w:rsid w:val="009675D8"/>
    <w:rsid w:val="00972839"/>
    <w:rsid w:val="00973242"/>
    <w:rsid w:val="00977B41"/>
    <w:rsid w:val="0099488A"/>
    <w:rsid w:val="00994A5B"/>
    <w:rsid w:val="009B0968"/>
    <w:rsid w:val="009B3470"/>
    <w:rsid w:val="009D2A98"/>
    <w:rsid w:val="009D63E5"/>
    <w:rsid w:val="009D66CD"/>
    <w:rsid w:val="009D7352"/>
    <w:rsid w:val="009E1270"/>
    <w:rsid w:val="009E2D93"/>
    <w:rsid w:val="009E6E0D"/>
    <w:rsid w:val="009F3112"/>
    <w:rsid w:val="00A021A9"/>
    <w:rsid w:val="00A314B3"/>
    <w:rsid w:val="00A343CA"/>
    <w:rsid w:val="00A43A4F"/>
    <w:rsid w:val="00A46812"/>
    <w:rsid w:val="00A46C65"/>
    <w:rsid w:val="00A53B32"/>
    <w:rsid w:val="00A5459A"/>
    <w:rsid w:val="00A6027C"/>
    <w:rsid w:val="00A6759A"/>
    <w:rsid w:val="00A81159"/>
    <w:rsid w:val="00A85579"/>
    <w:rsid w:val="00A91C20"/>
    <w:rsid w:val="00A967FC"/>
    <w:rsid w:val="00AA3820"/>
    <w:rsid w:val="00AB4128"/>
    <w:rsid w:val="00AC00FC"/>
    <w:rsid w:val="00AC0879"/>
    <w:rsid w:val="00AD70B5"/>
    <w:rsid w:val="00AE62D8"/>
    <w:rsid w:val="00AF0970"/>
    <w:rsid w:val="00B2380F"/>
    <w:rsid w:val="00B30EC7"/>
    <w:rsid w:val="00B329D5"/>
    <w:rsid w:val="00B347D1"/>
    <w:rsid w:val="00B4140A"/>
    <w:rsid w:val="00B512F0"/>
    <w:rsid w:val="00B7251C"/>
    <w:rsid w:val="00B86D86"/>
    <w:rsid w:val="00B93377"/>
    <w:rsid w:val="00BB074F"/>
    <w:rsid w:val="00BB7FDF"/>
    <w:rsid w:val="00BD04F8"/>
    <w:rsid w:val="00C06AF1"/>
    <w:rsid w:val="00C14210"/>
    <w:rsid w:val="00C2243B"/>
    <w:rsid w:val="00C338C9"/>
    <w:rsid w:val="00C34A2D"/>
    <w:rsid w:val="00C42506"/>
    <w:rsid w:val="00C545B3"/>
    <w:rsid w:val="00C64A3E"/>
    <w:rsid w:val="00C66D2F"/>
    <w:rsid w:val="00C73F6F"/>
    <w:rsid w:val="00C813F2"/>
    <w:rsid w:val="00CB3138"/>
    <w:rsid w:val="00CB5B88"/>
    <w:rsid w:val="00CC1EE1"/>
    <w:rsid w:val="00CC3348"/>
    <w:rsid w:val="00CC3362"/>
    <w:rsid w:val="00CE242F"/>
    <w:rsid w:val="00CE72D7"/>
    <w:rsid w:val="00CF2E8F"/>
    <w:rsid w:val="00CF4376"/>
    <w:rsid w:val="00CF5358"/>
    <w:rsid w:val="00D2116D"/>
    <w:rsid w:val="00D23CC1"/>
    <w:rsid w:val="00D3090F"/>
    <w:rsid w:val="00D32F5E"/>
    <w:rsid w:val="00D37CC5"/>
    <w:rsid w:val="00D511CA"/>
    <w:rsid w:val="00D56E67"/>
    <w:rsid w:val="00D62D48"/>
    <w:rsid w:val="00D739F0"/>
    <w:rsid w:val="00D7750C"/>
    <w:rsid w:val="00D92EB8"/>
    <w:rsid w:val="00D94198"/>
    <w:rsid w:val="00D9508C"/>
    <w:rsid w:val="00DA71EB"/>
    <w:rsid w:val="00DC447F"/>
    <w:rsid w:val="00DC7427"/>
    <w:rsid w:val="00DD1891"/>
    <w:rsid w:val="00DD2D98"/>
    <w:rsid w:val="00DE57AA"/>
    <w:rsid w:val="00DE599B"/>
    <w:rsid w:val="00DF5FDE"/>
    <w:rsid w:val="00E06077"/>
    <w:rsid w:val="00E21E69"/>
    <w:rsid w:val="00E33CB6"/>
    <w:rsid w:val="00E45D4E"/>
    <w:rsid w:val="00E532CF"/>
    <w:rsid w:val="00E56040"/>
    <w:rsid w:val="00E806D8"/>
    <w:rsid w:val="00E81AA5"/>
    <w:rsid w:val="00E93B74"/>
    <w:rsid w:val="00E94947"/>
    <w:rsid w:val="00EA7876"/>
    <w:rsid w:val="00EB69FE"/>
    <w:rsid w:val="00ED6FFA"/>
    <w:rsid w:val="00EE6E17"/>
    <w:rsid w:val="00EF16C8"/>
    <w:rsid w:val="00F02520"/>
    <w:rsid w:val="00F24D6B"/>
    <w:rsid w:val="00F26FB2"/>
    <w:rsid w:val="00F31070"/>
    <w:rsid w:val="00F340B9"/>
    <w:rsid w:val="00F4053E"/>
    <w:rsid w:val="00F44160"/>
    <w:rsid w:val="00F55521"/>
    <w:rsid w:val="00F71867"/>
    <w:rsid w:val="00F71A69"/>
    <w:rsid w:val="00F84DC7"/>
    <w:rsid w:val="00F911FA"/>
    <w:rsid w:val="00FA0963"/>
    <w:rsid w:val="00FA46AA"/>
    <w:rsid w:val="00FA4B77"/>
    <w:rsid w:val="00FA54AE"/>
    <w:rsid w:val="00FB5FC4"/>
    <w:rsid w:val="00FB7F81"/>
    <w:rsid w:val="00FC0817"/>
    <w:rsid w:val="00FC0B42"/>
    <w:rsid w:val="00FC2CFD"/>
    <w:rsid w:val="00FD22CF"/>
    <w:rsid w:val="00FE3651"/>
    <w:rsid w:val="00FE4099"/>
    <w:rsid w:val="00FE7E98"/>
    <w:rsid w:val="00FF2DF4"/>
    <w:rsid w:val="013F4760"/>
    <w:rsid w:val="020B0799"/>
    <w:rsid w:val="02FD4578"/>
    <w:rsid w:val="031A455B"/>
    <w:rsid w:val="05C43A86"/>
    <w:rsid w:val="064B3488"/>
    <w:rsid w:val="081E782B"/>
    <w:rsid w:val="08301917"/>
    <w:rsid w:val="08592374"/>
    <w:rsid w:val="086F65E7"/>
    <w:rsid w:val="09823CB9"/>
    <w:rsid w:val="09C95B5D"/>
    <w:rsid w:val="09E63251"/>
    <w:rsid w:val="0ABE0E1D"/>
    <w:rsid w:val="0B506596"/>
    <w:rsid w:val="0D3216B4"/>
    <w:rsid w:val="0DBF4B4E"/>
    <w:rsid w:val="0E8B2A60"/>
    <w:rsid w:val="0E8F6310"/>
    <w:rsid w:val="0EDB1096"/>
    <w:rsid w:val="0F0D32B1"/>
    <w:rsid w:val="10B14AEE"/>
    <w:rsid w:val="1186241B"/>
    <w:rsid w:val="11A61640"/>
    <w:rsid w:val="12C65E9F"/>
    <w:rsid w:val="14326FB5"/>
    <w:rsid w:val="144601C5"/>
    <w:rsid w:val="151A1A05"/>
    <w:rsid w:val="15DA7F55"/>
    <w:rsid w:val="16236B2E"/>
    <w:rsid w:val="16346639"/>
    <w:rsid w:val="16BE6CA9"/>
    <w:rsid w:val="17563E2E"/>
    <w:rsid w:val="17DB3518"/>
    <w:rsid w:val="18114C14"/>
    <w:rsid w:val="183B28F9"/>
    <w:rsid w:val="18911B2C"/>
    <w:rsid w:val="18F012B0"/>
    <w:rsid w:val="18F80F71"/>
    <w:rsid w:val="190D54AC"/>
    <w:rsid w:val="19457CE9"/>
    <w:rsid w:val="196D5FDA"/>
    <w:rsid w:val="19B24E9B"/>
    <w:rsid w:val="19CF01E0"/>
    <w:rsid w:val="1A337C25"/>
    <w:rsid w:val="1AA22489"/>
    <w:rsid w:val="1B604A89"/>
    <w:rsid w:val="1BC67BEF"/>
    <w:rsid w:val="1BE53693"/>
    <w:rsid w:val="1DF934FF"/>
    <w:rsid w:val="1E5A3DDF"/>
    <w:rsid w:val="1E9F5A39"/>
    <w:rsid w:val="1EC466AC"/>
    <w:rsid w:val="1FDA5220"/>
    <w:rsid w:val="204D678B"/>
    <w:rsid w:val="205C3572"/>
    <w:rsid w:val="21C150DA"/>
    <w:rsid w:val="22962A2A"/>
    <w:rsid w:val="22B86B02"/>
    <w:rsid w:val="23D11156"/>
    <w:rsid w:val="240A6D7F"/>
    <w:rsid w:val="24573806"/>
    <w:rsid w:val="250848CE"/>
    <w:rsid w:val="263D71F8"/>
    <w:rsid w:val="26A60805"/>
    <w:rsid w:val="28B208E1"/>
    <w:rsid w:val="29846268"/>
    <w:rsid w:val="29936504"/>
    <w:rsid w:val="2AD45C33"/>
    <w:rsid w:val="2BC96AF5"/>
    <w:rsid w:val="2BD961C4"/>
    <w:rsid w:val="2C2E507E"/>
    <w:rsid w:val="2C921A2B"/>
    <w:rsid w:val="2C9F28C3"/>
    <w:rsid w:val="2D5C6EDE"/>
    <w:rsid w:val="2D6A408E"/>
    <w:rsid w:val="2DC86F5C"/>
    <w:rsid w:val="2E04428C"/>
    <w:rsid w:val="2E6412A6"/>
    <w:rsid w:val="2EDF6ECB"/>
    <w:rsid w:val="2F552AC3"/>
    <w:rsid w:val="2FDA2B8D"/>
    <w:rsid w:val="2FE31161"/>
    <w:rsid w:val="30B06B83"/>
    <w:rsid w:val="30F3511D"/>
    <w:rsid w:val="316A5972"/>
    <w:rsid w:val="32332794"/>
    <w:rsid w:val="34C012ED"/>
    <w:rsid w:val="34CD167F"/>
    <w:rsid w:val="35A9039B"/>
    <w:rsid w:val="36D95CDA"/>
    <w:rsid w:val="36F86858"/>
    <w:rsid w:val="377731A5"/>
    <w:rsid w:val="39143E40"/>
    <w:rsid w:val="39BD424A"/>
    <w:rsid w:val="3A8D75CE"/>
    <w:rsid w:val="3CDC710F"/>
    <w:rsid w:val="3D7D4486"/>
    <w:rsid w:val="3DD30D2F"/>
    <w:rsid w:val="3DFB285E"/>
    <w:rsid w:val="3DFB69D5"/>
    <w:rsid w:val="3E770FD0"/>
    <w:rsid w:val="3ED010B2"/>
    <w:rsid w:val="3F017B7A"/>
    <w:rsid w:val="40394E99"/>
    <w:rsid w:val="415002B1"/>
    <w:rsid w:val="42293DA7"/>
    <w:rsid w:val="433E1EB3"/>
    <w:rsid w:val="435B39AA"/>
    <w:rsid w:val="43880FAC"/>
    <w:rsid w:val="44285B76"/>
    <w:rsid w:val="44A8094A"/>
    <w:rsid w:val="45ED381A"/>
    <w:rsid w:val="45F839CA"/>
    <w:rsid w:val="460E0898"/>
    <w:rsid w:val="46240B9F"/>
    <w:rsid w:val="46E026FB"/>
    <w:rsid w:val="47A65844"/>
    <w:rsid w:val="47D61177"/>
    <w:rsid w:val="47F14B15"/>
    <w:rsid w:val="4896281B"/>
    <w:rsid w:val="490473B8"/>
    <w:rsid w:val="49670136"/>
    <w:rsid w:val="4A9F6A10"/>
    <w:rsid w:val="4CB9058A"/>
    <w:rsid w:val="4CD80DE3"/>
    <w:rsid w:val="4EB15A8C"/>
    <w:rsid w:val="4F904859"/>
    <w:rsid w:val="4F9600E3"/>
    <w:rsid w:val="4FCE6A93"/>
    <w:rsid w:val="50AB1369"/>
    <w:rsid w:val="511F461D"/>
    <w:rsid w:val="51EB5721"/>
    <w:rsid w:val="51ED38E3"/>
    <w:rsid w:val="51F80541"/>
    <w:rsid w:val="52394BBF"/>
    <w:rsid w:val="529131B7"/>
    <w:rsid w:val="543E7784"/>
    <w:rsid w:val="5486598F"/>
    <w:rsid w:val="55194395"/>
    <w:rsid w:val="551B0BC2"/>
    <w:rsid w:val="5577225B"/>
    <w:rsid w:val="5630336B"/>
    <w:rsid w:val="56C94876"/>
    <w:rsid w:val="56EC484D"/>
    <w:rsid w:val="591C6125"/>
    <w:rsid w:val="59436D87"/>
    <w:rsid w:val="59587FDB"/>
    <w:rsid w:val="5A733BEE"/>
    <w:rsid w:val="5B073A5D"/>
    <w:rsid w:val="5B6F3C5C"/>
    <w:rsid w:val="5B790F58"/>
    <w:rsid w:val="5C03181D"/>
    <w:rsid w:val="5D0C7946"/>
    <w:rsid w:val="5D5005F0"/>
    <w:rsid w:val="5DC26513"/>
    <w:rsid w:val="600D3BA4"/>
    <w:rsid w:val="60C02CE7"/>
    <w:rsid w:val="621A759E"/>
    <w:rsid w:val="62B20E71"/>
    <w:rsid w:val="62C9395D"/>
    <w:rsid w:val="64177071"/>
    <w:rsid w:val="65514490"/>
    <w:rsid w:val="66F6118C"/>
    <w:rsid w:val="67756E04"/>
    <w:rsid w:val="690F2EED"/>
    <w:rsid w:val="6966302F"/>
    <w:rsid w:val="6B2F13D4"/>
    <w:rsid w:val="6B8E1ED0"/>
    <w:rsid w:val="6BBF5104"/>
    <w:rsid w:val="6C392437"/>
    <w:rsid w:val="6C4F42CD"/>
    <w:rsid w:val="6CE0261F"/>
    <w:rsid w:val="6D6B6CDF"/>
    <w:rsid w:val="6D770AA6"/>
    <w:rsid w:val="6E42391A"/>
    <w:rsid w:val="6E4C64EB"/>
    <w:rsid w:val="6EF61E76"/>
    <w:rsid w:val="6EF70EA3"/>
    <w:rsid w:val="6F710355"/>
    <w:rsid w:val="6F732F38"/>
    <w:rsid w:val="6F73771B"/>
    <w:rsid w:val="704744E1"/>
    <w:rsid w:val="72324939"/>
    <w:rsid w:val="72663EBE"/>
    <w:rsid w:val="728C6931"/>
    <w:rsid w:val="734346C6"/>
    <w:rsid w:val="734A34A6"/>
    <w:rsid w:val="7378409A"/>
    <w:rsid w:val="739C06B8"/>
    <w:rsid w:val="74281613"/>
    <w:rsid w:val="74B04F0D"/>
    <w:rsid w:val="756D3747"/>
    <w:rsid w:val="75EA2E31"/>
    <w:rsid w:val="76120740"/>
    <w:rsid w:val="76586E92"/>
    <w:rsid w:val="777803CC"/>
    <w:rsid w:val="78C521B9"/>
    <w:rsid w:val="78EC05F5"/>
    <w:rsid w:val="79F329DE"/>
    <w:rsid w:val="79FA3F2A"/>
    <w:rsid w:val="7A68797A"/>
    <w:rsid w:val="7B607971"/>
    <w:rsid w:val="7C85684A"/>
    <w:rsid w:val="7CFC072C"/>
    <w:rsid w:val="7CFD357F"/>
    <w:rsid w:val="7D5942E8"/>
    <w:rsid w:val="7D6772BD"/>
    <w:rsid w:val="7D8769C2"/>
    <w:rsid w:val="7D9B3C00"/>
    <w:rsid w:val="7E3532FB"/>
    <w:rsid w:val="7E584FE2"/>
    <w:rsid w:val="7E5A7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120" w:after="120" w:line="360" w:lineRule="auto"/>
      <w:outlineLvl w:val="0"/>
    </w:pPr>
    <w:rPr>
      <w:rFonts w:ascii="宋体" w:hAnsi="宋体"/>
      <w:b/>
      <w:bCs/>
      <w:kern w:val="44"/>
      <w:sz w:val="36"/>
      <w:szCs w:val="21"/>
    </w:rPr>
  </w:style>
  <w:style w:type="paragraph" w:styleId="4">
    <w:name w:val="heading 2"/>
    <w:basedOn w:val="1"/>
    <w:next w:val="1"/>
    <w:qFormat/>
    <w:uiPriority w:val="9"/>
    <w:pPr>
      <w:keepNext/>
      <w:keepLines/>
      <w:spacing w:before="120" w:after="120" w:line="415" w:lineRule="auto"/>
      <w:ind w:left="454"/>
      <w:jc w:val="center"/>
      <w:outlineLvl w:val="1"/>
    </w:pPr>
    <w:rPr>
      <w:rFonts w:ascii="Arial" w:hAnsi="Arial"/>
      <w:b/>
      <w:color w:val="000000"/>
      <w:sz w:val="24"/>
    </w:rPr>
  </w:style>
  <w:style w:type="paragraph" w:styleId="2">
    <w:name w:val="heading 3"/>
    <w:basedOn w:val="1"/>
    <w:next w:val="1"/>
    <w:qFormat/>
    <w:uiPriority w:val="99"/>
    <w:pPr>
      <w:keepNext/>
      <w:keepLines/>
      <w:spacing w:before="120" w:after="120" w:line="416" w:lineRule="auto"/>
      <w:outlineLvl w:val="2"/>
    </w:pPr>
    <w:rPr>
      <w:rFonts w:eastAsia="仿宋"/>
      <w:b/>
      <w:bCs/>
      <w:sz w:val="28"/>
      <w:szCs w:val="28"/>
    </w:rPr>
  </w:style>
  <w:style w:type="paragraph" w:styleId="5">
    <w:name w:val="heading 9"/>
    <w:basedOn w:val="1"/>
    <w:next w:val="1"/>
    <w:link w:val="30"/>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2"/>
    </w:rPr>
  </w:style>
  <w:style w:type="paragraph" w:styleId="7">
    <w:name w:val="Document Map"/>
    <w:basedOn w:val="1"/>
    <w:link w:val="32"/>
    <w:qFormat/>
    <w:uiPriority w:val="0"/>
    <w:rPr>
      <w:rFonts w:ascii="宋体"/>
      <w:sz w:val="18"/>
      <w:szCs w:val="18"/>
    </w:rPr>
  </w:style>
  <w:style w:type="paragraph" w:styleId="8">
    <w:name w:val="annotation text"/>
    <w:basedOn w:val="1"/>
    <w:semiHidden/>
    <w:qFormat/>
    <w:uiPriority w:val="0"/>
    <w:pPr>
      <w:jc w:val="left"/>
    </w:pPr>
  </w:style>
  <w:style w:type="paragraph" w:styleId="9">
    <w:name w:val="Body Text"/>
    <w:basedOn w:val="1"/>
    <w:link w:val="28"/>
    <w:qFormat/>
    <w:uiPriority w:val="0"/>
    <w:pPr>
      <w:spacing w:after="120"/>
    </w:p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Body Text Indent 2"/>
    <w:basedOn w:val="1"/>
    <w:link w:val="25"/>
    <w:qFormat/>
    <w:uiPriority w:val="0"/>
    <w:pPr>
      <w:spacing w:line="300" w:lineRule="auto"/>
      <w:ind w:firstLine="420" w:firstLineChars="200"/>
    </w:pPr>
    <w:rPr>
      <w:rFonts w:ascii="宋体"/>
      <w:kern w:val="0"/>
      <w:sz w:val="20"/>
      <w:szCs w:val="20"/>
    </w:rPr>
  </w:style>
  <w:style w:type="paragraph" w:styleId="13">
    <w:name w:val="Balloon Text"/>
    <w:basedOn w:val="1"/>
    <w:semiHidden/>
    <w:qFormat/>
    <w:uiPriority w:val="0"/>
    <w:rPr>
      <w:sz w:val="18"/>
      <w:szCs w:val="18"/>
    </w:rPr>
  </w:style>
  <w:style w:type="paragraph" w:styleId="14">
    <w:name w:val="footer"/>
    <w:basedOn w:val="1"/>
    <w:link w:val="22"/>
    <w:qFormat/>
    <w:uiPriority w:val="0"/>
    <w:pPr>
      <w:tabs>
        <w:tab w:val="center" w:pos="4153"/>
        <w:tab w:val="right" w:pos="8306"/>
      </w:tabs>
      <w:snapToGrid w:val="0"/>
      <w:jc w:val="left"/>
    </w:pPr>
    <w:rPr>
      <w:kern w:val="0"/>
      <w:sz w:val="18"/>
      <w:szCs w:val="18"/>
    </w:rPr>
  </w:style>
  <w:style w:type="paragraph" w:styleId="15">
    <w:name w:val="header"/>
    <w:basedOn w:val="1"/>
    <w:link w:val="23"/>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annotation subject"/>
    <w:basedOn w:val="8"/>
    <w:next w:val="8"/>
    <w:semiHidden/>
    <w:qFormat/>
    <w:uiPriority w:val="0"/>
    <w:rPr>
      <w:b/>
      <w:bCs/>
    </w:rPr>
  </w:style>
  <w:style w:type="character" w:styleId="19">
    <w:name w:val="page number"/>
    <w:basedOn w:val="18"/>
    <w:qFormat/>
    <w:uiPriority w:val="0"/>
  </w:style>
  <w:style w:type="character" w:styleId="20">
    <w:name w:val="annotation reference"/>
    <w:semiHidden/>
    <w:qFormat/>
    <w:uiPriority w:val="0"/>
    <w:rPr>
      <w:sz w:val="21"/>
      <w:szCs w:val="21"/>
    </w:rPr>
  </w:style>
  <w:style w:type="paragraph" w:customStyle="1" w:styleId="2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页脚 字符"/>
    <w:link w:val="14"/>
    <w:qFormat/>
    <w:uiPriority w:val="0"/>
    <w:rPr>
      <w:rFonts w:eastAsia="宋体"/>
      <w:sz w:val="18"/>
      <w:szCs w:val="18"/>
      <w:lang w:bidi="ar-SA"/>
    </w:rPr>
  </w:style>
  <w:style w:type="character" w:customStyle="1" w:styleId="23">
    <w:name w:val="页眉 字符"/>
    <w:link w:val="15"/>
    <w:qFormat/>
    <w:uiPriority w:val="0"/>
    <w:rPr>
      <w:rFonts w:eastAsia="宋体"/>
      <w:sz w:val="18"/>
      <w:szCs w:val="18"/>
      <w:lang w:bidi="ar-SA"/>
    </w:rPr>
  </w:style>
  <w:style w:type="character" w:customStyle="1" w:styleId="24">
    <w:name w:val="标题 1 字符"/>
    <w:link w:val="3"/>
    <w:qFormat/>
    <w:uiPriority w:val="9"/>
    <w:rPr>
      <w:rFonts w:ascii="宋体" w:hAnsi="宋体" w:eastAsia="宋体"/>
      <w:b/>
      <w:bCs/>
      <w:kern w:val="44"/>
      <w:sz w:val="36"/>
      <w:szCs w:val="21"/>
      <w:lang w:bidi="ar-SA"/>
    </w:rPr>
  </w:style>
  <w:style w:type="character" w:customStyle="1" w:styleId="25">
    <w:name w:val="正文文本缩进 2 字符"/>
    <w:link w:val="12"/>
    <w:qFormat/>
    <w:uiPriority w:val="0"/>
    <w:rPr>
      <w:rFonts w:ascii="宋体" w:eastAsia="宋体"/>
      <w:lang w:bidi="ar-SA"/>
    </w:rPr>
  </w:style>
  <w:style w:type="character" w:customStyle="1" w:styleId="26">
    <w:name w:val="Char Char3"/>
    <w:qFormat/>
    <w:uiPriority w:val="0"/>
    <w:rPr>
      <w:rFonts w:eastAsia="宋体"/>
      <w:b/>
      <w:bCs/>
      <w:kern w:val="44"/>
      <w:sz w:val="28"/>
      <w:szCs w:val="44"/>
      <w:lang w:val="en-US" w:eastAsia="zh-CN" w:bidi="ar-SA"/>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正文文本 字符"/>
    <w:basedOn w:val="18"/>
    <w:link w:val="9"/>
    <w:qFormat/>
    <w:uiPriority w:val="0"/>
    <w:rPr>
      <w:kern w:val="2"/>
      <w:sz w:val="21"/>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标题 9 字符"/>
    <w:basedOn w:val="18"/>
    <w:link w:val="5"/>
    <w:qFormat/>
    <w:uiPriority w:val="0"/>
    <w:rPr>
      <w:rFonts w:asciiTheme="majorHAnsi" w:hAnsiTheme="majorHAnsi" w:eastAsiaTheme="majorEastAsia" w:cstheme="majorBidi"/>
      <w:kern w:val="2"/>
      <w:sz w:val="21"/>
      <w:szCs w:val="21"/>
    </w:rPr>
  </w:style>
  <w:style w:type="character" w:customStyle="1" w:styleId="31">
    <w:name w:val="文档结构图 Char"/>
    <w:qFormat/>
    <w:uiPriority w:val="0"/>
    <w:rPr>
      <w:rFonts w:ascii="宋体"/>
      <w:kern w:val="2"/>
      <w:sz w:val="18"/>
      <w:szCs w:val="18"/>
    </w:rPr>
  </w:style>
  <w:style w:type="character" w:customStyle="1" w:styleId="32">
    <w:name w:val="文档结构图 字符"/>
    <w:basedOn w:val="18"/>
    <w:link w:val="7"/>
    <w:qFormat/>
    <w:uiPriority w:val="0"/>
    <w:rPr>
      <w:rFonts w:ascii="宋体"/>
      <w:kern w:val="2"/>
      <w:sz w:val="18"/>
      <w:szCs w:val="18"/>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列表段落1"/>
    <w:basedOn w:val="1"/>
    <w:qFormat/>
    <w:uiPriority w:val="34"/>
    <w:pPr>
      <w:ind w:firstLine="420"/>
    </w:pPr>
    <w:rPr>
      <w:szCs w:val="20"/>
    </w:rPr>
  </w:style>
  <w:style w:type="paragraph" w:customStyle="1" w:styleId="3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正文_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BC224-B835-455E-8F2D-36C91380D9F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6591</Words>
  <Characters>6802</Characters>
  <Lines>84</Lines>
  <Paragraphs>23</Paragraphs>
  <TotalTime>22</TotalTime>
  <ScaleCrop>false</ScaleCrop>
  <LinksUpToDate>false</LinksUpToDate>
  <CharactersWithSpaces>6968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2025-04-25T07:53:00Z</dcterms:created>
  <dc:creator>广州市市政工程监理有限公司</dc:creator>
  <cp:lastModifiedBy>ADMIN</cp:lastModifiedBy>
  <cp:lastPrinted>2025-11-03T06:53:00Z</cp:lastPrinted>
  <dcterms:modified xsi:type="dcterms:W3CDTF">2025-11-28T09:33:47Z</dcterms:modified>
  <dc:title>第四部分  技术服务合同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01990EDA79724DDC91D2B0621EE3267D_13</vt:lpwstr>
  </property>
  <property fmtid="{D5CDD505-2E9C-101B-9397-08002B2CF9AE}" pid="4" name="KSOTemplateDocerSaveRecord">
    <vt:lpwstr>eyJoZGlkIjoiNDFjYzZhY2U3NGQ3OGMyNzM0YmMxYTNmYWVmMWQ5NzMiLCJ1c2VySWQiOiIzMDUxNjA5MzIifQ==</vt:lpwstr>
  </property>
</Properties>
</file>