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3A78">
      <w:pPr>
        <w:spacing w:before="312" w:beforeLines="100" w:after="312" w:afterLines="100" w:line="360" w:lineRule="auto"/>
        <w:jc w:val="center"/>
        <w:rPr>
          <w:rFonts w:ascii="黑体" w:hAnsi="黑体" w:eastAsia="黑体" w:cs="Times New Roman"/>
          <w:color w:val="auto"/>
          <w:sz w:val="44"/>
          <w:szCs w:val="44"/>
          <w:highlight w:val="none"/>
        </w:rPr>
      </w:pPr>
    </w:p>
    <w:p w14:paraId="6ACFFCC9">
      <w:pPr>
        <w:spacing w:before="312" w:beforeLines="100" w:after="312" w:afterLines="100" w:line="360" w:lineRule="auto"/>
        <w:jc w:val="center"/>
        <w:rPr>
          <w:rFonts w:ascii="黑体" w:hAnsi="黑体" w:eastAsia="黑体" w:cs="Times New Roman"/>
          <w:color w:val="auto"/>
          <w:sz w:val="44"/>
          <w:szCs w:val="44"/>
          <w:highlight w:val="none"/>
        </w:rPr>
      </w:pPr>
    </w:p>
    <w:p w14:paraId="48219A23">
      <w:pPr>
        <w:spacing w:line="480" w:lineRule="auto"/>
        <w:jc w:val="center"/>
        <w:rPr>
          <w:rFonts w:ascii="黑体" w:hAnsi="黑体" w:eastAsia="黑体" w:cs="Times New Roman"/>
          <w:color w:val="auto"/>
          <w:sz w:val="44"/>
          <w:szCs w:val="44"/>
          <w:highlight w:val="none"/>
        </w:rPr>
      </w:pPr>
      <w:bookmarkStart w:id="0" w:name="OLE_LINK1"/>
      <w:bookmarkStart w:id="1" w:name="OLE_LINK7"/>
      <w:r>
        <w:rPr>
          <w:rFonts w:hint="eastAsia" w:ascii="黑体" w:hAnsi="黑体" w:eastAsia="黑体" w:cs="Times New Roman"/>
          <w:color w:val="auto"/>
          <w:sz w:val="44"/>
          <w:szCs w:val="44"/>
          <w:highlight w:val="none"/>
        </w:rPr>
        <w:t>天河区柯木塱村城中村改造项目-首开区凤凰汇东侧地块复建安置房及配套工程               地铁安全监控服务合同</w:t>
      </w:r>
    </w:p>
    <w:bookmarkEnd w:id="0"/>
    <w:p w14:paraId="4C2318F1">
      <w:pPr>
        <w:rPr>
          <w:color w:val="auto"/>
          <w:highlight w:val="none"/>
        </w:rPr>
      </w:pPr>
    </w:p>
    <w:bookmarkEnd w:id="1"/>
    <w:p w14:paraId="7980A26D">
      <w:pPr>
        <w:rPr>
          <w:color w:val="auto"/>
          <w:highlight w:val="none"/>
        </w:rPr>
      </w:pPr>
    </w:p>
    <w:p w14:paraId="56E4175F">
      <w:pPr>
        <w:rPr>
          <w:color w:val="auto"/>
          <w:highlight w:val="none"/>
        </w:rPr>
      </w:pPr>
    </w:p>
    <w:p w14:paraId="07618762">
      <w:pPr>
        <w:rPr>
          <w:color w:val="auto"/>
          <w:highlight w:val="none"/>
        </w:rPr>
      </w:pPr>
    </w:p>
    <w:p w14:paraId="43937558">
      <w:pPr>
        <w:rPr>
          <w:color w:val="auto"/>
          <w:highlight w:val="none"/>
        </w:rPr>
      </w:pPr>
    </w:p>
    <w:p w14:paraId="0B099A65">
      <w:pPr>
        <w:pStyle w:val="4"/>
        <w:rPr>
          <w:color w:val="auto"/>
          <w:highlight w:val="none"/>
        </w:rPr>
      </w:pPr>
    </w:p>
    <w:p w14:paraId="0A74DDFA">
      <w:pPr>
        <w:rPr>
          <w:color w:val="auto"/>
          <w:highlight w:val="none"/>
        </w:rPr>
      </w:pPr>
    </w:p>
    <w:p w14:paraId="407465A9">
      <w:pPr>
        <w:pStyle w:val="4"/>
        <w:ind w:left="0"/>
        <w:jc w:val="both"/>
        <w:rPr>
          <w:color w:val="auto"/>
          <w:highlight w:val="none"/>
        </w:rPr>
      </w:pPr>
    </w:p>
    <w:p w14:paraId="4C6CD3D1">
      <w:pPr>
        <w:rPr>
          <w:color w:val="auto"/>
          <w:highlight w:val="none"/>
        </w:rPr>
      </w:pPr>
    </w:p>
    <w:p w14:paraId="0606E773">
      <w:pPr>
        <w:rPr>
          <w:color w:val="auto"/>
          <w:highlight w:val="none"/>
        </w:rPr>
      </w:pPr>
    </w:p>
    <w:p w14:paraId="51E9D72E">
      <w:pPr>
        <w:rPr>
          <w:color w:val="auto"/>
          <w:highlight w:val="none"/>
        </w:rPr>
      </w:pPr>
    </w:p>
    <w:p w14:paraId="12F0E697">
      <w:pPr>
        <w:spacing w:line="500" w:lineRule="exact"/>
        <w:ind w:firstLine="1040" w:firstLineChars="400"/>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委托人（甲方）：广州市天投城市更新有限公司</w:t>
      </w:r>
    </w:p>
    <w:p w14:paraId="3ECAF164">
      <w:pPr>
        <w:spacing w:line="500" w:lineRule="exact"/>
        <w:ind w:firstLine="1040" w:firstLineChars="400"/>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 xml:space="preserve">受托人（乙方）：                            </w:t>
      </w:r>
    </w:p>
    <w:p w14:paraId="0A9B6E8F">
      <w:pPr>
        <w:spacing w:line="500" w:lineRule="exact"/>
        <w:ind w:firstLine="1040" w:firstLineChars="400"/>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合  同  编  号：</w:t>
      </w:r>
    </w:p>
    <w:p w14:paraId="26706243">
      <w:pPr>
        <w:spacing w:line="500" w:lineRule="exact"/>
        <w:ind w:firstLine="1040" w:firstLineChars="400"/>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签  订  日  期：    年  月  日</w:t>
      </w:r>
    </w:p>
    <w:p w14:paraId="407671E4">
      <w:pPr>
        <w:spacing w:line="500" w:lineRule="exact"/>
        <w:ind w:firstLine="1040" w:firstLineChars="400"/>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签  约  地  点：</w:t>
      </w:r>
    </w:p>
    <w:p w14:paraId="1AFC1198">
      <w:pPr>
        <w:rPr>
          <w:color w:val="auto"/>
          <w:highlight w:val="none"/>
        </w:rPr>
      </w:pPr>
    </w:p>
    <w:p w14:paraId="533BBEEC">
      <w:pPr>
        <w:rPr>
          <w:color w:val="auto"/>
          <w:highlight w:val="none"/>
        </w:rPr>
      </w:pPr>
    </w:p>
    <w:p w14:paraId="3618413F">
      <w:pPr>
        <w:rPr>
          <w:color w:val="auto"/>
          <w:highlight w:val="none"/>
        </w:rPr>
      </w:pPr>
    </w:p>
    <w:p w14:paraId="5B8BDBBC">
      <w:pPr>
        <w:rPr>
          <w:color w:val="auto"/>
          <w:highlight w:val="none"/>
        </w:rPr>
      </w:pPr>
    </w:p>
    <w:p w14:paraId="1F79B0F0">
      <w:pPr>
        <w:rPr>
          <w:color w:val="auto"/>
          <w:highlight w:val="none"/>
        </w:rPr>
      </w:pPr>
    </w:p>
    <w:p w14:paraId="73E9EDE1">
      <w:pPr>
        <w:spacing w:before="0" w:beforeLines="-2147483648" w:line="240" w:lineRule="auto"/>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br w:type="page"/>
      </w:r>
    </w:p>
    <w:p w14:paraId="1A85A169">
      <w:pPr>
        <w:spacing w:before="624" w:beforeLines="200" w:line="500" w:lineRule="exact"/>
        <w:rPr>
          <w:rFonts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委托人（甲方）：广州市天投城市更新有限公司</w:t>
      </w:r>
    </w:p>
    <w:p w14:paraId="138DF1CB">
      <w:pPr>
        <w:spacing w:after="312" w:afterLines="100" w:line="500" w:lineRule="exact"/>
        <w:rPr>
          <w:rFonts w:ascii="仿宋_GB2312" w:hAnsi="仿宋_GB2312" w:eastAsia="仿宋_GB2312" w:cs="仿宋_GB2312"/>
          <w:color w:val="auto"/>
          <w:sz w:val="32"/>
          <w:szCs w:val="32"/>
          <w:highlight w:val="none"/>
        </w:rPr>
      </w:pPr>
      <w:r>
        <w:rPr>
          <w:rFonts w:hint="eastAsia" w:ascii="黑体" w:hAnsi="黑体" w:eastAsia="黑体"/>
          <w:color w:val="auto"/>
          <w:sz w:val="26"/>
          <w:szCs w:val="26"/>
          <w:highlight w:val="none"/>
        </w:rPr>
        <w:t xml:space="preserve">受托人（乙方）：                            </w:t>
      </w:r>
    </w:p>
    <w:p w14:paraId="4781B883">
      <w:pPr>
        <w:spacing w:line="360" w:lineRule="auto"/>
        <w:ind w:firstLine="482"/>
        <w:jc w:val="left"/>
        <w:rPr>
          <w:rFonts w:cs="Times New Roman" w:asciiTheme="minorEastAsia" w:hAnsiTheme="minorEastAsia"/>
          <w:bCs/>
          <w:color w:val="auto"/>
          <w:sz w:val="24"/>
          <w:highlight w:val="none"/>
        </w:rPr>
      </w:pPr>
      <w:r>
        <w:rPr>
          <w:rFonts w:hint="eastAsia" w:cs="Times New Roman" w:asciiTheme="minorEastAsia" w:hAnsiTheme="minorEastAsia"/>
          <w:bCs/>
          <w:color w:val="auto"/>
          <w:sz w:val="24"/>
          <w:highlight w:val="none"/>
        </w:rPr>
        <w:t>甲方委托乙方承担</w:t>
      </w:r>
      <w:bookmarkStart w:id="2" w:name="OLE_LINK8"/>
      <w:r>
        <w:rPr>
          <w:rFonts w:hint="eastAsia" w:cs="Times New Roman" w:asciiTheme="minorEastAsia" w:hAnsiTheme="minorEastAsia"/>
          <w:bCs/>
          <w:color w:val="auto"/>
          <w:kern w:val="0"/>
          <w:sz w:val="24"/>
          <w:highlight w:val="none"/>
        </w:rPr>
        <w:t>天河区柯木塱村城中村改造项目-首开区凤凰汇东侧地块复建安置房及配套工程地铁安全监控服务</w:t>
      </w:r>
      <w:bookmarkEnd w:id="2"/>
      <w:r>
        <w:rPr>
          <w:rFonts w:hint="eastAsia" w:cs="Times New Roman" w:asciiTheme="minorEastAsia" w:hAnsiTheme="minorEastAsia"/>
          <w:bCs/>
          <w:color w:val="auto"/>
          <w:sz w:val="24"/>
          <w:highlight w:val="none"/>
        </w:rPr>
        <w:t>工作（下称“本项目”）。依据《中华人民共和国民法典》的有关规定，结合本工程的具体情况，为明确责任、协作配合，经协商一致，签订本合同，共同遵守。</w:t>
      </w:r>
    </w:p>
    <w:p w14:paraId="5690432B">
      <w:pPr>
        <w:spacing w:line="500" w:lineRule="exact"/>
        <w:ind w:firstLine="472" w:firstLineChars="196"/>
        <w:rPr>
          <w:rFonts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一、工程概况及周边环境</w:t>
      </w:r>
    </w:p>
    <w:p w14:paraId="462081F8">
      <w:pPr>
        <w:spacing w:line="360" w:lineRule="auto"/>
        <w:ind w:firstLine="480" w:firstLineChars="200"/>
        <w:rPr>
          <w:rFonts w:cs="Times New Roman" w:asciiTheme="minorEastAsia" w:hAnsiTheme="minorEastAsia"/>
          <w:bCs/>
          <w:color w:val="auto"/>
          <w:kern w:val="0"/>
          <w:sz w:val="24"/>
          <w:highlight w:val="none"/>
        </w:rPr>
      </w:pPr>
      <w:r>
        <w:rPr>
          <w:rFonts w:hint="default" w:cs="Times New Roman" w:asciiTheme="minorEastAsia" w:hAnsiTheme="minorEastAsia"/>
          <w:bCs/>
          <w:color w:val="auto"/>
          <w:kern w:val="0"/>
          <w:sz w:val="24"/>
          <w:highlight w:val="none"/>
        </w:rPr>
        <w:t>项目位于广汕一路南侧，基坑北侧锚索水平投影与地铁六号线区间隧道结构的最小水平净距约为13.8m，咬合桩水平投影与地铁六号线区间隧道结构的最小水平净距约为34.3m，基坑东侧锚索水平投影距柯木塱车站水平净距约30m，进入运营地铁六号线“龙洞～柯木塱”区间50米保护范围内(详见设计文件及有关资料说明等)</w:t>
      </w:r>
      <w:r>
        <w:rPr>
          <w:rFonts w:hint="eastAsia" w:cs="Times New Roman" w:asciiTheme="minorEastAsia" w:hAnsiTheme="minorEastAsia"/>
          <w:bCs/>
          <w:color w:val="auto"/>
          <w:kern w:val="0"/>
          <w:sz w:val="24"/>
          <w:highlight w:val="none"/>
        </w:rPr>
        <w:t>。</w:t>
      </w:r>
    </w:p>
    <w:p w14:paraId="6826D0BF">
      <w:pPr>
        <w:ind w:firstLine="482" w:firstLineChars="200"/>
        <w:rPr>
          <w:rFonts w:ascii="仿宋_GB2312" w:hAnsi="仿宋_GB2312" w:eastAsia="仿宋_GB2312" w:cs="仿宋_GB2312"/>
          <w:color w:val="auto"/>
          <w:sz w:val="32"/>
          <w:szCs w:val="32"/>
          <w:highlight w:val="none"/>
        </w:rPr>
      </w:pPr>
      <w:bookmarkStart w:id="3" w:name="OLE_LINK10"/>
      <w:r>
        <w:rPr>
          <w:rFonts w:hint="eastAsia" w:cs="Times New Roman" w:asciiTheme="minorEastAsia" w:hAnsiTheme="minorEastAsia"/>
          <w:b/>
          <w:bCs/>
          <w:color w:val="auto"/>
          <w:sz w:val="24"/>
          <w:highlight w:val="none"/>
        </w:rPr>
        <w:t>二、服务内容及要求</w:t>
      </w:r>
    </w:p>
    <w:p w14:paraId="34231E6E">
      <w:pPr>
        <w:spacing w:line="360" w:lineRule="auto"/>
        <w:ind w:firstLine="480" w:firstLineChars="200"/>
        <w:rPr>
          <w:rFonts w:cs="Times New Roman" w:asciiTheme="minorEastAsia" w:hAnsiTheme="minorEastAsia"/>
          <w:bCs/>
          <w:color w:val="auto"/>
          <w:kern w:val="0"/>
          <w:sz w:val="24"/>
          <w:highlight w:val="none"/>
        </w:rPr>
      </w:pPr>
      <w:bookmarkStart w:id="4" w:name="OLE_LINK2"/>
      <w:r>
        <w:rPr>
          <w:rFonts w:hint="eastAsia" w:cs="Times New Roman" w:asciiTheme="minorEastAsia" w:hAnsiTheme="minorEastAsia"/>
          <w:bCs/>
          <w:color w:val="auto"/>
          <w:kern w:val="0"/>
          <w:sz w:val="24"/>
          <w:highlight w:val="none"/>
        </w:rPr>
        <w:t>项目建设范围位于地铁6号线“龙洞～柯木塱”区间的保护范围，按照《广州市城市轨道交通管理条例》等的有关规定，施工期间需对项目涉及城市轨道交通区域进行安全保护监控工作，具体服务内容包括但不限于：</w:t>
      </w:r>
    </w:p>
    <w:p w14:paraId="4253432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（1）核对现场施工图纸是否与地铁公司、地保办审批的设计图纸一致性。</w:t>
      </w:r>
    </w:p>
    <w:p w14:paraId="0F43AC79">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（2）复查由监理单位审查批准的《施工组织设计》（注：应包括桩基础施工方案、基坑支护及开挖施工方案、隧道自动监测方案、安全应急预案等方案。） 督促落实暨有地铁既有结构安全的专项保护措施。</w:t>
      </w:r>
    </w:p>
    <w:p w14:paraId="323C631E">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（3）对地铁保护区范围内施工放样的复核。</w:t>
      </w:r>
    </w:p>
    <w:p w14:paraId="51B34279">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（4）组织各个参建单位对地铁隧道现状进行普查和确认。</w:t>
      </w:r>
    </w:p>
    <w:p w14:paraId="650A0E39">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（5）参加由建设单位主持的工地会议，并在会上介绍监控项目部的组织机 构、人员及分工，介绍地铁保护监控实施方案的主要内容，并对地铁监控要求提</w:t>
      </w:r>
    </w:p>
    <w:p w14:paraId="4DD07A9F">
      <w:pPr>
        <w:spacing w:line="360" w:lineRule="auto"/>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出说明和交底。</w:t>
      </w:r>
    </w:p>
    <w:p w14:paraId="51FCFE67">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（6）乙方根据设计图纸等列明的工作内容，依据广州地铁集团有关规定编制监控方案后上报广州地铁集团及甲方，经上述部门批准后实施。合同价中已包含服务范围内所涉及的所有技术服务费，不另行支付。</w:t>
      </w:r>
    </w:p>
    <w:p w14:paraId="71B88AAF">
      <w:pPr>
        <w:pStyle w:val="4"/>
        <w:spacing w:line="360" w:lineRule="auto"/>
        <w:ind w:left="0" w:firstLine="480" w:firstLineChars="200"/>
        <w:jc w:val="left"/>
        <w:rPr>
          <w:rFonts w:ascii="宋体" w:hAnsi="宋体" w:eastAsia="宋体" w:cs="宋体"/>
          <w:b w:val="0"/>
          <w:color w:val="auto"/>
          <w:highlight w:val="none"/>
        </w:rPr>
      </w:pPr>
      <w:r>
        <w:rPr>
          <w:rFonts w:hint="eastAsia" w:ascii="宋体" w:hAnsi="宋体" w:eastAsia="宋体" w:cs="宋体"/>
          <w:b w:val="0"/>
          <w:color w:val="auto"/>
          <w:kern w:val="0"/>
          <w:highlight w:val="none"/>
        </w:rPr>
        <w:t>（7）</w:t>
      </w:r>
      <w:r>
        <w:rPr>
          <w:rFonts w:hint="eastAsia" w:ascii="宋体" w:hAnsi="宋体" w:eastAsia="宋体" w:cs="宋体"/>
          <w:b w:val="0"/>
          <w:color w:val="auto"/>
          <w:highlight w:val="none"/>
        </w:rPr>
        <w:t>本工程在地铁控制保护范围相关的施工作业时</w:t>
      </w:r>
      <w:r>
        <w:rPr>
          <w:rFonts w:hint="eastAsia" w:ascii="宋体" w:hAnsi="宋体" w:eastAsia="宋体" w:cs="宋体"/>
          <w:b w:val="0"/>
          <w:color w:val="auto"/>
          <w:highlight w:val="none"/>
          <w:lang w:val="en-US" w:eastAsia="zh-CN"/>
        </w:rPr>
        <w:t>，乙方</w:t>
      </w:r>
      <w:r>
        <w:rPr>
          <w:rFonts w:hint="eastAsia" w:ascii="宋体" w:hAnsi="宋体" w:eastAsia="宋体" w:cs="宋体"/>
          <w:b w:val="0"/>
          <w:color w:val="auto"/>
          <w:highlight w:val="none"/>
        </w:rPr>
        <w:t>须积极配合。</w:t>
      </w:r>
    </w:p>
    <w:bookmarkEnd w:id="4"/>
    <w:p w14:paraId="4FAD5089">
      <w:pPr>
        <w:spacing w:line="360" w:lineRule="auto"/>
        <w:ind w:firstLine="482" w:firstLineChars="200"/>
        <w:rPr>
          <w:rFonts w:cs="Times New Roman" w:asciiTheme="minorEastAsia" w:hAnsiTheme="minorEastAsia"/>
          <w:b/>
          <w:bCs/>
          <w:color w:val="auto"/>
          <w:sz w:val="24"/>
          <w:highlight w:val="none"/>
        </w:rPr>
      </w:pPr>
      <w:bookmarkStart w:id="5" w:name="OLE_LINK3"/>
      <w:r>
        <w:rPr>
          <w:rFonts w:hint="eastAsia" w:cs="Times New Roman" w:asciiTheme="minorEastAsia" w:hAnsiTheme="minorEastAsia"/>
          <w:b/>
          <w:bCs/>
          <w:color w:val="auto"/>
          <w:sz w:val="24"/>
          <w:highlight w:val="none"/>
        </w:rPr>
        <w:t>三、工作依据及相关要求</w:t>
      </w:r>
    </w:p>
    <w:p w14:paraId="46F78670">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依据本项目设计文件的要求，本合同委托服务须达到但不限于下列现行要求：中华人民共和国以及省、市或行业的相关技术标准或规范的要求。监控方案必须满足设计文件以及国家现行技术规范的要求。</w:t>
      </w:r>
    </w:p>
    <w:bookmarkEnd w:id="5"/>
    <w:p w14:paraId="20ED5B65">
      <w:pPr>
        <w:spacing w:line="360" w:lineRule="auto"/>
        <w:ind w:firstLine="482" w:firstLineChars="200"/>
        <w:rPr>
          <w:rFonts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四、履行期限和方式</w:t>
      </w:r>
    </w:p>
    <w:p w14:paraId="4CD7E9F6">
      <w:pPr>
        <w:spacing w:line="360" w:lineRule="auto"/>
        <w:ind w:firstLine="480" w:firstLineChars="200"/>
        <w:rPr>
          <w:rFonts w:cs="Times New Roman" w:asciiTheme="minorEastAsia" w:hAnsiTheme="minorEastAsia"/>
          <w:bCs/>
          <w:color w:val="auto"/>
          <w:kern w:val="0"/>
          <w:sz w:val="24"/>
          <w:highlight w:val="none"/>
        </w:rPr>
      </w:pPr>
      <w:bookmarkStart w:id="6" w:name="OLE_LINK4"/>
      <w:r>
        <w:rPr>
          <w:rFonts w:hint="eastAsia" w:cs="Times New Roman" w:asciiTheme="minorEastAsia" w:hAnsiTheme="minorEastAsia"/>
          <w:bCs/>
          <w:color w:val="auto"/>
          <w:kern w:val="0"/>
          <w:sz w:val="24"/>
          <w:highlight w:val="none"/>
        </w:rPr>
        <w:t>1、服务期：从乙方进场至委托服务完成为止，服务周期暂定为</w:t>
      </w:r>
      <w:r>
        <w:rPr>
          <w:rFonts w:hint="eastAsia" w:cs="Times New Roman" w:asciiTheme="minorEastAsia" w:hAnsiTheme="minorEastAsia"/>
          <w:bCs/>
          <w:color w:val="auto"/>
          <w:kern w:val="0"/>
          <w:sz w:val="24"/>
          <w:highlight w:val="none"/>
          <w:u w:val="single"/>
        </w:rPr>
        <w:t xml:space="preserve"> 15 </w:t>
      </w:r>
      <w:r>
        <w:rPr>
          <w:rFonts w:hint="eastAsia" w:cs="Times New Roman" w:asciiTheme="minorEastAsia" w:hAnsiTheme="minorEastAsia"/>
          <w:bCs/>
          <w:color w:val="auto"/>
          <w:kern w:val="0"/>
          <w:sz w:val="24"/>
          <w:highlight w:val="none"/>
        </w:rPr>
        <w:t>个月，具体进场日期以总监理工程师或甲方代表签发的开工令、工联单为准。服务周期必须满足实际施工及甲方的要求。</w:t>
      </w:r>
    </w:p>
    <w:p w14:paraId="12376C0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2、第一次进场时间由甲方确定，并提前 15 天通知乙方。</w:t>
      </w:r>
    </w:p>
    <w:p w14:paraId="7337B3A3">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3、乙方在每个月 10 日前向甲方提交上月的工作成果报告（包括但不限于地保监控日志、监控月报、地铁保护监控图纸复核、工作总结等）一式五份，工作成果报告满足甲方及广州地铁集团地保办要求。</w:t>
      </w:r>
    </w:p>
    <w:p w14:paraId="3AF35A6B">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 xml:space="preserve">4、乙方应当在本合同签订之日起 </w:t>
      </w:r>
      <w:r>
        <w:rPr>
          <w:rFonts w:hint="eastAsia" w:cs="Times New Roman" w:asciiTheme="minorEastAsia" w:hAnsiTheme="minorEastAsia"/>
          <w:bCs/>
          <w:color w:val="auto"/>
          <w:kern w:val="0"/>
          <w:sz w:val="24"/>
          <w:highlight w:val="none"/>
          <w:lang w:val="en-US" w:eastAsia="zh-CN"/>
        </w:rPr>
        <w:t>15</w:t>
      </w:r>
      <w:r>
        <w:rPr>
          <w:rFonts w:hint="eastAsia" w:cs="Times New Roman" w:asciiTheme="minorEastAsia" w:hAnsiTheme="minorEastAsia"/>
          <w:bCs/>
          <w:color w:val="auto"/>
          <w:kern w:val="0"/>
          <w:sz w:val="24"/>
          <w:highlight w:val="none"/>
        </w:rPr>
        <w:t>个工作日内将监控方案上报广州地铁集团及甲方审批。</w:t>
      </w:r>
    </w:p>
    <w:p w14:paraId="24E08B6C">
      <w:pPr>
        <w:spacing w:line="360" w:lineRule="auto"/>
        <w:ind w:firstLine="480" w:firstLineChars="200"/>
        <w:rPr>
          <w:color w:val="auto"/>
          <w:highlight w:val="none"/>
        </w:rPr>
      </w:pPr>
      <w:r>
        <w:rPr>
          <w:rFonts w:cs="Times New Roman" w:asciiTheme="minorEastAsia" w:hAnsiTheme="minorEastAsia"/>
          <w:bCs/>
          <w:color w:val="auto"/>
          <w:kern w:val="0"/>
          <w:sz w:val="24"/>
          <w:highlight w:val="none"/>
        </w:rPr>
        <w:t>5、</w:t>
      </w:r>
      <w:r>
        <w:rPr>
          <w:rFonts w:hint="eastAsia" w:cs="Times New Roman" w:asciiTheme="minorEastAsia" w:hAnsiTheme="minorEastAsia"/>
          <w:bCs/>
          <w:color w:val="auto"/>
          <w:kern w:val="0"/>
          <w:sz w:val="24"/>
          <w:highlight w:val="none"/>
        </w:rPr>
        <w:t>为保障本合同的顺利履行，在本合同生效后乙方须提交符合本合同约定的银行出具的不可撤销的履约保函</w:t>
      </w:r>
      <w:r>
        <w:rPr>
          <w:rFonts w:cs="Times New Roman" w:asciiTheme="minorEastAsia" w:hAnsiTheme="minorEastAsia"/>
          <w:bCs/>
          <w:color w:val="auto"/>
          <w:kern w:val="0"/>
          <w:sz w:val="24"/>
          <w:highlight w:val="none"/>
        </w:rPr>
        <w:t>,保函金额为合同总额的10%或向甲方支付合同总额10%履约保证金。在乙方未发生合同违约情况的前提下，甲方将在合同执行完毕后将履约保函原件或履约保证金无息退回至乙方。乙方提交的银行保函的有效期原则上应直至乙方按本合同约定履行完毕全部义务之日，如在此期限前银行保函到期的，乙方应在银行保函有效期满前30日内补充提交新的同等金额的银行保函</w:t>
      </w:r>
      <w:r>
        <w:rPr>
          <w:rFonts w:hint="eastAsia" w:cs="Times New Roman" w:asciiTheme="minorEastAsia" w:hAnsiTheme="minorEastAsia"/>
          <w:bCs/>
          <w:color w:val="auto"/>
          <w:kern w:val="0"/>
          <w:sz w:val="24"/>
          <w:highlight w:val="none"/>
          <w:lang w:val="en-US" w:eastAsia="zh-CN"/>
        </w:rPr>
        <w:t>或</w:t>
      </w:r>
      <w:r>
        <w:rPr>
          <w:rFonts w:hint="eastAsia" w:ascii="宋体" w:hAnsi="宋体" w:cs="宋体"/>
          <w:color w:val="auto"/>
          <w:sz w:val="24"/>
          <w:highlight w:val="none"/>
          <w:lang w:val="en-US" w:eastAsia="zh-CN"/>
        </w:rPr>
        <w:t>向甲方支付</w:t>
      </w:r>
      <w:r>
        <w:rPr>
          <w:rFonts w:hint="eastAsia" w:cs="Times New Roman" w:asciiTheme="minorEastAsia" w:hAnsiTheme="minorEastAsia"/>
          <w:bCs/>
          <w:color w:val="auto"/>
          <w:kern w:val="0"/>
          <w:sz w:val="24"/>
          <w:highlight w:val="none"/>
          <w:lang w:val="en-US" w:eastAsia="zh-CN"/>
        </w:rPr>
        <w:t>相当于</w:t>
      </w:r>
      <w:r>
        <w:rPr>
          <w:rFonts w:cs="Times New Roman" w:asciiTheme="minorEastAsia" w:hAnsiTheme="minorEastAsia"/>
          <w:bCs/>
          <w:color w:val="auto"/>
          <w:kern w:val="0"/>
          <w:sz w:val="24"/>
          <w:highlight w:val="none"/>
        </w:rPr>
        <w:t>合同总额10%</w:t>
      </w:r>
      <w:r>
        <w:rPr>
          <w:rFonts w:hint="eastAsia" w:cs="Times New Roman" w:asciiTheme="minorEastAsia" w:hAnsiTheme="minorEastAsia"/>
          <w:bCs/>
          <w:color w:val="auto"/>
          <w:kern w:val="0"/>
          <w:sz w:val="24"/>
          <w:highlight w:val="none"/>
          <w:lang w:val="en-US" w:eastAsia="zh-CN"/>
        </w:rPr>
        <w:t>的</w:t>
      </w:r>
      <w:r>
        <w:rPr>
          <w:rFonts w:cs="Times New Roman" w:asciiTheme="minorEastAsia" w:hAnsiTheme="minorEastAsia"/>
          <w:bCs/>
          <w:color w:val="auto"/>
          <w:kern w:val="0"/>
          <w:sz w:val="24"/>
          <w:highlight w:val="none"/>
        </w:rPr>
        <w:t>履约保证金，直至上述期限届满；否则，甲方有权拒绝支付任意进度款及结算款项。</w:t>
      </w:r>
    </w:p>
    <w:p w14:paraId="55516BD3">
      <w:pPr>
        <w:ind w:firstLine="482" w:firstLineChars="200"/>
        <w:rPr>
          <w:rFonts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五、合同费用及支付方式</w:t>
      </w:r>
    </w:p>
    <w:p w14:paraId="2FA26355">
      <w:pPr>
        <w:spacing w:line="360" w:lineRule="auto"/>
        <w:ind w:firstLine="470" w:firstLineChars="196"/>
        <w:rPr>
          <w:color w:val="auto"/>
          <w:sz w:val="24"/>
          <w:highlight w:val="none"/>
        </w:rPr>
      </w:pPr>
      <w:r>
        <w:rPr>
          <w:rFonts w:hint="eastAsia" w:cs="Times New Roman" w:asciiTheme="minorEastAsia" w:hAnsiTheme="minorEastAsia"/>
          <w:bCs/>
          <w:color w:val="auto"/>
          <w:kern w:val="0"/>
          <w:sz w:val="24"/>
          <w:highlight w:val="none"/>
        </w:rPr>
        <w:t>1、本合同含税总价暂定为</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（大写人民币</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），其中不含税总价（小写）：</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元；税率为</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%，税额总价（小写）：</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；如遇国家税务政策法规变化，税额部分按相关规定进行调整。</w:t>
      </w:r>
    </w:p>
    <w:p w14:paraId="03C97A0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本项目合同费用采用综合单价包干，合同价包括本合同项下涉及地铁安全保护的安全监控及运营施工配合所需全部工作费用，具体包括编制报审、专家会、评审费、报批监控方案的编制工作费用、监控、施工期间配合费、审批后的实施方案所列的全部监控工作费用以及在实施过程中应地保办及质监、安监等政府职能部门要求开展可能产生的抢险应急等临时增加的所有监控工作费用，满足本工程验收合格、评审所需的一切费用，且已包含了安全生产措施费、税费和服务期内为完成本项目所有要求而可能产生的所有的不可预见费用，包括综合考虑工程变化的风险费用。无论任何原因（包括但不限于政策变化、不可抗力等），合同综合单价在本合同服务期内固定不变，并不因劳务、材料、机械等成本的价格变动、工程量、工期变化的影响及其他任何原因而做任何调整，工程量按实结算，最终金额以</w:t>
      </w:r>
      <w:r>
        <w:rPr>
          <w:rFonts w:hint="eastAsia" w:cs="Times New Roman" w:asciiTheme="minorEastAsia" w:hAnsiTheme="minorEastAsia"/>
          <w:bCs/>
          <w:color w:val="auto"/>
          <w:kern w:val="0"/>
          <w:sz w:val="24"/>
          <w:highlight w:val="none"/>
          <w:lang w:val="en-US" w:eastAsia="zh-CN"/>
        </w:rPr>
        <w:t>有权审核部门审定的结算终审金额</w:t>
      </w:r>
      <w:r>
        <w:rPr>
          <w:rFonts w:hint="eastAsia" w:cs="Times New Roman" w:asciiTheme="minorEastAsia" w:hAnsiTheme="minorEastAsia"/>
          <w:bCs/>
          <w:color w:val="auto"/>
          <w:kern w:val="0"/>
          <w:sz w:val="24"/>
          <w:highlight w:val="none"/>
        </w:rPr>
        <w:t>为准。</w:t>
      </w:r>
    </w:p>
    <w:p w14:paraId="635A9F87">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2、合同价款的支付：</w:t>
      </w:r>
    </w:p>
    <w:p w14:paraId="26A6E11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乙方向甲方提交完整的合同请款资料（包括但不限于相关支付依据及相应增值税专用发票），甲方对乙方支付申请材料进行审核后</w:t>
      </w:r>
      <w:r>
        <w:rPr>
          <w:rFonts w:hint="eastAsia" w:cs="Times New Roman" w:asciiTheme="minorEastAsia" w:hAnsiTheme="minorEastAsia"/>
          <w:bCs/>
          <w:color w:val="auto"/>
          <w:kern w:val="0"/>
          <w:sz w:val="24"/>
          <w:highlight w:val="none"/>
          <w:lang w:val="en-US" w:eastAsia="zh-CN"/>
        </w:rPr>
        <w:t>支付</w:t>
      </w:r>
      <w:r>
        <w:rPr>
          <w:rFonts w:hint="eastAsia" w:cs="Times New Roman" w:asciiTheme="minorEastAsia" w:hAnsiTheme="minorEastAsia"/>
          <w:bCs/>
          <w:color w:val="auto"/>
          <w:kern w:val="0"/>
          <w:sz w:val="24"/>
          <w:highlight w:val="none"/>
        </w:rPr>
        <w:t>。具体支付方式如下：</w:t>
      </w:r>
    </w:p>
    <w:p w14:paraId="6B165ADD">
      <w:pPr>
        <w:pStyle w:val="6"/>
        <w:widowControl/>
        <w:kinsoku w:val="0"/>
        <w:autoSpaceDE/>
        <w:autoSpaceDN/>
        <w:adjustRightInd w:val="0"/>
        <w:snapToGrid w:val="0"/>
        <w:spacing w:before="0" w:after="0" w:line="360" w:lineRule="auto"/>
        <w:ind w:firstLine="480" w:firstLineChars="200"/>
        <w:textAlignment w:val="baseline"/>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⑴合同签订生效后，本项目无预付款。</w:t>
      </w:r>
    </w:p>
    <w:p w14:paraId="53A8C7DF">
      <w:pPr>
        <w:spacing w:before="0" w:after="0"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⑵进度款：监控费用原则上每月按实际完成的工程量支付，每个月度末乙方提交申报支付进度款资料，可申请支付当月该批次监控费用的80%，累计支付至暂定合同总价的80%止。</w:t>
      </w:r>
    </w:p>
    <w:p w14:paraId="0D088BF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⑶乙方在完成监控报告并办理完相关合同结算手续后，向甲方申请剩余费用。</w:t>
      </w:r>
    </w:p>
    <w:bookmarkEnd w:id="6"/>
    <w:p w14:paraId="1BEDF69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甲方付款前，乙方应提供合法有效、相应金额、相应内容的增值税专用发票。乙方迟延交付发票的，付款时间相应顺延，并不视为甲方及项目业主违约。</w:t>
      </w:r>
      <w:bookmarkEnd w:id="3"/>
      <w:r>
        <w:rPr>
          <w:rFonts w:hint="eastAsia" w:cs="Times New Roman" w:asciiTheme="minorEastAsia" w:hAnsiTheme="minorEastAsia"/>
          <w:bCs/>
          <w:color w:val="auto"/>
          <w:kern w:val="0"/>
          <w:sz w:val="24"/>
          <w:highlight w:val="none"/>
        </w:rPr>
        <w:t>乙方申请费用时开具增值税专用发票，开票信息如下：</w:t>
      </w:r>
    </w:p>
    <w:p w14:paraId="1319EEBA">
      <w:pPr>
        <w:spacing w:line="360" w:lineRule="auto"/>
        <w:ind w:firstLine="480" w:firstLineChars="200"/>
        <w:rPr>
          <w:rFonts w:cs="Times New Roman" w:asciiTheme="minorEastAsia" w:hAnsiTheme="minorEastAsia"/>
          <w:bCs/>
          <w:color w:val="auto"/>
          <w:kern w:val="0"/>
          <w:sz w:val="24"/>
          <w:highlight w:val="none"/>
          <w:u w:val="single"/>
        </w:rPr>
      </w:pPr>
      <w:r>
        <w:rPr>
          <w:rFonts w:hint="eastAsia" w:cs="Times New Roman" w:asciiTheme="minorEastAsia" w:hAnsiTheme="minorEastAsia"/>
          <w:bCs/>
          <w:color w:val="auto"/>
          <w:kern w:val="0"/>
          <w:sz w:val="24"/>
          <w:highlight w:val="none"/>
        </w:rPr>
        <w:t>单 位 名  称：</w:t>
      </w:r>
      <w:r>
        <w:rPr>
          <w:rFonts w:hint="eastAsia" w:cs="Times New Roman" w:asciiTheme="minorEastAsia" w:hAnsiTheme="minorEastAsia"/>
          <w:bCs/>
          <w:color w:val="auto"/>
          <w:kern w:val="0"/>
          <w:sz w:val="24"/>
          <w:highlight w:val="none"/>
          <w:u w:val="single"/>
        </w:rPr>
        <w:t>广州市天投城市更新有限公司</w:t>
      </w:r>
    </w:p>
    <w:p w14:paraId="64E81050">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纳税人识别号：</w:t>
      </w:r>
      <w:r>
        <w:rPr>
          <w:rFonts w:hint="eastAsia" w:cs="Times New Roman" w:asciiTheme="minorEastAsia" w:hAnsiTheme="minorEastAsia"/>
          <w:bCs/>
          <w:color w:val="auto"/>
          <w:kern w:val="0"/>
          <w:sz w:val="24"/>
          <w:highlight w:val="none"/>
          <w:u w:val="single"/>
        </w:rPr>
        <w:t>91440106MAD419N19B</w:t>
      </w:r>
    </w:p>
    <w:p w14:paraId="35C6B67D">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开 户 银  行：</w:t>
      </w:r>
      <w:r>
        <w:rPr>
          <w:rFonts w:hint="eastAsia" w:cs="Times New Roman" w:asciiTheme="minorEastAsia" w:hAnsiTheme="minorEastAsia"/>
          <w:bCs/>
          <w:color w:val="auto"/>
          <w:kern w:val="0"/>
          <w:sz w:val="24"/>
          <w:highlight w:val="none"/>
          <w:u w:val="single"/>
        </w:rPr>
        <w:t>广州银行股份有限公司森保支行</w:t>
      </w:r>
    </w:p>
    <w:p w14:paraId="2353A2B1">
      <w:pPr>
        <w:spacing w:line="360" w:lineRule="auto"/>
        <w:ind w:firstLine="480" w:firstLineChars="200"/>
        <w:rPr>
          <w:rFonts w:hint="eastAsia" w:cs="Times New Roman" w:asciiTheme="minorEastAsia" w:hAnsiTheme="minorEastAsia"/>
          <w:bCs/>
          <w:color w:val="auto"/>
          <w:kern w:val="0"/>
          <w:sz w:val="24"/>
          <w:highlight w:val="none"/>
          <w:u w:val="single"/>
        </w:rPr>
      </w:pPr>
      <w:r>
        <w:rPr>
          <w:rFonts w:hint="eastAsia" w:cs="Times New Roman" w:asciiTheme="minorEastAsia" w:hAnsiTheme="minorEastAsia"/>
          <w:bCs/>
          <w:color w:val="auto"/>
          <w:kern w:val="0"/>
          <w:sz w:val="24"/>
          <w:highlight w:val="none"/>
        </w:rPr>
        <w:t>开 户 账  号：</w:t>
      </w:r>
      <w:r>
        <w:rPr>
          <w:rFonts w:hint="eastAsia" w:cs="Times New Roman" w:asciiTheme="minorEastAsia" w:hAnsiTheme="minorEastAsia"/>
          <w:bCs/>
          <w:color w:val="auto"/>
          <w:kern w:val="0"/>
          <w:sz w:val="24"/>
          <w:highlight w:val="none"/>
          <w:u w:val="single"/>
        </w:rPr>
        <w:t>810201888880010132</w:t>
      </w:r>
    </w:p>
    <w:p w14:paraId="35C6942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因乙方提供的发票不规范、不合法引发的税务及其他一切法律责任由乙方自行承担，且乙方还应向甲方承担赔偿责任，包括但不限于承担相关税款、滞纳金、罚款(本合同项所述“罚款”为含税金额)及赔偿相关损失等。</w:t>
      </w:r>
    </w:p>
    <w:p w14:paraId="47CFCD28">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支付本合同项下款项需向政府部门申请拨付(如有)，则各阶段支付条件还应包括甲方向相关政府部门申请款项获得批准且得到拨付,付款时间应相应根据拨付时间顺延。乙方不可撤销地承诺，若受政府部门审定、拨付本合同项下相关费用时间等因素影响支付的，乙方无权以任何理由要求委托人承担任何违约责任。</w:t>
      </w:r>
    </w:p>
    <w:p w14:paraId="0B7470A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eastAsia="zh-CN"/>
        </w:rPr>
        <w:t>3</w:t>
      </w:r>
      <w:r>
        <w:rPr>
          <w:rFonts w:hint="eastAsia" w:cs="Times New Roman" w:asciiTheme="minorEastAsia" w:hAnsiTheme="minorEastAsia"/>
          <w:bCs/>
          <w:color w:val="auto"/>
          <w:kern w:val="0"/>
          <w:sz w:val="24"/>
          <w:highlight w:val="none"/>
        </w:rPr>
        <w:t>、甲乙双方一致确认，本工程范围已涵盖凤凰汇东侧地块复建物业地下室的地铁</w:t>
      </w:r>
      <w:r>
        <w:rPr>
          <w:rFonts w:hint="eastAsia" w:cs="Times New Roman" w:asciiTheme="minorEastAsia" w:hAnsiTheme="minorEastAsia"/>
          <w:bCs/>
          <w:color w:val="auto"/>
          <w:kern w:val="0"/>
          <w:sz w:val="24"/>
          <w:highlight w:val="none"/>
          <w:lang w:val="en-US" w:eastAsia="zh-CN"/>
        </w:rPr>
        <w:t>安全监控</w:t>
      </w:r>
      <w:r>
        <w:rPr>
          <w:rFonts w:hint="eastAsia" w:cs="Times New Roman" w:asciiTheme="minorEastAsia" w:hAnsiTheme="minorEastAsia"/>
          <w:bCs/>
          <w:color w:val="auto"/>
          <w:kern w:val="0"/>
          <w:sz w:val="24"/>
          <w:highlight w:val="none"/>
        </w:rPr>
        <w:t>服务内容。受广州市天河区凤凰街柯木塱股份合作经济联社委托，甲方为凤凰汇东侧地块复建物业地下室的建设管理单位，并签订了《建设管理协议》（穗天投更新-工合[2025]01号），根据《建设管理协议》约定，全权负责本项目招投标及承包单位管理</w:t>
      </w:r>
      <w:r>
        <w:rPr>
          <w:rFonts w:hint="eastAsia" w:cs="Times New Roman" w:asciiTheme="minorEastAsia" w:hAnsiTheme="minorEastAsia"/>
          <w:bCs/>
          <w:color w:val="auto"/>
          <w:kern w:val="0"/>
          <w:sz w:val="24"/>
          <w:highlight w:val="none"/>
          <w:lang w:val="en-US" w:eastAsia="zh-CN"/>
        </w:rPr>
        <w:t>等</w:t>
      </w:r>
      <w:r>
        <w:rPr>
          <w:rFonts w:hint="eastAsia" w:cs="Times New Roman" w:asciiTheme="minorEastAsia" w:hAnsiTheme="minorEastAsia"/>
          <w:bCs/>
          <w:color w:val="auto"/>
          <w:kern w:val="0"/>
          <w:sz w:val="24"/>
          <w:highlight w:val="none"/>
        </w:rPr>
        <w:t>工作。基于上述项目情况，乙方不可撤销地承诺，本合同凤凰汇东侧地块复建物业地下室的地铁</w:t>
      </w:r>
      <w:r>
        <w:rPr>
          <w:rFonts w:hint="eastAsia" w:cs="Times New Roman" w:asciiTheme="minorEastAsia" w:hAnsiTheme="minorEastAsia"/>
          <w:bCs/>
          <w:color w:val="auto"/>
          <w:kern w:val="0"/>
          <w:sz w:val="24"/>
          <w:highlight w:val="none"/>
          <w:lang w:val="en-US" w:eastAsia="zh-CN"/>
        </w:rPr>
        <w:t>安全监控</w:t>
      </w:r>
      <w:r>
        <w:rPr>
          <w:rFonts w:hint="eastAsia" w:cs="Times New Roman" w:asciiTheme="minorEastAsia" w:hAnsiTheme="minorEastAsia"/>
          <w:bCs/>
          <w:color w:val="auto"/>
          <w:kern w:val="0"/>
          <w:sz w:val="24"/>
          <w:highlight w:val="none"/>
        </w:rPr>
        <w:t>服务费用后续由甲方、乙方、广州市天河区凤凰街柯木塱股份合作经济联社签订三方补充协议，明确由柯木塱股份合作经济联社承担的费用金额，该部分费用由柯木塱股份合作经济联社直接向乙方支付（乙方需按柯木塱股份合作经济联社要求开具发票），对于补充协议中明确应由柯木塱股份合作经济联社向乙方支付的费用，甲方不再重复支付；乙方亦不得因柯木塱股份合作经济联社未实际支付该费用而向甲方主张该费用及任何追偿。</w:t>
      </w:r>
    </w:p>
    <w:p w14:paraId="5A952C80">
      <w:pPr>
        <w:spacing w:line="360" w:lineRule="auto"/>
        <w:ind w:firstLine="482" w:firstLineChars="200"/>
        <w:rPr>
          <w:rFonts w:ascii="仿宋_GB2312" w:hAnsi="仿宋_GB2312" w:eastAsia="仿宋_GB2312" w:cs="仿宋_GB2312"/>
          <w:color w:val="auto"/>
          <w:sz w:val="32"/>
          <w:szCs w:val="32"/>
          <w:highlight w:val="none"/>
        </w:rPr>
      </w:pPr>
      <w:r>
        <w:rPr>
          <w:rFonts w:hint="eastAsia" w:cs="Times New Roman" w:asciiTheme="minorEastAsia" w:hAnsiTheme="minorEastAsia"/>
          <w:b/>
          <w:bCs/>
          <w:color w:val="auto"/>
          <w:sz w:val="24"/>
          <w:highlight w:val="none"/>
        </w:rPr>
        <w:t>六、双方权利与责任</w:t>
      </w:r>
    </w:p>
    <w:p w14:paraId="27D9204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1、甲方权利与责任</w:t>
      </w:r>
    </w:p>
    <w:p w14:paraId="4FB87F0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（1）甲方应协调乙方与现场各方关系，为监控工作提供必要的便利条件。</w:t>
      </w:r>
    </w:p>
    <w:p w14:paraId="73EE7966">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w:t>
      </w:r>
      <w:r>
        <w:rPr>
          <w:rFonts w:cs="Times New Roman" w:asciiTheme="minorEastAsia" w:hAnsiTheme="minorEastAsia"/>
          <w:bCs/>
          <w:color w:val="auto"/>
          <w:kern w:val="0"/>
          <w:sz w:val="24"/>
          <w:highlight w:val="none"/>
        </w:rPr>
        <w:t>2）指定专人或现场监理工程师对乙方的现场监控作旁站式监督。</w:t>
      </w:r>
    </w:p>
    <w:p w14:paraId="1EB424E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（3）按合同约定支付监控费用。</w:t>
      </w:r>
    </w:p>
    <w:p w14:paraId="7FF9A76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（4）甲方向乙方提供的监控工作所需的设计图纸及有关资料。</w:t>
      </w:r>
    </w:p>
    <w:p w14:paraId="27993986">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（5）甲方有权以书面形式要求乙方更换不能按照监控合同的规定履行合同 的监控人员，对违反监控合同对甲方或工程造成损失或不良影响的监控人员，甲 方有权对其进行警告、通报批评、罚款，直到清退；对触犯法律的，将依法追究 其法律责任。</w:t>
      </w:r>
    </w:p>
    <w:p w14:paraId="3C40883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2、乙方权利与责任</w:t>
      </w:r>
    </w:p>
    <w:p w14:paraId="12B7A61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（1）有权按照保质量、保工期和降低成本的原则，向甲方提供切实可行的监控方案。</w:t>
      </w:r>
    </w:p>
    <w:p w14:paraId="2A6A911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（2）有权对涉及监控相关工程设计中的技术问题，按照安全和优化的原则，向甲方提出建议。</w:t>
      </w:r>
    </w:p>
    <w:p w14:paraId="554D4B6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（3）有权按本合同约定获得监控服务报酬。</w:t>
      </w:r>
    </w:p>
    <w:p w14:paraId="115216F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（4）乙方应在合同签订后 5 个工作日内向甲方提交本合同约定项目的监控方案，经甲方审核确定后，甲方按照有关规定送广州地铁集团地保办备案。如甲方要求乙方对监控方案等进行合理修改调整，乙方必须在收到甲方修改调整意见之日起 1 日内，按甲方要求完成修改调整并报甲方审核。</w:t>
      </w:r>
    </w:p>
    <w:p w14:paraId="1547E13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（5）乙方必须按照投标文件的承诺建立以项目负责人（技术负责人）为主的现场管理机构。项目负责人（技术负责人）及现场管理机构主要部门负责人见</w:t>
      </w:r>
      <w:r>
        <w:rPr>
          <w:rFonts w:hint="eastAsia" w:cs="Times New Roman" w:asciiTheme="minorEastAsia" w:hAnsiTheme="minorEastAsia"/>
          <w:bCs/>
          <w:color w:val="auto"/>
          <w:kern w:val="0"/>
          <w:sz w:val="24"/>
          <w:highlight w:val="none"/>
          <w:lang w:val="en-US" w:eastAsia="zh-CN"/>
        </w:rPr>
        <w:t>附件</w:t>
      </w:r>
      <w:r>
        <w:rPr>
          <w:rFonts w:hint="eastAsia" w:cs="Times New Roman" w:asciiTheme="minorEastAsia" w:hAnsiTheme="minorEastAsia"/>
          <w:bCs/>
          <w:color w:val="auto"/>
          <w:kern w:val="0"/>
          <w:sz w:val="24"/>
          <w:highlight w:val="none"/>
        </w:rPr>
        <w:t>《拟投入本项目人员一览表》。</w:t>
      </w:r>
    </w:p>
    <w:p w14:paraId="0196D80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（6）现场项目组人员必须在甲方发出进场通知之日起 24 小时内全部到位， 并接受甲方代表的查验。在甲方发出进场通知 24 小时后，上述人员仍未全部到 位的，乙方按照本合同条款第七条的有关约定承担违约责任。</w:t>
      </w:r>
    </w:p>
    <w:p w14:paraId="12E9C24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（7）乙方所投入人员应与投标文件保持一致，未经甲方同意不得更换。</w:t>
      </w:r>
    </w:p>
    <w:p w14:paraId="2CD014A9">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（8）乙方未经甲方同意擅自更换项目负责人（技术负责人）或监控项目主</w:t>
      </w:r>
    </w:p>
    <w:p w14:paraId="45B57312">
      <w:pPr>
        <w:spacing w:line="360" w:lineRule="auto"/>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要人员的，除按照本合同条款第七条的有关约定承担违约责任外，还应向甲方支付合同价的10%作为专项的人员违约金。</w:t>
      </w:r>
    </w:p>
    <w:p w14:paraId="5D0C494C">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（9）因特殊情况需要，乙方确需更换项目负责人（技术负责人）或监控项目主要人员的，乙方应至少提前 7 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14:paraId="3B64E35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10）项目负责人（技术负责人）或监控项目主要人员的实际工作能力和工作表现达不到招标文件明确要求或投标文件的承诺、或工作态度存在严重不足，不适应现场工作需要，甲方有权向乙方提出撤换。乙方可以提出整改意见；如甲方不予接受，或认为整改效果不明显的，则乙方必须在收到甲方撤换通知书之日起 7 天内无条件撤换，所调换来人员的资质、资历、学历、职称、业绩、实际工作能力不低于原投标书中所承诺人员的素质。</w:t>
      </w:r>
    </w:p>
    <w:p w14:paraId="28726EAD">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（11）如甲方要求乙方撤换不合格人员，乙方拒不执行，则自撤换通知下达</w:t>
      </w:r>
    </w:p>
    <w:p w14:paraId="490CB62B">
      <w:pPr>
        <w:spacing w:line="360" w:lineRule="auto"/>
        <w:ind w:firstLine="240" w:firstLineChars="1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7 天后，视为该岗位已空缺，乙方应按照本合同条款的有关约定承担违约责任。</w:t>
      </w:r>
    </w:p>
    <w:p w14:paraId="07B568DD">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（12）乙方应自行完成本合同约定项目的监控工作（除本合同另有约定外），不得转包和分包。</w:t>
      </w:r>
    </w:p>
    <w:p w14:paraId="5584A693">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（13）乙方应认真、勤奋地工作，按时提交各阶段的监控报告并对监控报告数据的真实性、合法性、有效性以及质量负责。对监控报告中出现的遗漏或错误负责无偿修改或补充。</w:t>
      </w:r>
    </w:p>
    <w:p w14:paraId="5CF7296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（14）监控过程中，发现施工单位违反有关法律、法规、规范和工程建设强制性标准的行为，应及时向甲方报告。</w:t>
      </w:r>
    </w:p>
    <w:p w14:paraId="2D97271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w:t>
      </w:r>
      <w:r>
        <w:rPr>
          <w:rFonts w:hint="eastAsia" w:cs="Times New Roman" w:asciiTheme="minorEastAsia" w:hAnsiTheme="minorEastAsia"/>
          <w:bCs/>
          <w:color w:val="auto"/>
          <w:kern w:val="0"/>
          <w:sz w:val="24"/>
          <w:highlight w:val="none"/>
          <w:lang w:val="en-US" w:eastAsia="zh-CN"/>
        </w:rPr>
        <w:t>5</w:t>
      </w:r>
      <w:r>
        <w:rPr>
          <w:rFonts w:hint="eastAsia" w:cs="Times New Roman" w:asciiTheme="minorEastAsia" w:hAnsiTheme="minorEastAsia"/>
          <w:bCs/>
          <w:color w:val="auto"/>
          <w:kern w:val="0"/>
          <w:sz w:val="24"/>
          <w:highlight w:val="none"/>
        </w:rPr>
        <w:t>）乙方应当对受项目施工影响的地铁区间进行相应的监控服务，并应按甲方要求，按月提供监控成果报告，以满足广州地铁集团地保办的需要。</w:t>
      </w:r>
    </w:p>
    <w:p w14:paraId="1AC327F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w:t>
      </w:r>
      <w:r>
        <w:rPr>
          <w:rFonts w:hint="eastAsia" w:cs="Times New Roman" w:asciiTheme="minorEastAsia" w:hAnsiTheme="minorEastAsia"/>
          <w:bCs/>
          <w:color w:val="auto"/>
          <w:kern w:val="0"/>
          <w:sz w:val="24"/>
          <w:highlight w:val="none"/>
          <w:lang w:val="en-US" w:eastAsia="zh-CN"/>
        </w:rPr>
        <w:t>6</w:t>
      </w:r>
      <w:r>
        <w:rPr>
          <w:rFonts w:hint="eastAsia" w:cs="Times New Roman" w:asciiTheme="minorEastAsia" w:hAnsiTheme="minorEastAsia"/>
          <w:bCs/>
          <w:color w:val="auto"/>
          <w:kern w:val="0"/>
          <w:sz w:val="24"/>
          <w:highlight w:val="none"/>
        </w:rPr>
        <w:t>）对于甲方书面提交并要求作出决定的事宜，乙方应在收到之日起 3 个工作日内作出书面答复；对影响施工现场进度的事项应在 24 小时内作出具有明确处理意见的书面答复。</w:t>
      </w:r>
    </w:p>
    <w:p w14:paraId="4BE2338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w:t>
      </w:r>
      <w:r>
        <w:rPr>
          <w:rFonts w:hint="eastAsia" w:cs="Times New Roman" w:asciiTheme="minorEastAsia" w:hAnsiTheme="minorEastAsia"/>
          <w:bCs/>
          <w:color w:val="auto"/>
          <w:kern w:val="0"/>
          <w:sz w:val="24"/>
          <w:highlight w:val="none"/>
          <w:lang w:val="en-US" w:eastAsia="zh-CN"/>
        </w:rPr>
        <w:t>7</w:t>
      </w:r>
      <w:r>
        <w:rPr>
          <w:rFonts w:hint="eastAsia" w:cs="Times New Roman" w:asciiTheme="minorEastAsia" w:hAnsiTheme="minorEastAsia"/>
          <w:bCs/>
          <w:color w:val="auto"/>
          <w:kern w:val="0"/>
          <w:sz w:val="24"/>
          <w:highlight w:val="none"/>
        </w:rPr>
        <w:t>）向甲方提供非驻场式的技术咨询、支持服务，包括参加本项目相关会 议、安排技术人员到现场解决相关问题。</w:t>
      </w:r>
    </w:p>
    <w:p w14:paraId="3FDFD6B3">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w:t>
      </w:r>
      <w:r>
        <w:rPr>
          <w:rFonts w:hint="eastAsia" w:cs="Times New Roman" w:asciiTheme="minorEastAsia" w:hAnsiTheme="minorEastAsia"/>
          <w:bCs/>
          <w:color w:val="auto"/>
          <w:kern w:val="0"/>
          <w:sz w:val="24"/>
          <w:highlight w:val="none"/>
          <w:lang w:val="en-US" w:eastAsia="zh-CN"/>
        </w:rPr>
        <w:t>8</w:t>
      </w:r>
      <w:r>
        <w:rPr>
          <w:rFonts w:hint="eastAsia" w:cs="Times New Roman" w:asciiTheme="minorEastAsia" w:hAnsiTheme="minorEastAsia"/>
          <w:bCs/>
          <w:color w:val="auto"/>
          <w:kern w:val="0"/>
          <w:sz w:val="24"/>
          <w:highlight w:val="none"/>
        </w:rPr>
        <w:t>）对监控过程中发现存在的质量问题，提出具体的处理意见和建议。</w:t>
      </w:r>
    </w:p>
    <w:p w14:paraId="093C7942">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w:t>
      </w:r>
      <w:r>
        <w:rPr>
          <w:rFonts w:hint="eastAsia" w:cs="Times New Roman" w:asciiTheme="minorEastAsia" w:hAnsiTheme="minorEastAsia"/>
          <w:bCs/>
          <w:color w:val="auto"/>
          <w:kern w:val="0"/>
          <w:sz w:val="24"/>
          <w:highlight w:val="none"/>
          <w:lang w:val="en-US" w:eastAsia="zh-CN"/>
        </w:rPr>
        <w:t>19</w:t>
      </w:r>
      <w:r>
        <w:rPr>
          <w:rFonts w:hint="eastAsia" w:cs="Times New Roman" w:asciiTheme="minorEastAsia" w:hAnsiTheme="minorEastAsia"/>
          <w:bCs/>
          <w:color w:val="auto"/>
          <w:kern w:val="0"/>
          <w:sz w:val="24"/>
          <w:highlight w:val="none"/>
        </w:rPr>
        <w:t>）乙方为履行本合同项下义务所发生的一切费用，包括但不限于监控人员交通、通讯费</w:t>
      </w:r>
      <w:r>
        <w:rPr>
          <w:rFonts w:hint="eastAsia" w:cs="Times New Roman" w:asciiTheme="minorEastAsia" w:hAnsiTheme="minorEastAsia"/>
          <w:bCs/>
          <w:color w:val="auto"/>
          <w:kern w:val="0"/>
          <w:sz w:val="24"/>
          <w:highlight w:val="none"/>
          <w:lang w:eastAsia="zh-CN"/>
        </w:rPr>
        <w:t>、</w:t>
      </w:r>
      <w:r>
        <w:rPr>
          <w:rFonts w:hint="eastAsia" w:cs="Times New Roman" w:asciiTheme="minorEastAsia" w:hAnsiTheme="minorEastAsia"/>
          <w:bCs/>
          <w:color w:val="auto"/>
          <w:kern w:val="0"/>
          <w:sz w:val="24"/>
          <w:highlight w:val="none"/>
        </w:rPr>
        <w:t>住宿费、餐费及其他为完成项目所必需的开支等，由此发生的费用</w:t>
      </w:r>
      <w:r>
        <w:rPr>
          <w:rFonts w:hint="eastAsia" w:cs="Times New Roman" w:asciiTheme="minorEastAsia" w:hAnsiTheme="minorEastAsia"/>
          <w:bCs/>
          <w:color w:val="auto"/>
          <w:kern w:val="0"/>
          <w:sz w:val="24"/>
          <w:highlight w:val="none"/>
          <w:lang w:val="en-US" w:eastAsia="zh-CN"/>
        </w:rPr>
        <w:t>均</w:t>
      </w:r>
      <w:r>
        <w:rPr>
          <w:rFonts w:hint="eastAsia" w:cs="Times New Roman" w:asciiTheme="minorEastAsia" w:hAnsiTheme="minorEastAsia"/>
          <w:bCs/>
          <w:color w:val="auto"/>
          <w:kern w:val="0"/>
          <w:sz w:val="24"/>
          <w:highlight w:val="none"/>
        </w:rPr>
        <w:t>已包含在</w:t>
      </w:r>
      <w:r>
        <w:rPr>
          <w:rFonts w:hint="eastAsia" w:cs="Times New Roman" w:asciiTheme="minorEastAsia" w:hAnsiTheme="minorEastAsia"/>
          <w:bCs/>
          <w:color w:val="auto"/>
          <w:kern w:val="0"/>
          <w:sz w:val="24"/>
          <w:highlight w:val="none"/>
          <w:lang w:val="en-US" w:eastAsia="zh-CN"/>
        </w:rPr>
        <w:t>合同价</w:t>
      </w:r>
      <w:r>
        <w:rPr>
          <w:rFonts w:hint="eastAsia" w:cs="Times New Roman" w:asciiTheme="minorEastAsia" w:hAnsiTheme="minorEastAsia"/>
          <w:bCs/>
          <w:color w:val="auto"/>
          <w:kern w:val="0"/>
          <w:sz w:val="24"/>
          <w:highlight w:val="none"/>
        </w:rPr>
        <w:t>中，不再另行支付。</w:t>
      </w:r>
    </w:p>
    <w:p w14:paraId="70047F7D">
      <w:pPr>
        <w:spacing w:line="360" w:lineRule="auto"/>
        <w:ind w:firstLine="482" w:firstLineChars="200"/>
        <w:rPr>
          <w:rFonts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七、违约责任及争议的解决</w:t>
      </w:r>
    </w:p>
    <w:p w14:paraId="779BC62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委托现场监理单位在约定的期限内对乙方上报给甲方已经完成的工作量进行确认，若超过约定期限十五个工作日仍不回复或者确认的，视为对乙方完成工作无异议，乙方将相关情况书面通知甲方并征得甲方同意后，可据此结算。</w:t>
      </w:r>
    </w:p>
    <w:p w14:paraId="2E0EE8F2">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乙方应严格按照设计要求及现场监理人员要求，及时到场进行工作。若乙方在合同签订后，经甲方催促不按时进场开展工作或进场后三次未能及时提交满足合同约定标准的工作报告，甲方有权解除合同，乙方应全额返还受影响段甲方已付款项并赔偿甲方相关损失。</w:t>
      </w:r>
    </w:p>
    <w:p w14:paraId="0D0B46BC">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3、甲方要求乙方必须参加的会议，乙方必须按照甲方要求的人员到会，未经甲方同意不到会者，累计超过 2 次（注：参加会议次数以会议纪要签到为准），甲方有权按 1000 元/每人次对乙方进行追加处罚。</w:t>
      </w:r>
    </w:p>
    <w:p w14:paraId="04A5645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因乙方原因，乙方未能向甲方提供符合本合同约定标准的服务成果的，乙方应在甲方指定的期限内整改直至符合本合同约定标准；若经甲方书面催告后仍未能在合理期限内提供的，甲方有权不予支付该不符合标准的服务成果所对应的服务费，直至乙方提供符合本合同约定标准的服务成果。</w:t>
      </w:r>
    </w:p>
    <w:p w14:paraId="250DEBE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w:t>
      </w:r>
      <w:r>
        <w:rPr>
          <w:rFonts w:hint="eastAsia" w:cs="Times New Roman" w:asciiTheme="minorEastAsia" w:hAnsiTheme="minorEastAsia"/>
          <w:bCs/>
          <w:color w:val="auto"/>
          <w:kern w:val="0"/>
          <w:sz w:val="24"/>
          <w:highlight w:val="none"/>
          <w:lang w:val="en-US" w:eastAsia="zh-CN"/>
        </w:rPr>
        <w:t>因</w:t>
      </w:r>
      <w:r>
        <w:rPr>
          <w:rFonts w:hint="eastAsia" w:cs="Times New Roman" w:asciiTheme="minorEastAsia" w:hAnsiTheme="minorEastAsia"/>
          <w:bCs/>
          <w:color w:val="auto"/>
          <w:kern w:val="0"/>
          <w:sz w:val="24"/>
          <w:highlight w:val="none"/>
        </w:rPr>
        <w:t>乙方</w:t>
      </w:r>
      <w:r>
        <w:rPr>
          <w:rFonts w:hint="eastAsia" w:cs="Times New Roman" w:asciiTheme="minorEastAsia" w:hAnsiTheme="minorEastAsia"/>
          <w:bCs/>
          <w:color w:val="auto"/>
          <w:kern w:val="0"/>
          <w:sz w:val="24"/>
          <w:highlight w:val="none"/>
          <w:lang w:val="en-US" w:eastAsia="zh-CN"/>
        </w:rPr>
        <w:t>原因导致未能按照</w:t>
      </w:r>
      <w:r>
        <w:rPr>
          <w:rFonts w:hint="eastAsia" w:cs="Times New Roman" w:asciiTheme="minorEastAsia" w:hAnsiTheme="minorEastAsia"/>
          <w:bCs/>
          <w:color w:val="auto"/>
          <w:kern w:val="0"/>
          <w:sz w:val="24"/>
          <w:highlight w:val="none"/>
        </w:rPr>
        <w:t>合同约定</w:t>
      </w:r>
      <w:r>
        <w:rPr>
          <w:rFonts w:hint="eastAsia" w:cs="Times New Roman" w:asciiTheme="minorEastAsia" w:hAnsiTheme="minorEastAsia"/>
          <w:bCs/>
          <w:color w:val="auto"/>
          <w:kern w:val="0"/>
          <w:sz w:val="24"/>
          <w:highlight w:val="none"/>
          <w:lang w:val="en-US" w:eastAsia="zh-CN"/>
        </w:rPr>
        <w:t>时间</w:t>
      </w:r>
      <w:r>
        <w:rPr>
          <w:rFonts w:hint="eastAsia" w:cs="Times New Roman" w:asciiTheme="minorEastAsia" w:hAnsiTheme="minorEastAsia"/>
          <w:bCs/>
          <w:color w:val="auto"/>
          <w:kern w:val="0"/>
          <w:sz w:val="24"/>
          <w:highlight w:val="none"/>
        </w:rPr>
        <w:t>按时提交成果</w:t>
      </w:r>
      <w:r>
        <w:rPr>
          <w:rFonts w:hint="eastAsia" w:cs="Times New Roman" w:asciiTheme="minorEastAsia" w:hAnsiTheme="minorEastAsia"/>
          <w:bCs/>
          <w:color w:val="auto"/>
          <w:kern w:val="0"/>
          <w:sz w:val="24"/>
          <w:highlight w:val="none"/>
          <w:lang w:val="en-US" w:eastAsia="zh-CN"/>
        </w:rPr>
        <w:t>的</w:t>
      </w:r>
      <w:r>
        <w:rPr>
          <w:rFonts w:hint="eastAsia" w:cs="Times New Roman" w:asciiTheme="minorEastAsia" w:hAnsiTheme="minorEastAsia"/>
          <w:bCs/>
          <w:color w:val="auto"/>
          <w:kern w:val="0"/>
          <w:sz w:val="24"/>
          <w:highlight w:val="none"/>
          <w:lang w:eastAsia="zh-CN"/>
        </w:rPr>
        <w:t>，每迟延一日，向甲方支付所延误工作应收款项万分之三的违约金，逾期超过30日，甲方有权解除本合同，如因此造成甲方的损失，乙方应承担赔偿责任。非乙方原因造成耽误的，工期可以顺延，顺延期限由甲乙双方另行协商确定。甲方可直接在未付款中扣除违约金后再向乙方支付剩余款项。</w:t>
      </w:r>
    </w:p>
    <w:p w14:paraId="5806AFAC">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6</w:t>
      </w:r>
      <w:r>
        <w:rPr>
          <w:rFonts w:hint="eastAsia" w:cs="Times New Roman" w:asciiTheme="minorEastAsia" w:hAnsiTheme="minorEastAsia"/>
          <w:bCs/>
          <w:color w:val="auto"/>
          <w:kern w:val="0"/>
          <w:sz w:val="24"/>
          <w:highlight w:val="none"/>
        </w:rPr>
        <w:t>、甲方单方提出解除本合同，或因甲方原因导致本合同解除的，甲方应向乙方支付合同暂定服务费总金额 20%的违约金。合同解除后，甲方应向乙方支付到合同解除之日乙方已完成的服务工作所对应的服务费等费用。</w:t>
      </w:r>
    </w:p>
    <w:p w14:paraId="138E4C6D">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7</w:t>
      </w:r>
      <w:r>
        <w:rPr>
          <w:rFonts w:hint="eastAsia" w:cs="Times New Roman" w:asciiTheme="minorEastAsia" w:hAnsiTheme="minorEastAsia"/>
          <w:bCs/>
          <w:color w:val="auto"/>
          <w:kern w:val="0"/>
          <w:sz w:val="24"/>
          <w:highlight w:val="none"/>
        </w:rPr>
        <w:t>、乙方单方提出解除本合同，或因乙方原因导致本合同解除的，乙方应向甲方支付合同暂定服务费总金额 20%的违约金，并赔偿甲方因此造成的损失。合同解除后，甲方应向乙方支付到合同解除之日乙方已完成</w:t>
      </w:r>
      <w:r>
        <w:rPr>
          <w:rFonts w:hint="eastAsia" w:cs="Times New Roman" w:asciiTheme="minorEastAsia" w:hAnsiTheme="minorEastAsia"/>
          <w:bCs/>
          <w:color w:val="auto"/>
          <w:kern w:val="0"/>
          <w:sz w:val="24"/>
          <w:highlight w:val="none"/>
          <w:lang w:val="en-US" w:eastAsia="zh-CN"/>
        </w:rPr>
        <w:t>且经甲方验收合格部分</w:t>
      </w:r>
      <w:r>
        <w:rPr>
          <w:rFonts w:hint="eastAsia" w:cs="Times New Roman" w:asciiTheme="minorEastAsia" w:hAnsiTheme="minorEastAsia"/>
          <w:bCs/>
          <w:color w:val="auto"/>
          <w:kern w:val="0"/>
          <w:sz w:val="24"/>
          <w:highlight w:val="none"/>
        </w:rPr>
        <w:t>的服务工作所对应的服务费等费用。</w:t>
      </w:r>
    </w:p>
    <w:p w14:paraId="72087F4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8、乙方应当保证乙方人员的工资、福利等。合同履行过程中发生的工伤事故、劳动纠纷、安全事故、财产损害等法律纠纷均由乙方负责解决、承担全部费用和责任，若造成甲方或其他第三方损失的，乙方承担全部赔偿责任。</w:t>
      </w:r>
    </w:p>
    <w:p w14:paraId="1FEBF13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9、乙方应保证其向甲方提交的成果文件不侵犯任何第三方的合法权益，并确保甲方不会因乙方提供的文件和资料成果而受到第三方关于侵犯其合法权益的指控，或因此被责令停止使用、追偿或要求赔偿损失。否则，甲方有权要求乙方承担赔偿责任，因此给甲方造成损失的还应赔偿甲方全部损失。</w:t>
      </w:r>
    </w:p>
    <w:p w14:paraId="4571B6C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10、任何一方违约，守约方除可要求对方承担本协议约定的违约责任外，还可要求违约方承担守约方因追究违约责任所支付的一切费用，包括但不限于诉讼费、律师费、鉴定（或审计）费、财产保全费、财产保全担保费、执行费等。</w:t>
      </w:r>
    </w:p>
    <w:p w14:paraId="3A23D2A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11、未经甲方书面同意，乙方擅自转包或分包本合同约定工作的，则甲方有权解除本合同，并要求乙方承担本合同总额20%的违约金。</w:t>
      </w:r>
    </w:p>
    <w:p w14:paraId="2DBAF6A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12、本项目因非甲方过错（包括但不限于政府审批政策调整、规划变更、不可抗力等客观因素）导致项目未获批复或无法继续实施的，甲方有权书面通知乙方终止本合同，合同自书面通知送达之日起终止，未履行部分不再履行</w:t>
      </w:r>
      <w:r>
        <w:rPr>
          <w:rFonts w:hint="eastAsia" w:cs="Times New Roman" w:asciiTheme="minorEastAsia" w:hAnsiTheme="minorEastAsia"/>
          <w:bCs/>
          <w:color w:val="auto"/>
          <w:kern w:val="0"/>
          <w:sz w:val="24"/>
          <w:highlight w:val="none"/>
          <w:lang w:eastAsia="zh-CN"/>
        </w:rPr>
        <w:t>，双方互不追究违约责任</w:t>
      </w:r>
      <w:r>
        <w:rPr>
          <w:rFonts w:hint="eastAsia" w:cs="Times New Roman" w:asciiTheme="minorEastAsia" w:hAnsiTheme="minorEastAsia"/>
          <w:bCs/>
          <w:color w:val="auto"/>
          <w:kern w:val="0"/>
          <w:sz w:val="24"/>
          <w:highlight w:val="none"/>
        </w:rPr>
        <w:t>。</w:t>
      </w:r>
    </w:p>
    <w:p w14:paraId="0523D02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合同终止后，双方应本着公平合理原则</w:t>
      </w:r>
      <w:bookmarkStart w:id="15" w:name="_GoBack"/>
      <w:bookmarkEnd w:id="15"/>
      <w:r>
        <w:rPr>
          <w:rFonts w:hint="eastAsia" w:cs="Times New Roman" w:asciiTheme="minorEastAsia" w:hAnsiTheme="minorEastAsia"/>
          <w:bCs/>
          <w:color w:val="auto"/>
          <w:kern w:val="0"/>
          <w:sz w:val="24"/>
          <w:highlight w:val="none"/>
        </w:rPr>
        <w:t>，根据乙方实际完成且符合验收标准的工作量，参照合同约定单价或市场公允价格协商确定补偿费用。</w:t>
      </w:r>
    </w:p>
    <w:p w14:paraId="5253082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13</w:t>
      </w:r>
      <w:r>
        <w:rPr>
          <w:rFonts w:hint="eastAsia" w:cs="Times New Roman" w:asciiTheme="minorEastAsia" w:hAnsiTheme="minorEastAsia"/>
          <w:bCs/>
          <w:color w:val="auto"/>
          <w:kern w:val="0"/>
          <w:sz w:val="24"/>
          <w:highlight w:val="none"/>
        </w:rPr>
        <w:t>、合同履行过程中出现分歧，双方应遵循平等互利和诚实信用原则，通过友好协商解决。若协商不成，可向项目所在地有管辖权的人民法院提起诉讼。</w:t>
      </w:r>
    </w:p>
    <w:p w14:paraId="73858C87">
      <w:pPr>
        <w:spacing w:line="360" w:lineRule="auto"/>
        <w:ind w:firstLine="482" w:firstLineChars="200"/>
        <w:rPr>
          <w:rFonts w:hint="eastAsia" w:cs="Times New Roman" w:asciiTheme="minorEastAsia" w:hAnsiTheme="minorEastAsia"/>
          <w:b/>
          <w:bCs/>
          <w:color w:val="auto"/>
          <w:kern w:val="2"/>
          <w:sz w:val="24"/>
          <w:highlight w:val="none"/>
        </w:rPr>
      </w:pPr>
      <w:r>
        <w:rPr>
          <w:rFonts w:hint="eastAsia" w:cs="Times New Roman" w:asciiTheme="minorEastAsia" w:hAnsiTheme="minorEastAsia"/>
          <w:b/>
          <w:bCs/>
          <w:color w:val="auto"/>
          <w:kern w:val="2"/>
          <w:sz w:val="24"/>
          <w:highlight w:val="none"/>
        </w:rPr>
        <w:t>八、不可抗力</w:t>
      </w:r>
    </w:p>
    <w:p w14:paraId="6898005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1.本合同所称"不可抗力"是指受影响一方不能合理控制的，无法预料或即使可预料到也不可避免且无法克服且导致合同无法按约定履行，并于本合同签订日之后出现的事件。</w:t>
      </w:r>
    </w:p>
    <w:p w14:paraId="1F991F4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不可抗力事件发生时或其影响终止或消除后，双方应立即通过友好协商决定如何执行本合同。且遭遇不可抗力事故的一方应采取一切必要措施减少损失，否则应就扩大的损失承担责任，并应在不可抗力发生后15日内，提供事故发生及因此影响到遭遇事故的一方不能履行或需要延期履行、部分履行本合同有关义务的程度的有效证明文件。如因不可抗力导致合同无法履行的，甲乙双方均不承担违约责任。合约双方按照不可抗力事件对本合同履行的影响程度，协商决定是否解除本合同、或者部分免除受影响一方在本合同中的责任、或者延期履行本合同。</w:t>
      </w:r>
    </w:p>
    <w:p w14:paraId="566C6F12">
      <w:pPr>
        <w:spacing w:line="360" w:lineRule="auto"/>
        <w:ind w:firstLine="482" w:firstLineChars="200"/>
        <w:rPr>
          <w:rFonts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lang w:val="en-US" w:eastAsia="zh-CN"/>
        </w:rPr>
        <w:t>九</w:t>
      </w:r>
      <w:r>
        <w:rPr>
          <w:rFonts w:hint="eastAsia" w:cs="Times New Roman" w:asciiTheme="minorEastAsia" w:hAnsiTheme="minorEastAsia"/>
          <w:b/>
          <w:bCs/>
          <w:color w:val="auto"/>
          <w:sz w:val="24"/>
          <w:highlight w:val="none"/>
        </w:rPr>
        <w:t>、其他</w:t>
      </w:r>
    </w:p>
    <w:p w14:paraId="18EDFA8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1、合同自双方法定代表人或其授权代表签字并加盖单位公章或合同章后生效，如乙方在合同双方签字盖章前已按甲方要求进场作业的，则合同生效期为乙方进场作业之日。</w:t>
      </w:r>
    </w:p>
    <w:p w14:paraId="7CAFEF17">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2、本合同一式捌份，甲方执</w:t>
      </w:r>
      <w:r>
        <w:rPr>
          <w:rFonts w:hint="eastAsia" w:cs="Times New Roman" w:asciiTheme="minorEastAsia" w:hAnsiTheme="minorEastAsia"/>
          <w:bCs/>
          <w:color w:val="auto"/>
          <w:kern w:val="0"/>
          <w:sz w:val="24"/>
          <w:highlight w:val="none"/>
          <w:u w:val="single"/>
        </w:rPr>
        <w:t>陆</w:t>
      </w:r>
      <w:r>
        <w:rPr>
          <w:rFonts w:hint="eastAsia" w:cs="Times New Roman" w:asciiTheme="minorEastAsia" w:hAnsiTheme="minorEastAsia"/>
          <w:bCs/>
          <w:color w:val="auto"/>
          <w:kern w:val="0"/>
          <w:sz w:val="24"/>
          <w:highlight w:val="none"/>
        </w:rPr>
        <w:t>份，乙方执</w:t>
      </w:r>
      <w:r>
        <w:rPr>
          <w:rFonts w:hint="eastAsia" w:cs="Times New Roman" w:asciiTheme="minorEastAsia" w:hAnsiTheme="minorEastAsia"/>
          <w:bCs/>
          <w:color w:val="auto"/>
          <w:kern w:val="0"/>
          <w:sz w:val="24"/>
          <w:highlight w:val="none"/>
          <w:u w:val="single"/>
        </w:rPr>
        <w:t>贰</w:t>
      </w:r>
      <w:r>
        <w:rPr>
          <w:rFonts w:hint="eastAsia" w:cs="Times New Roman" w:asciiTheme="minorEastAsia" w:hAnsiTheme="minorEastAsia"/>
          <w:bCs/>
          <w:color w:val="auto"/>
          <w:kern w:val="0"/>
          <w:sz w:val="24"/>
          <w:highlight w:val="none"/>
        </w:rPr>
        <w:t>份，具同等法律效力。</w:t>
      </w:r>
    </w:p>
    <w:p w14:paraId="04744975">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3、合同附件作为本合同的一部分，与合同</w:t>
      </w:r>
      <w:r>
        <w:rPr>
          <w:rFonts w:hint="eastAsia" w:cs="Times New Roman" w:asciiTheme="minorEastAsia" w:hAnsiTheme="minorEastAsia"/>
          <w:bCs/>
          <w:color w:val="auto"/>
          <w:kern w:val="0"/>
          <w:sz w:val="24"/>
          <w:highlight w:val="none"/>
          <w:lang w:val="en-US" w:eastAsia="zh-CN"/>
        </w:rPr>
        <w:t>正文</w:t>
      </w:r>
      <w:r>
        <w:rPr>
          <w:rFonts w:hint="eastAsia" w:cs="Times New Roman" w:asciiTheme="minorEastAsia" w:hAnsiTheme="minorEastAsia"/>
          <w:bCs/>
          <w:color w:val="auto"/>
          <w:kern w:val="0"/>
          <w:sz w:val="24"/>
          <w:highlight w:val="none"/>
        </w:rPr>
        <w:t>具有同等法律效力。</w:t>
      </w:r>
    </w:p>
    <w:p w14:paraId="7C32C9F8">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4、本合同及附件有关条款如与政府、建设行政主管部门的有关规定不符合，应当按其有关规定执行。</w:t>
      </w:r>
    </w:p>
    <w:p w14:paraId="3A9CDBF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5、</w:t>
      </w:r>
      <w:r>
        <w:rPr>
          <w:rFonts w:hint="eastAsia" w:cs="Times New Roman" w:asciiTheme="minorEastAsia" w:hAnsiTheme="minorEastAsia"/>
          <w:bCs/>
          <w:color w:val="auto"/>
          <w:kern w:val="0"/>
          <w:sz w:val="24"/>
          <w:highlight w:val="none"/>
        </w:rPr>
        <w:t>本合同如有未尽事宜，双方另行协商达成补充协议。</w:t>
      </w:r>
    </w:p>
    <w:p w14:paraId="437B1F56">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（以下无正文）</w:t>
      </w:r>
    </w:p>
    <w:p w14:paraId="5949FFF1">
      <w:pPr>
        <w:widowControl/>
        <w:spacing w:line="500" w:lineRule="exact"/>
        <w:jc w:val="left"/>
        <w:rPr>
          <w:rFonts w:asciiTheme="minorEastAsia" w:hAnsiTheme="minorEastAsia"/>
          <w:bCs/>
          <w:color w:val="auto"/>
          <w:sz w:val="24"/>
          <w:highlight w:val="none"/>
        </w:rPr>
      </w:pPr>
      <w:r>
        <w:rPr>
          <w:rStyle w:val="18"/>
          <w:rFonts w:hint="eastAsia" w:asciiTheme="minorEastAsia" w:hAnsiTheme="minorEastAsia"/>
          <w:b w:val="0"/>
          <w:color w:val="auto"/>
          <w:sz w:val="24"/>
          <w:szCs w:val="24"/>
          <w:highlight w:val="none"/>
        </w:rPr>
        <w:t>附件：1</w:t>
      </w:r>
      <w:r>
        <w:rPr>
          <w:rStyle w:val="18"/>
          <w:rFonts w:asciiTheme="minorEastAsia" w:hAnsiTheme="minorEastAsia"/>
          <w:b w:val="0"/>
          <w:color w:val="auto"/>
          <w:sz w:val="24"/>
          <w:szCs w:val="24"/>
          <w:highlight w:val="none"/>
        </w:rPr>
        <w:t>.</w:t>
      </w:r>
      <w:r>
        <w:rPr>
          <w:rStyle w:val="18"/>
          <w:rFonts w:hint="eastAsia" w:asciiTheme="minorEastAsia" w:hAnsiTheme="minorEastAsia"/>
          <w:b w:val="0"/>
          <w:color w:val="auto"/>
          <w:sz w:val="24"/>
          <w:szCs w:val="24"/>
          <w:highlight w:val="none"/>
        </w:rPr>
        <w:t>中标通知书</w:t>
      </w:r>
    </w:p>
    <w:p w14:paraId="32C44EFF">
      <w:pPr>
        <w:widowControl/>
        <w:spacing w:line="500" w:lineRule="exact"/>
        <w:ind w:firstLine="720" w:firstLineChars="300"/>
        <w:jc w:val="left"/>
        <w:rPr>
          <w:rStyle w:val="18"/>
          <w:rFonts w:asciiTheme="minorEastAsia" w:hAnsiTheme="minorEastAsia"/>
          <w:b w:val="0"/>
          <w:color w:val="auto"/>
          <w:sz w:val="24"/>
          <w:szCs w:val="24"/>
          <w:highlight w:val="none"/>
        </w:rPr>
      </w:pPr>
      <w:r>
        <w:rPr>
          <w:rStyle w:val="18"/>
          <w:rFonts w:hint="eastAsia" w:asciiTheme="minorEastAsia" w:hAnsiTheme="minorEastAsia"/>
          <w:b w:val="0"/>
          <w:color w:val="auto"/>
          <w:sz w:val="24"/>
          <w:szCs w:val="24"/>
          <w:highlight w:val="none"/>
        </w:rPr>
        <w:t>2</w:t>
      </w:r>
      <w:r>
        <w:rPr>
          <w:rStyle w:val="18"/>
          <w:rFonts w:asciiTheme="minorEastAsia" w:hAnsiTheme="minorEastAsia"/>
          <w:b w:val="0"/>
          <w:color w:val="auto"/>
          <w:sz w:val="24"/>
          <w:szCs w:val="24"/>
          <w:highlight w:val="none"/>
        </w:rPr>
        <w:t>.</w:t>
      </w:r>
      <w:r>
        <w:rPr>
          <w:rStyle w:val="18"/>
          <w:rFonts w:hint="eastAsia" w:asciiTheme="minorEastAsia" w:hAnsiTheme="minorEastAsia"/>
          <w:b w:val="0"/>
          <w:color w:val="auto"/>
          <w:sz w:val="24"/>
          <w:szCs w:val="24"/>
          <w:highlight w:val="none"/>
        </w:rPr>
        <w:t>保密协议</w:t>
      </w:r>
    </w:p>
    <w:p w14:paraId="7FBD0D93">
      <w:pPr>
        <w:widowControl/>
        <w:spacing w:line="500" w:lineRule="exact"/>
        <w:ind w:firstLine="720" w:firstLineChars="300"/>
        <w:jc w:val="left"/>
        <w:rPr>
          <w:rStyle w:val="18"/>
          <w:rFonts w:eastAsia="宋体" w:cs="Times New Roman" w:asciiTheme="minorEastAsia" w:hAnsiTheme="minorEastAsia"/>
          <w:b w:val="0"/>
          <w:color w:val="auto"/>
          <w:sz w:val="24"/>
          <w:szCs w:val="24"/>
          <w:highlight w:val="none"/>
        </w:rPr>
      </w:pPr>
      <w:r>
        <w:rPr>
          <w:rStyle w:val="18"/>
          <w:rFonts w:hint="eastAsia" w:eastAsia="宋体" w:cs="Times New Roman" w:asciiTheme="minorEastAsia" w:hAnsiTheme="minorEastAsia"/>
          <w:b w:val="0"/>
          <w:color w:val="auto"/>
          <w:sz w:val="24"/>
          <w:szCs w:val="24"/>
          <w:highlight w:val="none"/>
        </w:rPr>
        <w:t>3</w:t>
      </w:r>
      <w:r>
        <w:rPr>
          <w:rStyle w:val="18"/>
          <w:rFonts w:eastAsia="宋体" w:cs="Times New Roman" w:asciiTheme="minorEastAsia" w:hAnsiTheme="minorEastAsia"/>
          <w:b w:val="0"/>
          <w:color w:val="auto"/>
          <w:sz w:val="24"/>
          <w:szCs w:val="24"/>
          <w:highlight w:val="none"/>
        </w:rPr>
        <w:t>.</w:t>
      </w:r>
      <w:r>
        <w:rPr>
          <w:rStyle w:val="18"/>
          <w:rFonts w:hint="eastAsia" w:eastAsia="宋体" w:cs="Times New Roman" w:asciiTheme="minorEastAsia" w:hAnsiTheme="minorEastAsia"/>
          <w:b w:val="0"/>
          <w:color w:val="auto"/>
          <w:sz w:val="24"/>
          <w:szCs w:val="24"/>
          <w:highlight w:val="none"/>
        </w:rPr>
        <w:t>廉洁协议书</w:t>
      </w:r>
    </w:p>
    <w:p w14:paraId="3DA91A8B">
      <w:pPr>
        <w:widowControl/>
        <w:spacing w:line="500" w:lineRule="exact"/>
        <w:ind w:firstLine="720" w:firstLineChars="300"/>
        <w:jc w:val="left"/>
        <w:rPr>
          <w:rStyle w:val="18"/>
          <w:rFonts w:hint="default" w:asciiTheme="minorEastAsia" w:hAnsiTheme="minorEastAsia" w:eastAsiaTheme="minorEastAsia"/>
          <w:b w:val="0"/>
          <w:color w:val="auto"/>
          <w:sz w:val="24"/>
          <w:szCs w:val="24"/>
          <w:highlight w:val="none"/>
          <w:lang w:val="en-US" w:eastAsia="zh-CN"/>
        </w:rPr>
      </w:pPr>
      <w:r>
        <w:rPr>
          <w:rStyle w:val="18"/>
          <w:rFonts w:hint="eastAsia" w:asciiTheme="minorEastAsia" w:hAnsiTheme="minorEastAsia"/>
          <w:b w:val="0"/>
          <w:color w:val="auto"/>
          <w:sz w:val="24"/>
          <w:szCs w:val="24"/>
          <w:highlight w:val="none"/>
        </w:rPr>
        <w:t>4</w:t>
      </w:r>
      <w:r>
        <w:rPr>
          <w:rStyle w:val="18"/>
          <w:rFonts w:asciiTheme="minorEastAsia" w:hAnsiTheme="minorEastAsia"/>
          <w:b w:val="0"/>
          <w:color w:val="auto"/>
          <w:sz w:val="24"/>
          <w:szCs w:val="24"/>
          <w:highlight w:val="none"/>
        </w:rPr>
        <w:t>.</w:t>
      </w:r>
      <w:r>
        <w:rPr>
          <w:rStyle w:val="18"/>
          <w:rFonts w:hint="eastAsia" w:asciiTheme="minorEastAsia" w:hAnsiTheme="minorEastAsia"/>
          <w:b w:val="0"/>
          <w:color w:val="auto"/>
          <w:sz w:val="24"/>
          <w:szCs w:val="24"/>
          <w:highlight w:val="none"/>
          <w:lang w:val="en-US" w:eastAsia="zh-CN"/>
        </w:rPr>
        <w:t>安全生产协议</w:t>
      </w:r>
    </w:p>
    <w:p w14:paraId="20EEECD3">
      <w:pPr>
        <w:widowControl/>
        <w:spacing w:line="500" w:lineRule="exact"/>
        <w:ind w:firstLine="720" w:firstLineChars="300"/>
        <w:jc w:val="left"/>
        <w:rPr>
          <w:rStyle w:val="18"/>
          <w:rFonts w:hint="eastAsia" w:eastAsia="宋体" w:cs="Times New Roman" w:asciiTheme="minorEastAsia" w:hAnsiTheme="minorEastAsia"/>
          <w:b w:val="0"/>
          <w:color w:val="auto"/>
          <w:sz w:val="24"/>
          <w:szCs w:val="24"/>
          <w:highlight w:val="none"/>
        </w:rPr>
      </w:pPr>
      <w:r>
        <w:rPr>
          <w:rStyle w:val="18"/>
          <w:rFonts w:hint="eastAsia" w:eastAsia="宋体" w:cs="Times New Roman" w:asciiTheme="minorEastAsia" w:hAnsiTheme="minorEastAsia"/>
          <w:b w:val="0"/>
          <w:color w:val="auto"/>
          <w:sz w:val="24"/>
          <w:szCs w:val="24"/>
          <w:highlight w:val="none"/>
        </w:rPr>
        <w:t>5.</w:t>
      </w:r>
      <w:r>
        <w:rPr>
          <w:rStyle w:val="18"/>
          <w:rFonts w:eastAsia="宋体" w:cs="Times New Roman" w:asciiTheme="minorEastAsia" w:hAnsiTheme="minorEastAsia"/>
          <w:b w:val="0"/>
          <w:color w:val="auto"/>
          <w:sz w:val="24"/>
          <w:szCs w:val="24"/>
          <w:highlight w:val="none"/>
        </w:rPr>
        <w:t>拟投入本项目</w:t>
      </w:r>
      <w:r>
        <w:rPr>
          <w:rStyle w:val="18"/>
          <w:rFonts w:hint="eastAsia" w:eastAsia="宋体" w:cs="Times New Roman" w:asciiTheme="minorEastAsia" w:hAnsiTheme="minorEastAsia"/>
          <w:b w:val="0"/>
          <w:color w:val="auto"/>
          <w:sz w:val="24"/>
          <w:szCs w:val="24"/>
          <w:highlight w:val="none"/>
        </w:rPr>
        <w:t>人员一览表</w:t>
      </w:r>
    </w:p>
    <w:p w14:paraId="5258EF9C">
      <w:pPr>
        <w:widowControl/>
        <w:spacing w:line="500" w:lineRule="exact"/>
        <w:ind w:firstLine="720" w:firstLineChars="300"/>
        <w:jc w:val="left"/>
        <w:rPr>
          <w:rStyle w:val="18"/>
          <w:rFonts w:hint="eastAsia" w:eastAsia="宋体" w:cs="Times New Roman"/>
          <w:color w:val="auto"/>
          <w:highlight w:val="none"/>
        </w:rPr>
      </w:pPr>
      <w:r>
        <w:rPr>
          <w:rStyle w:val="18"/>
          <w:rFonts w:hint="eastAsia" w:eastAsia="宋体" w:cs="Times New Roman" w:asciiTheme="minorEastAsia" w:hAnsiTheme="minorEastAsia"/>
          <w:b w:val="0"/>
          <w:color w:val="auto"/>
          <w:sz w:val="24"/>
          <w:szCs w:val="24"/>
          <w:highlight w:val="none"/>
        </w:rPr>
        <w:t>6.</w:t>
      </w:r>
      <w:r>
        <w:rPr>
          <w:rStyle w:val="18"/>
          <w:rFonts w:eastAsia="宋体" w:cs="Times New Roman" w:asciiTheme="minorEastAsia" w:hAnsiTheme="minorEastAsia"/>
          <w:b w:val="0"/>
          <w:color w:val="auto"/>
          <w:sz w:val="24"/>
          <w:szCs w:val="24"/>
          <w:highlight w:val="none"/>
        </w:rPr>
        <w:t>投标报价表</w:t>
      </w:r>
    </w:p>
    <w:p w14:paraId="5519327D">
      <w:pPr>
        <w:widowControl/>
        <w:spacing w:line="500" w:lineRule="exact"/>
        <w:ind w:firstLine="720" w:firstLineChars="300"/>
        <w:jc w:val="left"/>
        <w:rPr>
          <w:rStyle w:val="18"/>
          <w:rFonts w:hint="eastAsia" w:eastAsia="宋体" w:cs="Times New Roman" w:asciiTheme="minorEastAsia" w:hAnsiTheme="minorEastAsia"/>
          <w:b w:val="0"/>
          <w:color w:val="auto"/>
          <w:sz w:val="24"/>
          <w:szCs w:val="24"/>
          <w:highlight w:val="none"/>
        </w:rPr>
      </w:pPr>
      <w:r>
        <w:rPr>
          <w:rStyle w:val="18"/>
          <w:rFonts w:hint="eastAsia" w:eastAsia="宋体" w:cs="Times New Roman" w:asciiTheme="minorEastAsia" w:hAnsiTheme="minorEastAsia"/>
          <w:b w:val="0"/>
          <w:color w:val="auto"/>
          <w:sz w:val="24"/>
          <w:szCs w:val="24"/>
          <w:highlight w:val="none"/>
        </w:rPr>
        <w:t>履约保函（格式参考）</w:t>
      </w:r>
    </w:p>
    <w:p w14:paraId="0D38F011">
      <w:pPr>
        <w:spacing w:line="360" w:lineRule="auto"/>
        <w:ind w:firstLine="480" w:firstLineChars="200"/>
        <w:rPr>
          <w:rFonts w:cs="Times New Roman" w:asciiTheme="minorEastAsia" w:hAnsiTheme="minorEastAsia"/>
          <w:bCs/>
          <w:color w:val="auto"/>
          <w:kern w:val="0"/>
          <w:sz w:val="24"/>
          <w:highlight w:val="none"/>
        </w:rPr>
      </w:pPr>
    </w:p>
    <w:p w14:paraId="2B4F22BF">
      <w:pPr>
        <w:widowControl/>
        <w:spacing w:line="240" w:lineRule="auto"/>
        <w:jc w:val="left"/>
        <w:rPr>
          <w:rStyle w:val="18"/>
          <w:rFonts w:hint="eastAsia" w:asciiTheme="minorEastAsia" w:hAnsiTheme="minorEastAsia"/>
          <w:b w:val="0"/>
          <w:color w:val="auto"/>
          <w:sz w:val="24"/>
          <w:szCs w:val="24"/>
          <w:highlight w:val="none"/>
        </w:rPr>
      </w:pPr>
      <w:r>
        <w:rPr>
          <w:rStyle w:val="18"/>
          <w:rFonts w:hint="eastAsia" w:asciiTheme="minorEastAsia" w:hAnsiTheme="minorEastAsia"/>
          <w:b w:val="0"/>
          <w:color w:val="auto"/>
          <w:sz w:val="24"/>
          <w:szCs w:val="24"/>
          <w:highlight w:val="none"/>
        </w:rPr>
        <w:br w:type="page"/>
      </w:r>
    </w:p>
    <w:p w14:paraId="32F23406">
      <w:pPr>
        <w:widowControl/>
        <w:spacing w:line="460" w:lineRule="exact"/>
        <w:jc w:val="left"/>
        <w:rPr>
          <w:rStyle w:val="18"/>
          <w:rFonts w:asciiTheme="minorEastAsia" w:hAnsiTheme="minorEastAsia"/>
          <w:b w:val="0"/>
          <w:color w:val="auto"/>
          <w:sz w:val="24"/>
          <w:szCs w:val="24"/>
          <w:highlight w:val="none"/>
        </w:rPr>
      </w:pPr>
      <w:r>
        <w:rPr>
          <w:rStyle w:val="18"/>
          <w:rFonts w:hint="eastAsia" w:asciiTheme="minorEastAsia" w:hAnsiTheme="minorEastAsia"/>
          <w:b w:val="0"/>
          <w:color w:val="auto"/>
          <w:sz w:val="24"/>
          <w:szCs w:val="24"/>
          <w:highlight w:val="none"/>
        </w:rPr>
        <w:t>（本页无正文，为合同签署页）</w:t>
      </w:r>
    </w:p>
    <w:p w14:paraId="10C28753">
      <w:pPr>
        <w:pStyle w:val="6"/>
        <w:rPr>
          <w:rStyle w:val="18"/>
          <w:rFonts w:asciiTheme="minorEastAsia" w:hAnsiTheme="minorEastAsia"/>
          <w:b w:val="0"/>
          <w:color w:val="auto"/>
          <w:sz w:val="24"/>
          <w:szCs w:val="24"/>
          <w:highlight w:val="none"/>
        </w:rPr>
      </w:pPr>
    </w:p>
    <w:p w14:paraId="214EA98B">
      <w:pPr>
        <w:widowControl/>
        <w:tabs>
          <w:tab w:val="left" w:pos="1890"/>
        </w:tabs>
        <w:spacing w:line="460" w:lineRule="exact"/>
        <w:jc w:val="left"/>
        <w:rPr>
          <w:rStyle w:val="18"/>
          <w:rFonts w:asciiTheme="minorEastAsia" w:hAnsiTheme="minorEastAsia" w:eastAsiaTheme="minorEastAsia"/>
          <w:b w:val="0"/>
          <w:color w:val="auto"/>
          <w:sz w:val="24"/>
          <w:szCs w:val="24"/>
          <w:highlight w:val="none"/>
        </w:rPr>
      </w:pPr>
    </w:p>
    <w:p w14:paraId="268B86B0">
      <w:pPr>
        <w:pStyle w:val="8"/>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甲方（盖章）：</w:t>
      </w:r>
      <w:r>
        <w:rPr>
          <w:rFonts w:hint="eastAsia" w:hAnsi="宋体" w:eastAsia="宋体" w:cs="宋体"/>
          <w:color w:val="auto"/>
          <w:kern w:val="0"/>
          <w:sz w:val="24"/>
          <w:szCs w:val="24"/>
          <w:highlight w:val="none"/>
        </w:rPr>
        <w:t>广州市天投城市更新有限公司</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58B20E25">
      <w:pPr>
        <w:pStyle w:val="8"/>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w:t>
      </w:r>
    </w:p>
    <w:p w14:paraId="27C3DD38">
      <w:pPr>
        <w:pStyle w:val="8"/>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 xml:space="preserve">委托代理人（签名）：     </w:t>
      </w:r>
    </w:p>
    <w:p w14:paraId="4FD4316E">
      <w:pPr>
        <w:pStyle w:val="2"/>
        <w:rPr>
          <w:rFonts w:hint="eastAsia"/>
          <w:color w:val="auto"/>
          <w:highlight w:val="none"/>
        </w:rPr>
      </w:pPr>
    </w:p>
    <w:p w14:paraId="011623F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乙方（盖章）：</w:t>
      </w:r>
      <w:r>
        <w:rPr>
          <w:rFonts w:hint="eastAsia" w:ascii="宋体" w:hAnsi="宋体" w:eastAsia="宋体" w:cs="宋体"/>
          <w:color w:val="auto"/>
          <w:kern w:val="0"/>
          <w:sz w:val="24"/>
          <w:szCs w:val="24"/>
          <w:highlight w:val="none"/>
          <w:u w:val="single"/>
          <w:lang w:val="en-US" w:eastAsia="zh-CN"/>
        </w:rPr>
        <w:t xml:space="preserve">              </w:t>
      </w:r>
    </w:p>
    <w:p w14:paraId="12531611">
      <w:pPr>
        <w:pStyle w:val="8"/>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p w14:paraId="395E4B0C">
      <w:pPr>
        <w:pStyle w:val="8"/>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委托代理人（签名）：</w:t>
      </w:r>
    </w:p>
    <w:p w14:paraId="6C30372D">
      <w:pPr>
        <w:pStyle w:val="6"/>
        <w:rPr>
          <w:rStyle w:val="18"/>
          <w:rFonts w:asciiTheme="minorEastAsia" w:hAnsiTheme="minorEastAsia"/>
          <w:b w:val="0"/>
          <w:color w:val="auto"/>
          <w:sz w:val="24"/>
          <w:szCs w:val="24"/>
          <w:highlight w:val="none"/>
        </w:rPr>
      </w:pPr>
    </w:p>
    <w:p w14:paraId="1645F754">
      <w:pPr>
        <w:widowControl/>
        <w:spacing w:line="240" w:lineRule="auto"/>
        <w:jc w:val="left"/>
        <w:rPr>
          <w:rStyle w:val="18"/>
          <w:rFonts w:hint="eastAsia" w:ascii="仿宋_GB2312" w:hAnsi="仿宋_GB2312" w:eastAsia="仿宋_GB2312" w:cs="仿宋_GB2312"/>
          <w:color w:val="auto"/>
          <w:sz w:val="28"/>
          <w:szCs w:val="28"/>
          <w:highlight w:val="none"/>
        </w:rPr>
      </w:pPr>
    </w:p>
    <w:p w14:paraId="5E2DB15E">
      <w:pPr>
        <w:widowControl/>
        <w:spacing w:line="240" w:lineRule="auto"/>
        <w:jc w:val="left"/>
        <w:rPr>
          <w:rStyle w:val="18"/>
          <w:rFonts w:hint="eastAsia" w:ascii="仿宋_GB2312" w:hAnsi="仿宋_GB2312" w:eastAsia="仿宋_GB2312" w:cs="仿宋_GB2312"/>
          <w:color w:val="auto"/>
          <w:sz w:val="28"/>
          <w:szCs w:val="28"/>
          <w:highlight w:val="none"/>
        </w:rPr>
      </w:pPr>
      <w:r>
        <w:rPr>
          <w:rStyle w:val="18"/>
          <w:rFonts w:hint="eastAsia" w:ascii="仿宋_GB2312" w:hAnsi="仿宋_GB2312" w:eastAsia="仿宋_GB2312" w:cs="仿宋_GB2312"/>
          <w:color w:val="auto"/>
          <w:sz w:val="28"/>
          <w:szCs w:val="28"/>
          <w:highlight w:val="none"/>
        </w:rPr>
        <w:br w:type="page"/>
      </w:r>
    </w:p>
    <w:p w14:paraId="1928655E">
      <w:pPr>
        <w:widowControl/>
        <w:spacing w:line="560" w:lineRule="exact"/>
        <w:jc w:val="left"/>
        <w:rPr>
          <w:rStyle w:val="18"/>
          <w:rFonts w:hint="default" w:ascii="仿宋_GB2312" w:hAnsi="仿宋_GB2312" w:eastAsia="仿宋_GB2312" w:cs="仿宋_GB2312"/>
          <w:color w:val="auto"/>
          <w:sz w:val="28"/>
          <w:szCs w:val="28"/>
          <w:highlight w:val="none"/>
          <w:lang w:val="en-US" w:eastAsia="zh-CN"/>
        </w:rPr>
      </w:pPr>
      <w:r>
        <w:rPr>
          <w:rStyle w:val="18"/>
          <w:rFonts w:hint="eastAsia" w:ascii="仿宋_GB2312" w:hAnsi="仿宋_GB2312" w:eastAsia="仿宋_GB2312" w:cs="仿宋_GB2312"/>
          <w:color w:val="auto"/>
          <w:sz w:val="28"/>
          <w:szCs w:val="28"/>
          <w:highlight w:val="none"/>
        </w:rPr>
        <w:t>附件1</w:t>
      </w:r>
      <w:r>
        <w:rPr>
          <w:rStyle w:val="18"/>
          <w:rFonts w:hint="eastAsia" w:ascii="仿宋_GB2312" w:hAnsi="仿宋_GB2312" w:eastAsia="仿宋_GB2312" w:cs="仿宋_GB2312"/>
          <w:color w:val="auto"/>
          <w:sz w:val="28"/>
          <w:szCs w:val="28"/>
          <w:highlight w:val="none"/>
          <w:lang w:eastAsia="zh-CN"/>
        </w:rPr>
        <w:t>：</w:t>
      </w:r>
      <w:r>
        <w:rPr>
          <w:rStyle w:val="18"/>
          <w:rFonts w:hint="eastAsia" w:ascii="仿宋_GB2312" w:hAnsi="仿宋_GB2312" w:eastAsia="仿宋_GB2312" w:cs="仿宋_GB2312"/>
          <w:color w:val="auto"/>
          <w:sz w:val="28"/>
          <w:szCs w:val="28"/>
          <w:highlight w:val="none"/>
          <w:lang w:val="en-US" w:eastAsia="zh-CN"/>
        </w:rPr>
        <w:t>中标通知书</w:t>
      </w:r>
    </w:p>
    <w:p w14:paraId="60118EDA">
      <w:pPr>
        <w:pStyle w:val="4"/>
        <w:rPr>
          <w:color w:val="auto"/>
          <w:highlight w:val="none"/>
        </w:rPr>
      </w:pPr>
    </w:p>
    <w:p w14:paraId="1CA21AD0">
      <w:pPr>
        <w:rPr>
          <w:color w:val="auto"/>
          <w:highlight w:val="none"/>
        </w:rPr>
      </w:pPr>
    </w:p>
    <w:p w14:paraId="11EB5A55">
      <w:pPr>
        <w:pStyle w:val="4"/>
        <w:rPr>
          <w:color w:val="auto"/>
          <w:highlight w:val="none"/>
        </w:rPr>
      </w:pPr>
    </w:p>
    <w:p w14:paraId="0CF52E46">
      <w:pPr>
        <w:rPr>
          <w:color w:val="auto"/>
          <w:highlight w:val="none"/>
        </w:rPr>
      </w:pPr>
    </w:p>
    <w:p w14:paraId="34FCDA2B">
      <w:pPr>
        <w:pStyle w:val="4"/>
        <w:rPr>
          <w:color w:val="auto"/>
          <w:highlight w:val="none"/>
        </w:rPr>
      </w:pPr>
    </w:p>
    <w:p w14:paraId="634A79F0">
      <w:pPr>
        <w:rPr>
          <w:color w:val="auto"/>
          <w:highlight w:val="none"/>
        </w:rPr>
      </w:pPr>
    </w:p>
    <w:p w14:paraId="3B34CF9E">
      <w:pPr>
        <w:pStyle w:val="4"/>
        <w:rPr>
          <w:color w:val="auto"/>
          <w:highlight w:val="none"/>
        </w:rPr>
      </w:pPr>
    </w:p>
    <w:p w14:paraId="740DBBA9">
      <w:pPr>
        <w:rPr>
          <w:color w:val="auto"/>
          <w:highlight w:val="none"/>
        </w:rPr>
      </w:pPr>
    </w:p>
    <w:p w14:paraId="4DE52560">
      <w:pPr>
        <w:pStyle w:val="4"/>
        <w:rPr>
          <w:color w:val="auto"/>
          <w:highlight w:val="none"/>
        </w:rPr>
      </w:pPr>
    </w:p>
    <w:p w14:paraId="6AD7ABC3">
      <w:pPr>
        <w:rPr>
          <w:color w:val="auto"/>
          <w:highlight w:val="none"/>
        </w:rPr>
      </w:pPr>
    </w:p>
    <w:p w14:paraId="6EE55A83">
      <w:pPr>
        <w:pStyle w:val="4"/>
        <w:rPr>
          <w:color w:val="auto"/>
          <w:highlight w:val="none"/>
        </w:rPr>
      </w:pPr>
    </w:p>
    <w:p w14:paraId="6FCE4B66">
      <w:pPr>
        <w:rPr>
          <w:color w:val="auto"/>
          <w:highlight w:val="none"/>
        </w:rPr>
      </w:pPr>
    </w:p>
    <w:p w14:paraId="582F72FA">
      <w:pPr>
        <w:pStyle w:val="4"/>
        <w:rPr>
          <w:color w:val="auto"/>
          <w:highlight w:val="none"/>
        </w:rPr>
      </w:pPr>
    </w:p>
    <w:p w14:paraId="2F5AC274">
      <w:pPr>
        <w:rPr>
          <w:color w:val="auto"/>
          <w:highlight w:val="none"/>
        </w:rPr>
      </w:pPr>
    </w:p>
    <w:p w14:paraId="47E2A99E">
      <w:pPr>
        <w:pStyle w:val="4"/>
        <w:rPr>
          <w:color w:val="auto"/>
          <w:highlight w:val="none"/>
        </w:rPr>
      </w:pPr>
    </w:p>
    <w:p w14:paraId="5D91E531">
      <w:pPr>
        <w:rPr>
          <w:color w:val="auto"/>
          <w:highlight w:val="none"/>
        </w:rPr>
      </w:pPr>
    </w:p>
    <w:p w14:paraId="41127DFD">
      <w:pPr>
        <w:pStyle w:val="4"/>
        <w:rPr>
          <w:color w:val="auto"/>
          <w:highlight w:val="none"/>
        </w:rPr>
      </w:pPr>
    </w:p>
    <w:p w14:paraId="7D78300B">
      <w:pPr>
        <w:rPr>
          <w:color w:val="auto"/>
          <w:highlight w:val="none"/>
        </w:rPr>
      </w:pPr>
    </w:p>
    <w:p w14:paraId="06D80DBC">
      <w:pPr>
        <w:pStyle w:val="4"/>
        <w:rPr>
          <w:color w:val="auto"/>
          <w:highlight w:val="none"/>
        </w:rPr>
      </w:pPr>
    </w:p>
    <w:p w14:paraId="2993A2F7">
      <w:pPr>
        <w:rPr>
          <w:color w:val="auto"/>
          <w:highlight w:val="none"/>
        </w:rPr>
      </w:pPr>
    </w:p>
    <w:p w14:paraId="1FDFA404">
      <w:pPr>
        <w:pStyle w:val="4"/>
        <w:rPr>
          <w:color w:val="auto"/>
          <w:highlight w:val="none"/>
        </w:rPr>
      </w:pPr>
    </w:p>
    <w:p w14:paraId="61A3EF77">
      <w:pPr>
        <w:rPr>
          <w:color w:val="auto"/>
          <w:highlight w:val="none"/>
        </w:rPr>
      </w:pPr>
    </w:p>
    <w:p w14:paraId="0D352AA9">
      <w:pPr>
        <w:widowControl/>
        <w:spacing w:line="240" w:lineRule="auto"/>
        <w:jc w:val="left"/>
        <w:rPr>
          <w:rStyle w:val="18"/>
          <w:rFonts w:hint="eastAsia"/>
          <w:color w:val="auto"/>
          <w:sz w:val="28"/>
          <w:szCs w:val="28"/>
          <w:highlight w:val="none"/>
        </w:rPr>
      </w:pPr>
      <w:r>
        <w:rPr>
          <w:rStyle w:val="18"/>
          <w:rFonts w:hint="eastAsia"/>
          <w:color w:val="auto"/>
          <w:sz w:val="28"/>
          <w:szCs w:val="28"/>
          <w:highlight w:val="none"/>
        </w:rPr>
        <w:br w:type="page"/>
      </w:r>
    </w:p>
    <w:p w14:paraId="6926830B">
      <w:pPr>
        <w:widowControl/>
        <w:spacing w:line="560" w:lineRule="exact"/>
        <w:jc w:val="left"/>
        <w:rPr>
          <w:rFonts w:ascii="宋体" w:hAnsi="宋体" w:cs="宋体"/>
          <w:b/>
          <w:bCs/>
          <w:color w:val="auto"/>
          <w:kern w:val="0"/>
          <w:sz w:val="28"/>
          <w:szCs w:val="28"/>
          <w:highlight w:val="none"/>
        </w:rPr>
      </w:pPr>
      <w:r>
        <w:rPr>
          <w:rStyle w:val="18"/>
          <w:rFonts w:hint="eastAsia"/>
          <w:color w:val="auto"/>
          <w:sz w:val="28"/>
          <w:szCs w:val="28"/>
          <w:highlight w:val="none"/>
        </w:rPr>
        <w:t>附件</w:t>
      </w:r>
      <w:r>
        <w:rPr>
          <w:rStyle w:val="18"/>
          <w:color w:val="auto"/>
          <w:sz w:val="28"/>
          <w:szCs w:val="28"/>
          <w:highlight w:val="none"/>
        </w:rPr>
        <w:t>2</w:t>
      </w:r>
    </w:p>
    <w:p w14:paraId="057E1C89">
      <w:pPr>
        <w:widowControl/>
        <w:jc w:val="center"/>
        <w:rPr>
          <w:rFonts w:ascii="宋体" w:hAnsi="宋体" w:eastAsia="宋体" w:cs="宋体"/>
          <w:b/>
          <w:bCs/>
          <w:color w:val="auto"/>
          <w:sz w:val="30"/>
          <w:szCs w:val="30"/>
          <w:highlight w:val="none"/>
        </w:rPr>
      </w:pPr>
      <w:r>
        <w:rPr>
          <w:rFonts w:hint="eastAsia" w:ascii="宋体" w:hAnsi="宋体" w:cs="宋体"/>
          <w:b/>
          <w:bCs/>
          <w:color w:val="auto"/>
          <w:sz w:val="30"/>
          <w:szCs w:val="30"/>
          <w:highlight w:val="none"/>
        </w:rPr>
        <w:t>保密协议</w:t>
      </w:r>
    </w:p>
    <w:p w14:paraId="52195796">
      <w:pPr>
        <w:widowControl/>
        <w:spacing w:before="312" w:beforeLines="100" w:line="360" w:lineRule="auto"/>
        <w:jc w:val="left"/>
        <w:rPr>
          <w:rFonts w:ascii="黑体" w:hAnsi="黑体" w:eastAsia="黑体" w:cs="宋体"/>
          <w:color w:val="auto"/>
          <w:kern w:val="0"/>
          <w:sz w:val="24"/>
          <w:highlight w:val="none"/>
        </w:rPr>
      </w:pPr>
      <w:r>
        <w:rPr>
          <w:rFonts w:hint="eastAsia" w:ascii="黑体" w:hAnsi="黑体" w:eastAsia="黑体" w:cs="宋体"/>
          <w:color w:val="auto"/>
          <w:kern w:val="0"/>
          <w:sz w:val="24"/>
          <w:highlight w:val="none"/>
        </w:rPr>
        <w:t>甲方：广州市天投城市更新有限公司</w:t>
      </w:r>
    </w:p>
    <w:p w14:paraId="3141E897">
      <w:pPr>
        <w:widowControl/>
        <w:spacing w:after="156" w:afterLines="50" w:line="360" w:lineRule="auto"/>
        <w:jc w:val="left"/>
        <w:rPr>
          <w:rFonts w:ascii="黑体" w:hAnsi="黑体" w:eastAsia="黑体" w:cs="宋体"/>
          <w:color w:val="auto"/>
          <w:kern w:val="0"/>
          <w:sz w:val="24"/>
          <w:highlight w:val="none"/>
        </w:rPr>
      </w:pPr>
      <w:r>
        <w:rPr>
          <w:rFonts w:hint="eastAsia" w:ascii="黑体" w:hAnsi="黑体" w:eastAsia="黑体" w:cs="宋体"/>
          <w:color w:val="auto"/>
          <w:kern w:val="0"/>
          <w:sz w:val="24"/>
          <w:highlight w:val="none"/>
        </w:rPr>
        <w:t xml:space="preserve">乙方：                              </w:t>
      </w:r>
    </w:p>
    <w:p w14:paraId="4884AD31">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乙方作为甲方的服务单位，</w:t>
      </w:r>
      <w:r>
        <w:rPr>
          <w:rFonts w:hint="eastAsia" w:cs="Times New Roman" w:asciiTheme="minorEastAsia" w:hAnsiTheme="minorEastAsia"/>
          <w:bCs/>
          <w:color w:val="auto"/>
          <w:kern w:val="0"/>
          <w:sz w:val="21"/>
          <w:szCs w:val="21"/>
          <w:highlight w:val="none"/>
          <w:lang w:val="en-US" w:eastAsia="zh-CN"/>
        </w:rPr>
        <w:t>乙方</w:t>
      </w:r>
      <w:r>
        <w:rPr>
          <w:rFonts w:hint="eastAsia" w:cs="Times New Roman" w:asciiTheme="minorEastAsia" w:hAnsiTheme="minorEastAsia"/>
          <w:bCs/>
          <w:color w:val="auto"/>
          <w:kern w:val="0"/>
          <w:sz w:val="21"/>
          <w:szCs w:val="21"/>
          <w:highlight w:val="none"/>
        </w:rPr>
        <w:t>同意遵守委托人下列保密条款：</w:t>
      </w:r>
    </w:p>
    <w:p w14:paraId="24F4FD74">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一、保密信息的范围</w:t>
      </w:r>
    </w:p>
    <w:p w14:paraId="65AC1E02">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17082EE3">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不论以何种形式或载于何种载体，无论在披露时是否以口头、图像或以书面方式表明其具有保密性，都视为甲方的保密信息。</w:t>
      </w:r>
    </w:p>
    <w:p w14:paraId="2FFB6D1E">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二、乙方的保密义务</w:t>
      </w:r>
    </w:p>
    <w:p w14:paraId="5B95E9A5">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乙方对已知悉的甲方保密信息，在此同意：</w:t>
      </w:r>
    </w:p>
    <w:p w14:paraId="21313F4D">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（一）未经甲方事前书面批准，不论服务期间或以后，乙方及其工作人员不得以任何方式向任何第三方泄漏甲方的保密信息。</w:t>
      </w:r>
    </w:p>
    <w:p w14:paraId="79563713">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（二）一旦服务工作终止，乙方及其工作人员将退还保存的属于甲方的所有机密资料，如方案、制度、报告、合同等。</w:t>
      </w:r>
    </w:p>
    <w:p w14:paraId="7B8BC664">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（三）严守机密，并采取所有保密措施保护保密信息。</w:t>
      </w:r>
    </w:p>
    <w:p w14:paraId="3C46D926">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三、保密期限</w:t>
      </w:r>
    </w:p>
    <w:p w14:paraId="05055329">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保密期限包括但不限于：从获知甲方保密信息时起，至保密信息已由甲方通过合法途径让普通公众知悉时止。</w:t>
      </w:r>
    </w:p>
    <w:p w14:paraId="385402E5">
      <w:pPr>
        <w:spacing w:line="240" w:lineRule="auto"/>
        <w:ind w:firstLine="420" w:firstLineChars="200"/>
        <w:rPr>
          <w:rFonts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四、违约责任</w:t>
      </w:r>
    </w:p>
    <w:p w14:paraId="09FFCB1C">
      <w:pPr>
        <w:spacing w:line="240" w:lineRule="auto"/>
        <w:ind w:firstLine="420" w:firstLineChars="200"/>
        <w:rPr>
          <w:rFonts w:hint="eastAsia" w:cs="Times New Roman" w:asciiTheme="minorEastAsia" w:hAnsiTheme="minorEastAsia"/>
          <w:bCs/>
          <w:color w:val="auto"/>
          <w:kern w:val="0"/>
          <w:sz w:val="21"/>
          <w:szCs w:val="21"/>
          <w:highlight w:val="none"/>
        </w:rPr>
      </w:pPr>
      <w:r>
        <w:rPr>
          <w:rFonts w:hint="eastAsia" w:cs="Times New Roman" w:asciiTheme="minorEastAsia" w:hAnsiTheme="minorEastAsia"/>
          <w:bCs/>
          <w:color w:val="auto"/>
          <w:kern w:val="0"/>
          <w:sz w:val="21"/>
          <w:szCs w:val="21"/>
          <w:highlight w:val="none"/>
        </w:rPr>
        <w:t>乙方违反本保密协议约定，要承担违约责任，甲方有权通过任何合理方式追究乙方的责任并终止服务合同。造成损失的，甲方有权要求乙方进行赔偿或追究乙方的法律责任。</w:t>
      </w:r>
    </w:p>
    <w:p w14:paraId="63FC9A5F">
      <w:pPr>
        <w:spacing w:line="240" w:lineRule="auto"/>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五、其他约定</w:t>
      </w:r>
    </w:p>
    <w:p w14:paraId="138197C1">
      <w:pPr>
        <w:spacing w:line="240" w:lineRule="auto"/>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本保密协议作为</w:t>
      </w:r>
      <w:r>
        <w:rPr>
          <w:rFonts w:hint="eastAsia" w:ascii="Times New Roman" w:hAnsi="Times New Roman" w:eastAsia="宋体" w:cs="Times New Roman"/>
          <w:color w:val="auto"/>
          <w:highlight w:val="none"/>
          <w:lang w:val="en-US" w:eastAsia="zh-CN"/>
        </w:rPr>
        <w:t>主</w:t>
      </w:r>
      <w:r>
        <w:rPr>
          <w:rFonts w:hint="eastAsia" w:ascii="Times New Roman" w:hAnsi="Times New Roman" w:eastAsia="宋体" w:cs="Times New Roman"/>
          <w:color w:val="auto"/>
          <w:highlight w:val="none"/>
        </w:rPr>
        <w:t>合同的附件，与该合同具有同等的法律效力，经合同双方法定代表人或委托代理人签名并加盖公章之日起生效。</w:t>
      </w:r>
    </w:p>
    <w:p w14:paraId="40D43E1A">
      <w:pPr>
        <w:spacing w:line="240" w:lineRule="auto"/>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本保密协议一式</w:t>
      </w:r>
      <w:r>
        <w:rPr>
          <w:rFonts w:hint="eastAsia" w:ascii="Times New Roman" w:hAnsi="Times New Roman" w:eastAsia="宋体" w:cs="Times New Roman"/>
          <w:color w:val="auto"/>
          <w:highlight w:val="none"/>
          <w:lang w:val="en-US" w:eastAsia="zh-CN"/>
        </w:rPr>
        <w:t>捌</w:t>
      </w:r>
      <w:r>
        <w:rPr>
          <w:rFonts w:hint="eastAsia" w:ascii="Times New Roman" w:hAnsi="Times New Roman" w:eastAsia="宋体" w:cs="Times New Roman"/>
          <w:color w:val="auto"/>
          <w:highlight w:val="none"/>
        </w:rPr>
        <w:t>份，甲方执</w:t>
      </w:r>
      <w:r>
        <w:rPr>
          <w:rFonts w:hint="eastAsia" w:ascii="Times New Roman" w:hAnsi="Times New Roman" w:eastAsia="宋体" w:cs="Times New Roman"/>
          <w:color w:val="auto"/>
          <w:highlight w:val="none"/>
          <w:lang w:val="en-US" w:eastAsia="zh-CN"/>
        </w:rPr>
        <w:t>陆</w:t>
      </w:r>
      <w:r>
        <w:rPr>
          <w:rFonts w:hint="eastAsia" w:ascii="Times New Roman" w:hAnsi="Times New Roman" w:eastAsia="宋体" w:cs="Times New Roman"/>
          <w:color w:val="auto"/>
          <w:highlight w:val="none"/>
        </w:rPr>
        <w:t>份，乙方执</w:t>
      </w:r>
      <w:r>
        <w:rPr>
          <w:rFonts w:hint="eastAsia" w:ascii="Times New Roman" w:hAnsi="Times New Roman" w:eastAsia="宋体" w:cs="Times New Roman"/>
          <w:color w:val="auto"/>
          <w:highlight w:val="none"/>
          <w:lang w:val="en-US" w:eastAsia="zh-CN"/>
        </w:rPr>
        <w:t>贰</w:t>
      </w:r>
      <w:r>
        <w:rPr>
          <w:rFonts w:hint="eastAsia" w:ascii="Times New Roman" w:hAnsi="Times New Roman" w:eastAsia="宋体" w:cs="Times New Roman"/>
          <w:color w:val="auto"/>
          <w:highlight w:val="none"/>
        </w:rPr>
        <w:t>份。均具有同等法律效力。</w:t>
      </w:r>
    </w:p>
    <w:p w14:paraId="4ED7E900">
      <w:pPr>
        <w:widowControl/>
        <w:spacing w:line="240" w:lineRule="auto"/>
        <w:ind w:firstLine="424" w:firstLineChars="202"/>
        <w:jc w:val="left"/>
        <w:rPr>
          <w:rFonts w:hint="eastAsia"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highlight w:val="none"/>
        </w:rPr>
        <w:t>（本页以下无正文）</w:t>
      </w:r>
    </w:p>
    <w:p w14:paraId="5134ACB5">
      <w:pPr>
        <w:widowControl/>
        <w:spacing w:line="360" w:lineRule="exact"/>
        <w:jc w:val="left"/>
        <w:rPr>
          <w:rFonts w:hint="eastAsia" w:ascii="宋体" w:hAnsi="宋体" w:cs="宋体"/>
          <w:color w:val="auto"/>
          <w:kern w:val="0"/>
          <w:sz w:val="21"/>
          <w:szCs w:val="21"/>
          <w:highlight w:val="none"/>
        </w:rPr>
      </w:pPr>
    </w:p>
    <w:p w14:paraId="295F3D1E">
      <w:pPr>
        <w:widowControl/>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甲方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盖章</w:t>
      </w:r>
      <w:r>
        <w:rPr>
          <w:rFonts w:hint="eastAsia" w:ascii="宋体" w:hAnsi="宋体" w:cs="宋体"/>
          <w:color w:val="auto"/>
          <w:kern w:val="0"/>
          <w:sz w:val="21"/>
          <w:szCs w:val="21"/>
          <w:highlight w:val="none"/>
          <w:lang w:eastAsia="zh-CN"/>
        </w:rPr>
        <w:t>）：广州市天投城市更新有限公司</w:t>
      </w:r>
      <w:r>
        <w:rPr>
          <w:rFonts w:hint="eastAsia" w:ascii="宋体" w:hAnsi="宋体" w:cs="宋体"/>
          <w:color w:val="auto"/>
          <w:kern w:val="0"/>
          <w:sz w:val="21"/>
          <w:szCs w:val="21"/>
          <w:highlight w:val="none"/>
        </w:rPr>
        <w:t xml:space="preserve">    乙方</w:t>
      </w:r>
      <w:r>
        <w:rPr>
          <w:rFonts w:hint="eastAsia" w:ascii="宋体" w:hAnsi="宋体" w:cs="宋体"/>
          <w:color w:val="auto"/>
          <w:kern w:val="0"/>
          <w:szCs w:val="21"/>
          <w:highlight w:val="none"/>
        </w:rPr>
        <w:t>（盖章）</w:t>
      </w:r>
      <w:r>
        <w:rPr>
          <w:rFonts w:hint="eastAsia" w:ascii="宋体" w:hAnsi="宋体" w:cs="宋体"/>
          <w:color w:val="auto"/>
          <w:kern w:val="0"/>
          <w:szCs w:val="21"/>
          <w:highlight w:val="none"/>
          <w:lang w:eastAsia="zh-CN"/>
        </w:rPr>
        <w:t>：</w:t>
      </w:r>
    </w:p>
    <w:p w14:paraId="02CF8237">
      <w:pPr>
        <w:widowControl/>
        <w:spacing w:line="264"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w:t>
      </w:r>
    </w:p>
    <w:p w14:paraId="45B8814A">
      <w:pPr>
        <w:widowControl/>
        <w:spacing w:line="264"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或委托代理人</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4904624E">
      <w:pPr>
        <w:pStyle w:val="4"/>
        <w:rPr>
          <w:color w:val="auto"/>
          <w:highlight w:val="none"/>
        </w:rPr>
      </w:pPr>
    </w:p>
    <w:p w14:paraId="3F76760E">
      <w:pPr>
        <w:widowControl/>
        <w:spacing w:line="240" w:lineRule="auto"/>
        <w:rPr>
          <w:rStyle w:val="18"/>
          <w:rFonts w:hint="eastAsia"/>
          <w:color w:val="auto"/>
          <w:sz w:val="28"/>
          <w:szCs w:val="28"/>
          <w:highlight w:val="none"/>
        </w:rPr>
      </w:pPr>
      <w:r>
        <w:rPr>
          <w:rStyle w:val="18"/>
          <w:rFonts w:hint="eastAsia"/>
          <w:color w:val="auto"/>
          <w:sz w:val="28"/>
          <w:szCs w:val="28"/>
          <w:highlight w:val="none"/>
        </w:rPr>
        <w:br w:type="page"/>
      </w:r>
    </w:p>
    <w:p w14:paraId="483C2DEA">
      <w:pPr>
        <w:widowControl/>
        <w:spacing w:line="560" w:lineRule="exact"/>
        <w:rPr>
          <w:rFonts w:ascii="宋体" w:hAnsi="宋体" w:cs="宋体"/>
          <w:b/>
          <w:bCs/>
          <w:color w:val="auto"/>
          <w:kern w:val="0"/>
          <w:sz w:val="28"/>
          <w:szCs w:val="28"/>
          <w:highlight w:val="none"/>
        </w:rPr>
      </w:pPr>
      <w:r>
        <w:rPr>
          <w:rStyle w:val="18"/>
          <w:rFonts w:hint="eastAsia"/>
          <w:color w:val="auto"/>
          <w:sz w:val="28"/>
          <w:szCs w:val="28"/>
          <w:highlight w:val="none"/>
        </w:rPr>
        <w:t>附件</w:t>
      </w:r>
      <w:r>
        <w:rPr>
          <w:rStyle w:val="18"/>
          <w:color w:val="auto"/>
          <w:sz w:val="28"/>
          <w:szCs w:val="28"/>
          <w:highlight w:val="none"/>
        </w:rPr>
        <w:t>3</w:t>
      </w:r>
    </w:p>
    <w:p w14:paraId="47BA5335">
      <w:pPr>
        <w:widowControl/>
        <w:spacing w:line="264" w:lineRule="auto"/>
        <w:jc w:val="center"/>
        <w:rPr>
          <w:rFonts w:ascii="宋体" w:hAnsi="宋体" w:cs="宋体"/>
          <w:color w:val="auto"/>
          <w:kern w:val="0"/>
          <w:sz w:val="24"/>
          <w:highlight w:val="none"/>
        </w:rPr>
      </w:pPr>
    </w:p>
    <w:p w14:paraId="5216F2FE">
      <w:pPr>
        <w:spacing w:line="560" w:lineRule="exact"/>
        <w:jc w:val="center"/>
        <w:rPr>
          <w:rFonts w:ascii="宋体" w:hAnsi="宋体" w:eastAsia="宋体" w:cs="宋体"/>
          <w:color w:val="auto"/>
          <w:sz w:val="32"/>
          <w:szCs w:val="32"/>
          <w:highlight w:val="none"/>
        </w:rPr>
      </w:pPr>
      <w:bookmarkStart w:id="7" w:name="OLE_LINK9"/>
      <w:bookmarkStart w:id="8" w:name="OLE_LINK5"/>
      <w:r>
        <w:rPr>
          <w:rFonts w:hint="eastAsia" w:ascii="宋体" w:hAnsi="宋体" w:eastAsia="宋体" w:cs="宋体"/>
          <w:color w:val="auto"/>
          <w:sz w:val="32"/>
          <w:szCs w:val="32"/>
          <w:highlight w:val="none"/>
        </w:rPr>
        <w:t>廉洁协议书</w:t>
      </w:r>
      <w:bookmarkEnd w:id="7"/>
    </w:p>
    <w:bookmarkEnd w:id="8"/>
    <w:p w14:paraId="5574D2D6">
      <w:pPr>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广州市天投城市更新有限公司</w:t>
      </w:r>
    </w:p>
    <w:p w14:paraId="7DC95067">
      <w:pPr>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14:paraId="2F1E7881">
      <w:pPr>
        <w:spacing w:line="560" w:lineRule="exact"/>
        <w:rPr>
          <w:rFonts w:ascii="仿宋_GB2312" w:hAnsi="仿宋_GB2312" w:eastAsia="仿宋_GB2312" w:cs="仿宋_GB2312"/>
          <w:color w:val="auto"/>
          <w:sz w:val="24"/>
          <w:highlight w:val="none"/>
        </w:rPr>
      </w:pPr>
    </w:p>
    <w:p w14:paraId="3F01B4B8">
      <w:pPr>
        <w:pStyle w:val="7"/>
        <w:spacing w:line="360" w:lineRule="auto"/>
        <w:ind w:left="0" w:leftChars="0"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3F7ED81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第一条 甲、乙双方的共同责任</w:t>
      </w:r>
    </w:p>
    <w:p w14:paraId="00352E72">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（一）严格遵守国家关于市场准入、招标投标、工程建设、物资采购、投资并购、国有资产处置等市场经济活动的法律法规制度以及廉洁建设规定。</w:t>
      </w:r>
    </w:p>
    <w:p w14:paraId="13438C7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（二）严格履行合同约定，自觉承担合同义务。</w:t>
      </w:r>
    </w:p>
    <w:p w14:paraId="21700B1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62666E77">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（四）建立健全自我制约制度，开展廉洁教育，公布举报电话，监督并认真查处违法违纪行为。</w:t>
      </w:r>
    </w:p>
    <w:p w14:paraId="0EA8B9F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（五）发现对方在业务活动中有违规、违纪、违法行为的，应及时提醒对方，情节严重的，应向有关纪检监察部门举报。</w:t>
      </w:r>
    </w:p>
    <w:p w14:paraId="79F37120">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第二条  甲方的责任：</w:t>
      </w:r>
    </w:p>
    <w:p w14:paraId="0B47D98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甲方相关工作人员，在与乙方业务活动的事前、事中、事后，应遵守以下规定：</w:t>
      </w:r>
    </w:p>
    <w:p w14:paraId="5E6FED86">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（一）贯彻落实广州城投城市更新集团有限公司有关党风廉政建设责任制及廉洁从业的规定；</w:t>
      </w:r>
    </w:p>
    <w:p w14:paraId="06F80859">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（二）按照公平、公正、公开和诚实守信的原则开展各项业务活动；</w:t>
      </w:r>
    </w:p>
    <w:p w14:paraId="7464E990">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（三）不准向乙方泄漏涉及有关业务活动的秘密，不准以谋取非正当利益为目的，擅自与乙方工作人员就业务问题达成利益默契；</w:t>
      </w:r>
    </w:p>
    <w:p w14:paraId="5E61321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（四）不准向乙方和相关单位索要或接受回扣、红包、礼金、购物卡、有价证券、贵重物品和好处费、感谢费等；</w:t>
      </w:r>
    </w:p>
    <w:p w14:paraId="51CBBB6D">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（五）不准在乙方和相关单位报销任何应由甲方或个人支付的费用；</w:t>
      </w:r>
    </w:p>
    <w:p w14:paraId="0FE2365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（六）不准要求、暗示或接受乙方和相关单位为个人装修住房、婚丧嫁娶、配偶子女的工作安排以及境内外旅游等提供方便；</w:t>
      </w:r>
    </w:p>
    <w:p w14:paraId="744B771A">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（七）不准向乙方介绍配偶、子女、亲属参与与甲方有关的经济活动，不得以任何理由向乙方和相关单位推荐第三方单位；</w:t>
      </w:r>
    </w:p>
    <w:p w14:paraId="0E2515F0">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（八）不准参与影响相关工作正常和公正开展的其他活动；</w:t>
      </w:r>
    </w:p>
    <w:p w14:paraId="3FC7447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（九）不准违反《中共中央纪委关于严格禁止利用职务上的便利谋取不正当利益的若干规定》的内容。</w:t>
      </w:r>
    </w:p>
    <w:p w14:paraId="5A9A96D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第三条 乙方的责任：</w:t>
      </w:r>
    </w:p>
    <w:p w14:paraId="7799C1D8">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在与甲方业务交往过程中，按照有关法律法规和程序开展工作，严格执行国家的有关方针、政策，并遵守以下规定：</w:t>
      </w:r>
    </w:p>
    <w:p w14:paraId="60AE727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（一）不准以任何理由为甲方和相关单位报销应由对方或个人支付的费用；</w:t>
      </w:r>
    </w:p>
    <w:p w14:paraId="1F69B71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（二）不准以任何理由向甲方负责人及其工作人员赠送回扣、红包、礼金、购物卡、有价证券、贵重物品和好处费、感谢费等；</w:t>
      </w:r>
    </w:p>
    <w:p w14:paraId="35A0C25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（三）不准以任何理由为甲方、与甲方相关的单位或个人提供高消费宴请及娱乐活动；</w:t>
      </w:r>
    </w:p>
    <w:p w14:paraId="734D7D04">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（四）不准以任何理由为甲方、与甲方相关的单位或个人购置或提供通讯工具、交通工具和高档办公用品；</w:t>
      </w:r>
    </w:p>
    <w:p w14:paraId="7EC1FFBB">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（五）不准接受或暗示为甲方、与甲方相关的单位或个人装修住房、婚丧嫁取、配偶子女的工作安排以及境内外旅游等提供方便；</w:t>
      </w:r>
    </w:p>
    <w:p w14:paraId="737C9DBE">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（六）不准以谋取非正当利益为目的，擅自与甲方工作人员就业务问题进行私下商谈或者达成利益默契；</w:t>
      </w:r>
    </w:p>
    <w:p w14:paraId="0EBC891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（七）发现甲方工作人员有违反本廉洁协议书规定的，应向甲方单位举报（反映）。广州城投城市更新集团有限公司受理部门：纪检室；举报邮箱：ctcgjtjjs@163.com。</w:t>
      </w:r>
    </w:p>
    <w:p w14:paraId="71E530EB">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第四条 相关责任</w:t>
      </w:r>
    </w:p>
    <w:p w14:paraId="00928C3B">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111A536E">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39FF6BF1">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（三）乙方违反本廉洁协议书第一、三条规定，发生行贿行为，经有关执纪执法部门或甲方纪检机构查证属实，甲方对乙方实施3年的市场禁入。</w:t>
      </w:r>
    </w:p>
    <w:p w14:paraId="16DCDEBF">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第五条 协议书生效及法律效力</w:t>
      </w:r>
    </w:p>
    <w:p w14:paraId="325A0D9E">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（一）本廉洁协议书作为合同的附件，与合同具有同等法律效力，经双方签字盖章后立即生效。</w:t>
      </w:r>
    </w:p>
    <w:p w14:paraId="43C94422">
      <w:pPr>
        <w:pStyle w:val="7"/>
        <w:spacing w:line="360" w:lineRule="auto"/>
        <w:ind w:left="0" w:leftChars="0"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（二）除非甲乙双方另行签订新的廉洁协议书，否则本廉洁协议书在甲方与乙方存在业务关系期间均对双方产生约束力。</w:t>
      </w:r>
    </w:p>
    <w:p w14:paraId="1B47AF1C">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第六条 协议书份数</w:t>
      </w:r>
    </w:p>
    <w:p w14:paraId="28158816">
      <w:pPr>
        <w:spacing w:line="360" w:lineRule="auto"/>
        <w:ind w:firstLine="480" w:firstLineChars="200"/>
        <w:rPr>
          <w:rFonts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 xml:space="preserve">本廉洁协议书一式捌份，甲方 </w:t>
      </w:r>
      <w:r>
        <w:rPr>
          <w:rFonts w:hint="eastAsia" w:cs="Times New Roman" w:asciiTheme="minorEastAsia" w:hAnsiTheme="minorEastAsia"/>
          <w:bCs/>
          <w:color w:val="auto"/>
          <w:kern w:val="0"/>
          <w:sz w:val="24"/>
          <w:highlight w:val="none"/>
          <w:u w:val="single"/>
        </w:rPr>
        <w:t>陆</w:t>
      </w:r>
      <w:r>
        <w:rPr>
          <w:rFonts w:hint="eastAsia" w:cs="Times New Roman" w:asciiTheme="minorEastAsia" w:hAnsiTheme="minorEastAsia"/>
          <w:bCs/>
          <w:color w:val="auto"/>
          <w:kern w:val="0"/>
          <w:sz w:val="24"/>
          <w:highlight w:val="none"/>
        </w:rPr>
        <w:t xml:space="preserve"> 份，乙方 </w:t>
      </w:r>
      <w:r>
        <w:rPr>
          <w:rFonts w:hint="eastAsia" w:cs="Times New Roman" w:asciiTheme="minorEastAsia" w:hAnsiTheme="minorEastAsia"/>
          <w:bCs/>
          <w:color w:val="auto"/>
          <w:kern w:val="0"/>
          <w:sz w:val="24"/>
          <w:highlight w:val="none"/>
          <w:u w:val="single"/>
        </w:rPr>
        <w:t>贰</w:t>
      </w:r>
      <w:r>
        <w:rPr>
          <w:rFonts w:hint="eastAsia" w:cs="Times New Roman" w:asciiTheme="minorEastAsia" w:hAnsiTheme="minorEastAsia"/>
          <w:bCs/>
          <w:color w:val="auto"/>
          <w:kern w:val="0"/>
          <w:sz w:val="24"/>
          <w:highlight w:val="none"/>
        </w:rPr>
        <w:t xml:space="preserve"> 份。</w:t>
      </w:r>
    </w:p>
    <w:p w14:paraId="5D126F55">
      <w:pPr>
        <w:pStyle w:val="9"/>
        <w:spacing w:line="360" w:lineRule="auto"/>
        <w:ind w:firstLine="480"/>
        <w:rPr>
          <w:rFonts w:cs="Times New Roman" w:asciiTheme="minorEastAsia" w:hAnsiTheme="minorEastAsia"/>
          <w:bCs/>
          <w:color w:val="auto"/>
          <w:sz w:val="24"/>
          <w:szCs w:val="24"/>
          <w:highlight w:val="none"/>
        </w:rPr>
      </w:pPr>
      <w:r>
        <w:rPr>
          <w:rFonts w:hint="eastAsia" w:cs="Times New Roman" w:asciiTheme="minorEastAsia" w:hAnsiTheme="minorEastAsia"/>
          <w:bCs/>
          <w:color w:val="auto"/>
          <w:sz w:val="24"/>
          <w:szCs w:val="24"/>
          <w:highlight w:val="none"/>
        </w:rPr>
        <w:t>甲乙双方确认在签订本廉洁协议书前已仔细阅读条款内容，甲乙双方对本廉洁协议书所产生的法律责任已清楚知悉并承诺遵守。</w:t>
      </w:r>
    </w:p>
    <w:p w14:paraId="27460AB0">
      <w:pPr>
        <w:pStyle w:val="9"/>
        <w:spacing w:line="360" w:lineRule="auto"/>
        <w:ind w:firstLine="480"/>
        <w:rPr>
          <w:rFonts w:hint="eastAsia" w:cs="Times New Roman" w:asciiTheme="minorEastAsia" w:hAnsiTheme="minorEastAsia"/>
          <w:bCs/>
          <w:color w:val="auto"/>
          <w:kern w:val="0"/>
          <w:sz w:val="24"/>
          <w:szCs w:val="24"/>
          <w:highlight w:val="none"/>
        </w:rPr>
      </w:pPr>
      <w:r>
        <w:rPr>
          <w:rFonts w:hint="eastAsia" w:cs="Times New Roman" w:asciiTheme="minorEastAsia" w:hAnsiTheme="minorEastAsia"/>
          <w:bCs/>
          <w:color w:val="auto"/>
          <w:kern w:val="0"/>
          <w:sz w:val="24"/>
          <w:szCs w:val="24"/>
          <w:highlight w:val="none"/>
        </w:rPr>
        <w:t>（本页以下无正文）</w:t>
      </w:r>
    </w:p>
    <w:p w14:paraId="25C14165">
      <w:pPr>
        <w:spacing w:line="560" w:lineRule="exact"/>
        <w:ind w:firstLine="480" w:firstLineChars="200"/>
        <w:rPr>
          <w:rFonts w:hint="eastAsia" w:ascii="宋体" w:hAnsi="宋体" w:eastAsia="宋体" w:cs="宋体"/>
          <w:color w:val="auto"/>
          <w:sz w:val="24"/>
          <w:highlight w:val="none"/>
        </w:rPr>
      </w:pPr>
    </w:p>
    <w:p w14:paraId="410BFF2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甲方（盖章）</w:t>
      </w:r>
      <w:r>
        <w:rPr>
          <w:rFonts w:hint="eastAsia" w:ascii="宋体" w:hAnsi="宋体" w:eastAsia="宋体" w:cs="宋体"/>
          <w:color w:val="auto"/>
          <w:sz w:val="24"/>
          <w:highlight w:val="none"/>
          <w:lang w:eastAsia="zh-CN"/>
        </w:rPr>
        <w:t>：广州市天投城市更新有限公司</w:t>
      </w:r>
    </w:p>
    <w:p w14:paraId="17D248E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3AD799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或委托代理人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签字</w:t>
      </w:r>
      <w:r>
        <w:rPr>
          <w:rFonts w:hint="eastAsia" w:ascii="宋体" w:hAnsi="宋体" w:eastAsia="宋体" w:cs="宋体"/>
          <w:color w:val="auto"/>
          <w:sz w:val="24"/>
          <w:highlight w:val="none"/>
          <w:lang w:eastAsia="zh-CN"/>
        </w:rPr>
        <w:t>）：</w:t>
      </w:r>
    </w:p>
    <w:p w14:paraId="7C0FA20D">
      <w:pPr>
        <w:pStyle w:val="2"/>
        <w:rPr>
          <w:rFonts w:hint="eastAsia" w:ascii="宋体" w:hAnsi="宋体" w:eastAsia="宋体" w:cs="宋体"/>
          <w:color w:val="auto"/>
          <w:highlight w:val="none"/>
        </w:rPr>
      </w:pPr>
    </w:p>
    <w:p w14:paraId="390728E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p w14:paraId="1898E36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0CCC0D1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签字</w:t>
      </w:r>
      <w:r>
        <w:rPr>
          <w:rFonts w:hint="eastAsia" w:ascii="宋体" w:hAnsi="宋体" w:eastAsia="宋体" w:cs="宋体"/>
          <w:color w:val="auto"/>
          <w:sz w:val="24"/>
          <w:highlight w:val="none"/>
          <w:lang w:eastAsia="zh-CN"/>
        </w:rPr>
        <w:t>）：</w:t>
      </w:r>
    </w:p>
    <w:p w14:paraId="3234EA69">
      <w:pPr>
        <w:widowControl/>
        <w:spacing w:line="240" w:lineRule="auto"/>
        <w:jc w:val="left"/>
        <w:rPr>
          <w:rStyle w:val="18"/>
          <w:rFonts w:hint="eastAsia"/>
          <w:color w:val="auto"/>
          <w:sz w:val="28"/>
          <w:szCs w:val="28"/>
          <w:highlight w:val="none"/>
        </w:rPr>
      </w:pPr>
      <w:r>
        <w:rPr>
          <w:rStyle w:val="18"/>
          <w:rFonts w:hint="eastAsia"/>
          <w:color w:val="auto"/>
          <w:sz w:val="28"/>
          <w:szCs w:val="28"/>
          <w:highlight w:val="none"/>
        </w:rPr>
        <w:br w:type="page"/>
      </w:r>
    </w:p>
    <w:p w14:paraId="06D8F831">
      <w:pPr>
        <w:widowControl/>
        <w:spacing w:line="560" w:lineRule="exact"/>
        <w:jc w:val="left"/>
        <w:rPr>
          <w:rFonts w:ascii="宋体" w:hAnsi="宋体" w:cs="宋体"/>
          <w:b/>
          <w:bCs/>
          <w:color w:val="auto"/>
          <w:kern w:val="0"/>
          <w:sz w:val="28"/>
          <w:szCs w:val="28"/>
          <w:highlight w:val="none"/>
        </w:rPr>
      </w:pPr>
      <w:r>
        <w:rPr>
          <w:rStyle w:val="18"/>
          <w:rFonts w:hint="eastAsia"/>
          <w:color w:val="auto"/>
          <w:sz w:val="28"/>
          <w:szCs w:val="28"/>
          <w:highlight w:val="none"/>
        </w:rPr>
        <w:t>附件</w:t>
      </w:r>
      <w:r>
        <w:rPr>
          <w:rStyle w:val="18"/>
          <w:color w:val="auto"/>
          <w:sz w:val="28"/>
          <w:szCs w:val="28"/>
          <w:highlight w:val="none"/>
        </w:rPr>
        <w:t>4</w:t>
      </w:r>
    </w:p>
    <w:p w14:paraId="5C995211">
      <w:pPr>
        <w:widowControl/>
        <w:jc w:val="center"/>
        <w:rPr>
          <w:rFonts w:hint="eastAsia" w:ascii="宋体" w:hAnsi="宋体" w:eastAsia="宋体" w:cs="宋体"/>
          <w:b/>
          <w:bCs/>
          <w:color w:val="auto"/>
          <w:spacing w:val="0"/>
          <w:sz w:val="30"/>
          <w:szCs w:val="30"/>
          <w:highlight w:val="none"/>
          <w:lang w:eastAsia="zh-CN"/>
        </w:rPr>
      </w:pPr>
      <w:r>
        <w:rPr>
          <w:rFonts w:hint="eastAsia" w:ascii="宋体" w:hAnsi="宋体" w:eastAsia="宋体" w:cs="宋体"/>
          <w:b/>
          <w:bCs/>
          <w:color w:val="auto"/>
          <w:spacing w:val="0"/>
          <w:sz w:val="30"/>
          <w:szCs w:val="30"/>
          <w:highlight w:val="none"/>
          <w:lang w:eastAsia="zh-CN"/>
        </w:rPr>
        <w:t xml:space="preserve">安全生产协议     </w:t>
      </w:r>
    </w:p>
    <w:p w14:paraId="13028259">
      <w:pPr>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pacing w:val="4"/>
          <w:kern w:val="0"/>
          <w:sz w:val="24"/>
          <w:highlight w:val="none"/>
          <w:u w:val="single"/>
        </w:rPr>
        <w:t>天河区柯木塱村城中村改造项目-首开区凤凰汇东侧地块复建安置房及配套工程地铁</w:t>
      </w:r>
      <w:r>
        <w:rPr>
          <w:rFonts w:hint="eastAsia" w:ascii="宋体" w:hAnsi="宋体" w:eastAsia="宋体" w:cs="宋体"/>
          <w:color w:val="auto"/>
          <w:spacing w:val="4"/>
          <w:kern w:val="0"/>
          <w:sz w:val="24"/>
          <w:highlight w:val="none"/>
          <w:u w:val="single"/>
          <w:lang w:val="en-US" w:eastAsia="zh-CN"/>
        </w:rPr>
        <w:t>安全监控</w:t>
      </w:r>
      <w:r>
        <w:rPr>
          <w:rFonts w:hint="eastAsia" w:ascii="宋体" w:hAnsi="宋体" w:eastAsia="宋体" w:cs="宋体"/>
          <w:color w:val="auto"/>
          <w:spacing w:val="4"/>
          <w:kern w:val="0"/>
          <w:sz w:val="24"/>
          <w:highlight w:val="none"/>
          <w:u w:val="single"/>
        </w:rPr>
        <w:t>服务</w:t>
      </w:r>
      <w:r>
        <w:rPr>
          <w:rFonts w:hint="eastAsia" w:ascii="宋体" w:hAnsi="宋体" w:eastAsia="宋体" w:cs="宋体"/>
          <w:color w:val="auto"/>
          <w:sz w:val="24"/>
          <w:szCs w:val="24"/>
          <w:highlight w:val="none"/>
        </w:rPr>
        <w:t>的实施过程中创造安全，高效的施工环境，切实搞好本项目的安全管理工作，</w:t>
      </w:r>
      <w:r>
        <w:rPr>
          <w:rFonts w:hint="eastAsia" w:ascii="宋体" w:hAnsi="宋体" w:eastAsia="宋体" w:cs="宋体"/>
          <w:color w:val="auto"/>
          <w:sz w:val="24"/>
          <w:szCs w:val="24"/>
          <w:highlight w:val="none"/>
          <w:u w:val="single"/>
        </w:rPr>
        <w:t>广州市天投城市更新有限公司</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pacing w:val="4"/>
          <w:kern w:val="0"/>
          <w:sz w:val="24"/>
          <w:szCs w:val="24"/>
          <w:highlight w:val="none"/>
          <w:lang w:val="en-US" w:eastAsia="zh-CN"/>
        </w:rPr>
        <w:t>服务</w:t>
      </w:r>
      <w:r>
        <w:rPr>
          <w:rFonts w:hint="eastAsia" w:ascii="宋体" w:hAnsi="宋体" w:eastAsia="宋体" w:cs="宋体"/>
          <w:color w:val="auto"/>
          <w:spacing w:val="4"/>
          <w:kern w:val="0"/>
          <w:sz w:val="24"/>
          <w:szCs w:val="24"/>
          <w:highlight w:val="none"/>
        </w:rPr>
        <w:t>单位</w:t>
      </w:r>
      <w:r>
        <w:rPr>
          <w:rFonts w:hint="eastAsia" w:ascii="宋体" w:hAnsi="宋体" w:eastAsia="宋体" w:cs="宋体"/>
          <w:color w:val="auto"/>
          <w:spacing w:val="4"/>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）特此签订安全生产协议：</w:t>
      </w:r>
      <w:bookmarkStart w:id="9" w:name="_Toc21714511"/>
      <w:bookmarkStart w:id="10" w:name="_Toc21714282"/>
    </w:p>
    <w:p w14:paraId="518AD748">
      <w:pPr>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bookmarkEnd w:id="9"/>
      <w:bookmarkEnd w:id="10"/>
      <w:r>
        <w:rPr>
          <w:rFonts w:hint="eastAsia" w:ascii="宋体" w:hAnsi="宋体" w:eastAsia="宋体" w:cs="宋体"/>
          <w:b/>
          <w:color w:val="auto"/>
          <w:sz w:val="24"/>
          <w:szCs w:val="24"/>
          <w:highlight w:val="none"/>
        </w:rPr>
        <w:t>甲方权责</w:t>
      </w:r>
    </w:p>
    <w:p w14:paraId="556CAA48">
      <w:pPr>
        <w:spacing w:line="360" w:lineRule="auto"/>
        <w:ind w:firstLine="480" w:firstLineChars="200"/>
        <w:rPr>
          <w:rFonts w:hint="eastAsia" w:ascii="宋体" w:hAnsi="宋体" w:eastAsia="宋体" w:cs="宋体"/>
          <w:color w:val="auto"/>
          <w:sz w:val="24"/>
          <w:szCs w:val="24"/>
          <w:highlight w:val="none"/>
        </w:rPr>
      </w:pPr>
      <w:bookmarkStart w:id="11" w:name="_Toc21714512"/>
      <w:bookmarkStart w:id="12" w:name="_Toc21714283"/>
      <w:r>
        <w:rPr>
          <w:rFonts w:hint="eastAsia" w:ascii="宋体" w:hAnsi="宋体" w:eastAsia="宋体" w:cs="宋体"/>
          <w:color w:val="auto"/>
          <w:sz w:val="24"/>
          <w:szCs w:val="24"/>
          <w:highlight w:val="none"/>
        </w:rPr>
        <w:t>1．认真贯彻国家、地方及上级有关安全生产的方针、政策，严格执行安全生产的法律法规、规定、标准。</w:t>
      </w:r>
    </w:p>
    <w:p w14:paraId="45C7B4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2．按照“管业务必须管安全”、“管生产必须管安全”的原则进行安全生产管理，做到生产与安全工作同时计划、布置、检查、总结和评比。</w:t>
      </w:r>
    </w:p>
    <w:p w14:paraId="68B7C6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3．甲方有权或委托本项目监理方对乙方在本合同业务内的安全生产情况进行检查、监督，对违反安全生产标准和规章制度的行为进行纠正，监督乙方及时处理发现的各种安全隐患。</w:t>
      </w:r>
    </w:p>
    <w:p w14:paraId="437254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4.对乙方自带的不符合安全要求的设备、工具、安全用具、安全防护用具，有权禁止乙方使用。</w:t>
      </w:r>
    </w:p>
    <w:p w14:paraId="58BBEBE1">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.法律法规规定的其他权责。</w:t>
      </w:r>
    </w:p>
    <w:p w14:paraId="00B256E9">
      <w:pPr>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End w:id="11"/>
      <w:bookmarkEnd w:id="12"/>
      <w:r>
        <w:rPr>
          <w:rFonts w:hint="eastAsia" w:ascii="宋体" w:hAnsi="宋体" w:eastAsia="宋体" w:cs="宋体"/>
          <w:b/>
          <w:color w:val="auto"/>
          <w:sz w:val="24"/>
          <w:szCs w:val="24"/>
          <w:highlight w:val="none"/>
        </w:rPr>
        <w:t>乙方权责</w:t>
      </w:r>
    </w:p>
    <w:p w14:paraId="5E2F29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1、认真贯彻国家、地方及上级有关安全生产的方针、政策，严格执行安全生产的法律法规、规定、标准。</w:t>
      </w:r>
    </w:p>
    <w:p w14:paraId="625AF2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2.有权拒绝甲方的违章指挥和强令冒险作业；发现直接危及人身安全的紧急情况时，有权停止作业或者在采取可能的应急措施后撤离作业场所。</w:t>
      </w:r>
    </w:p>
    <w:p w14:paraId="6E42D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3.乙方应按相关规定建立健全本服务项目的安全管理保障体系，建立安全管理组织架构，指定安全管理责任人，完善安全管理工作机制，确保本项目的安全。</w:t>
      </w:r>
    </w:p>
    <w:p w14:paraId="001D25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遵守甲方及建设项目现场安全生产管理制度和劳动纪律。服从甲方及建设项目监理方的安全生产管理。接受上级部门、甲方等安全检查人员依法实施的监督检查，对检查提出的问题和隐患，落实人员及时整改，不得以任何理由拒绝整改或设置障碍。</w:t>
      </w:r>
    </w:p>
    <w:p w14:paraId="51BC63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5.按规定加强作业人员管理，应当告知作业人员危险岗位的操作规程和违章操作的危害，做好劳动保护。</w:t>
      </w:r>
    </w:p>
    <w:p w14:paraId="21CAE0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6.因乙方安全管理不到位或安全责任不落实等原因造成生产安全事故的，由乙方承担全部责任，由此给甲方及相关方造成损失的，概由乙方负责，并赔偿损失</w:t>
      </w:r>
      <w:r>
        <w:rPr>
          <w:rFonts w:hint="eastAsia" w:ascii="宋体" w:hAnsi="宋体" w:eastAsia="宋体" w:cs="宋体"/>
          <w:color w:val="auto"/>
          <w:sz w:val="24"/>
          <w:szCs w:val="24"/>
          <w:highlight w:val="none"/>
          <w:lang w:eastAsia="zh-CN"/>
        </w:rPr>
        <w:t>。</w:t>
      </w:r>
    </w:p>
    <w:p w14:paraId="030D132C">
      <w:pPr>
        <w:spacing w:line="360" w:lineRule="auto"/>
        <w:ind w:firstLine="482" w:firstLineChars="200"/>
        <w:outlineLvl w:val="9"/>
        <w:rPr>
          <w:rFonts w:hint="eastAsia" w:ascii="宋体" w:hAnsi="宋体" w:eastAsia="宋体" w:cs="宋体"/>
          <w:b/>
          <w:color w:val="auto"/>
          <w:sz w:val="24"/>
          <w:szCs w:val="24"/>
          <w:highlight w:val="none"/>
        </w:rPr>
      </w:pPr>
      <w:bookmarkStart w:id="13" w:name="_Toc21714513"/>
      <w:bookmarkStart w:id="14" w:name="_Toc21714284"/>
      <w:r>
        <w:rPr>
          <w:rFonts w:hint="eastAsia" w:ascii="宋体" w:hAnsi="宋体" w:eastAsia="宋体" w:cs="宋体"/>
          <w:b/>
          <w:color w:val="auto"/>
          <w:sz w:val="24"/>
          <w:szCs w:val="24"/>
          <w:highlight w:val="none"/>
        </w:rPr>
        <w:t>三、违约责任</w:t>
      </w:r>
      <w:bookmarkEnd w:id="13"/>
      <w:bookmarkEnd w:id="14"/>
    </w:p>
    <w:p w14:paraId="2E8B6148">
      <w:pPr>
        <w:spacing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如甲方或乙方因管理不到位或法定安全责任不落实造成安全事故，将依法追究责任。</w:t>
      </w:r>
    </w:p>
    <w:p w14:paraId="6603EB34">
      <w:pPr>
        <w:spacing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本安全协议书作为合同的附件，与合同具有同等法律效力。由双方法定代表人或其</w:t>
      </w:r>
      <w:r>
        <w:rPr>
          <w:rFonts w:hint="eastAsia" w:ascii="宋体" w:hAnsi="宋体" w:eastAsia="宋体" w:cs="宋体"/>
          <w:color w:val="auto"/>
          <w:kern w:val="2"/>
          <w:sz w:val="24"/>
          <w:szCs w:val="24"/>
          <w:highlight w:val="none"/>
        </w:rPr>
        <w:t>委托代理人</w:t>
      </w:r>
      <w:r>
        <w:rPr>
          <w:rFonts w:hint="eastAsia" w:ascii="宋体" w:hAnsi="宋体" w:eastAsia="宋体" w:cs="宋体"/>
          <w:color w:val="auto"/>
          <w:sz w:val="24"/>
          <w:szCs w:val="24"/>
          <w:highlight w:val="none"/>
        </w:rPr>
        <w:t>签署并加盖公章后生效。</w:t>
      </w:r>
    </w:p>
    <w:p w14:paraId="08A57F6B">
      <w:pPr>
        <w:spacing w:line="360" w:lineRule="auto"/>
        <w:ind w:firstLine="482" w:firstLineChars="200"/>
        <w:outlineLvl w:val="9"/>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color w:val="auto"/>
          <w:sz w:val="24"/>
          <w:szCs w:val="24"/>
          <w:highlight w:val="none"/>
        </w:rPr>
        <w:t>四、</w:t>
      </w:r>
      <w:r>
        <w:rPr>
          <w:rFonts w:hint="eastAsia" w:ascii="宋体" w:hAnsi="宋体" w:eastAsia="宋体" w:cs="宋体"/>
          <w:b w:val="0"/>
          <w:bCs/>
          <w:color w:val="auto"/>
          <w:sz w:val="24"/>
          <w:szCs w:val="24"/>
          <w:highlight w:val="none"/>
        </w:rPr>
        <w:t>本安全协议书份数及甲乙所持有的份数均与主合同一致。</w:t>
      </w:r>
      <w:r>
        <w:rPr>
          <w:rFonts w:hint="eastAsia" w:ascii="Times New Roman" w:hAnsi="Times New Roman" w:eastAsia="宋体" w:cs="Times New Roman"/>
          <w:color w:val="auto"/>
          <w:spacing w:val="0"/>
          <w:sz w:val="24"/>
          <w:szCs w:val="24"/>
          <w:highlight w:val="none"/>
          <w:lang w:eastAsia="zh-CN"/>
        </w:rPr>
        <w:t xml:space="preserve"> </w:t>
      </w:r>
    </w:p>
    <w:p w14:paraId="20A7E97D">
      <w:pPr>
        <w:spacing w:line="400" w:lineRule="exact"/>
        <w:ind w:firstLine="484" w:firstLineChars="202"/>
        <w:rPr>
          <w:rFonts w:hint="eastAsia"/>
          <w:color w:val="auto"/>
          <w:sz w:val="24"/>
          <w:highlight w:val="none"/>
        </w:rPr>
      </w:pPr>
      <w:r>
        <w:rPr>
          <w:rFonts w:hint="eastAsia"/>
          <w:color w:val="auto"/>
          <w:sz w:val="24"/>
          <w:highlight w:val="none"/>
        </w:rPr>
        <w:t>（本页以下无正文）</w:t>
      </w:r>
    </w:p>
    <w:p w14:paraId="0DD8F348">
      <w:pPr>
        <w:spacing w:line="400" w:lineRule="exact"/>
        <w:ind w:firstLine="484" w:firstLineChars="202"/>
        <w:rPr>
          <w:rFonts w:hint="eastAsia"/>
          <w:color w:val="auto"/>
          <w:sz w:val="24"/>
          <w:highlight w:val="none"/>
          <w:lang w:eastAsia="zh-CN"/>
        </w:rPr>
      </w:pPr>
    </w:p>
    <w:p w14:paraId="6FAAFBB1">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盖章</w:t>
      </w:r>
      <w:r>
        <w:rPr>
          <w:rFonts w:hint="eastAsia" w:ascii="宋体" w:hAnsi="宋体" w:eastAsia="宋体" w:cs="宋体"/>
          <w:color w:val="auto"/>
          <w:kern w:val="2"/>
          <w:sz w:val="24"/>
          <w:szCs w:val="24"/>
          <w:highlight w:val="none"/>
          <w:lang w:eastAsia="zh-CN"/>
        </w:rPr>
        <w:t>）：广州市天投城市更新有限公司</w:t>
      </w:r>
      <w:r>
        <w:rPr>
          <w:rFonts w:hint="eastAsia" w:ascii="宋体" w:hAnsi="宋体" w:eastAsia="宋体" w:cs="宋体"/>
          <w:color w:val="auto"/>
          <w:kern w:val="2"/>
          <w:sz w:val="24"/>
          <w:szCs w:val="24"/>
          <w:highlight w:val="none"/>
        </w:rPr>
        <w:t xml:space="preserve">    </w:t>
      </w:r>
    </w:p>
    <w:p w14:paraId="54EF662E">
      <w:pPr>
        <w:widowControl/>
        <w:spacing w:line="360" w:lineRule="auto"/>
        <w:ind w:left="2" w:leftChars="1"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val="en-US" w:eastAsia="zh-CN"/>
        </w:rPr>
        <w:t xml:space="preserve">          </w:t>
      </w:r>
    </w:p>
    <w:p w14:paraId="6ED0B692">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或委托代理人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签字</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34DA6C99">
      <w:pPr>
        <w:widowControl/>
        <w:spacing w:line="360" w:lineRule="auto"/>
        <w:ind w:left="2" w:leftChars="1" w:firstLine="480" w:firstLineChars="200"/>
        <w:jc w:val="left"/>
        <w:rPr>
          <w:rFonts w:hint="eastAsia" w:ascii="宋体" w:hAnsi="宋体" w:eastAsia="宋体" w:cs="宋体"/>
          <w:color w:val="auto"/>
          <w:sz w:val="24"/>
          <w:szCs w:val="24"/>
          <w:highlight w:val="none"/>
        </w:rPr>
      </w:pPr>
    </w:p>
    <w:p w14:paraId="52C87C77">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乙方（盖章）</w:t>
      </w:r>
      <w:r>
        <w:rPr>
          <w:rFonts w:hint="eastAsia" w:ascii="宋体" w:hAnsi="宋体" w:eastAsia="宋体" w:cs="宋体"/>
          <w:color w:val="auto"/>
          <w:kern w:val="2"/>
          <w:sz w:val="24"/>
          <w:szCs w:val="24"/>
          <w:highlight w:val="none"/>
          <w:lang w:eastAsia="zh-CN"/>
        </w:rPr>
        <w:t>：</w:t>
      </w:r>
    </w:p>
    <w:p w14:paraId="010BE1E7">
      <w:pPr>
        <w:widowControl/>
        <w:spacing w:line="360" w:lineRule="auto"/>
        <w:ind w:left="2" w:leftChars="1"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p>
    <w:p w14:paraId="0DB1B3EE">
      <w:pPr>
        <w:widowControl/>
        <w:spacing w:line="360" w:lineRule="auto"/>
        <w:ind w:left="2" w:leftChars="1"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4"/>
          <w:highlight w:val="none"/>
        </w:rPr>
        <w:t>或委托代理人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签字</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br w:type="page"/>
      </w:r>
    </w:p>
    <w:p w14:paraId="56039A63">
      <w:pPr>
        <w:widowControl/>
        <w:spacing w:line="560" w:lineRule="exact"/>
        <w:jc w:val="left"/>
        <w:rPr>
          <w:rFonts w:hint="default" w:ascii="宋体" w:hAnsi="宋体" w:cs="宋体" w:eastAsiaTheme="minorEastAsia"/>
          <w:b/>
          <w:bCs/>
          <w:color w:val="auto"/>
          <w:kern w:val="0"/>
          <w:sz w:val="28"/>
          <w:szCs w:val="28"/>
          <w:highlight w:val="none"/>
          <w:lang w:val="en-US" w:eastAsia="zh-CN"/>
        </w:rPr>
      </w:pPr>
      <w:r>
        <w:rPr>
          <w:rStyle w:val="18"/>
          <w:rFonts w:hint="eastAsia"/>
          <w:color w:val="auto"/>
          <w:sz w:val="28"/>
          <w:szCs w:val="28"/>
          <w:highlight w:val="none"/>
        </w:rPr>
        <w:t>附件</w:t>
      </w:r>
      <w:r>
        <w:rPr>
          <w:rStyle w:val="18"/>
          <w:color w:val="auto"/>
          <w:sz w:val="28"/>
          <w:szCs w:val="28"/>
          <w:highlight w:val="none"/>
        </w:rPr>
        <w:t>5</w:t>
      </w:r>
      <w:r>
        <w:rPr>
          <w:rStyle w:val="18"/>
          <w:rFonts w:hint="eastAsia"/>
          <w:color w:val="auto"/>
          <w:sz w:val="28"/>
          <w:szCs w:val="28"/>
          <w:highlight w:val="none"/>
          <w:lang w:eastAsia="zh-CN"/>
        </w:rPr>
        <w:t>：</w:t>
      </w:r>
      <w:r>
        <w:rPr>
          <w:rStyle w:val="18"/>
          <w:rFonts w:hint="eastAsia"/>
          <w:color w:val="auto"/>
          <w:sz w:val="28"/>
          <w:szCs w:val="28"/>
          <w:highlight w:val="none"/>
          <w:lang w:val="en-US" w:eastAsia="zh-CN"/>
        </w:rPr>
        <w:t>拟投入本项目人员一览表</w:t>
      </w:r>
    </w:p>
    <w:p w14:paraId="26AED989">
      <w:pPr>
        <w:widowControl/>
        <w:spacing w:line="264" w:lineRule="auto"/>
        <w:jc w:val="left"/>
        <w:rPr>
          <w:rFonts w:ascii="宋体" w:hAnsi="宋体" w:cs="宋体"/>
          <w:color w:val="auto"/>
          <w:kern w:val="0"/>
          <w:sz w:val="24"/>
          <w:highlight w:val="none"/>
        </w:rPr>
      </w:pPr>
    </w:p>
    <w:p w14:paraId="1CDC35C9">
      <w:pPr>
        <w:pStyle w:val="4"/>
        <w:rPr>
          <w:color w:val="auto"/>
          <w:highlight w:val="none"/>
        </w:rPr>
      </w:pPr>
    </w:p>
    <w:p w14:paraId="470831C4">
      <w:pPr>
        <w:rPr>
          <w:color w:val="auto"/>
          <w:highlight w:val="none"/>
        </w:rPr>
      </w:pPr>
    </w:p>
    <w:p w14:paraId="206A0C90">
      <w:pPr>
        <w:rPr>
          <w:color w:val="auto"/>
          <w:highlight w:val="none"/>
        </w:rPr>
      </w:pPr>
    </w:p>
    <w:p w14:paraId="1F70BA6B">
      <w:pPr>
        <w:rPr>
          <w:color w:val="auto"/>
          <w:highlight w:val="none"/>
        </w:rPr>
      </w:pPr>
    </w:p>
    <w:p w14:paraId="42AC6700">
      <w:pPr>
        <w:rPr>
          <w:color w:val="auto"/>
          <w:highlight w:val="none"/>
        </w:rPr>
      </w:pPr>
    </w:p>
    <w:p w14:paraId="6AF83374">
      <w:pPr>
        <w:rPr>
          <w:color w:val="auto"/>
          <w:highlight w:val="none"/>
        </w:rPr>
      </w:pPr>
    </w:p>
    <w:p w14:paraId="4EDADBC8">
      <w:pPr>
        <w:rPr>
          <w:color w:val="auto"/>
          <w:highlight w:val="none"/>
        </w:rPr>
      </w:pPr>
    </w:p>
    <w:p w14:paraId="3D2E5E33">
      <w:pPr>
        <w:rPr>
          <w:color w:val="auto"/>
          <w:highlight w:val="none"/>
        </w:rPr>
      </w:pPr>
    </w:p>
    <w:p w14:paraId="36E09C80">
      <w:pPr>
        <w:rPr>
          <w:color w:val="auto"/>
          <w:highlight w:val="none"/>
        </w:rPr>
      </w:pPr>
    </w:p>
    <w:p w14:paraId="61E0A966">
      <w:pPr>
        <w:rPr>
          <w:color w:val="auto"/>
          <w:highlight w:val="none"/>
        </w:rPr>
      </w:pPr>
    </w:p>
    <w:p w14:paraId="02CF922A">
      <w:pPr>
        <w:rPr>
          <w:color w:val="auto"/>
          <w:highlight w:val="none"/>
        </w:rPr>
      </w:pPr>
    </w:p>
    <w:p w14:paraId="7026FC25">
      <w:pPr>
        <w:rPr>
          <w:color w:val="auto"/>
          <w:highlight w:val="none"/>
        </w:rPr>
      </w:pPr>
    </w:p>
    <w:p w14:paraId="22A3FBB3">
      <w:pPr>
        <w:rPr>
          <w:color w:val="auto"/>
          <w:highlight w:val="none"/>
        </w:rPr>
      </w:pPr>
    </w:p>
    <w:p w14:paraId="07FBCDEF">
      <w:pPr>
        <w:rPr>
          <w:color w:val="auto"/>
          <w:highlight w:val="none"/>
        </w:rPr>
      </w:pPr>
    </w:p>
    <w:p w14:paraId="6217FD60">
      <w:pPr>
        <w:rPr>
          <w:color w:val="auto"/>
          <w:highlight w:val="none"/>
        </w:rPr>
      </w:pPr>
    </w:p>
    <w:p w14:paraId="4D602484">
      <w:pPr>
        <w:rPr>
          <w:color w:val="auto"/>
          <w:highlight w:val="none"/>
        </w:rPr>
      </w:pPr>
    </w:p>
    <w:p w14:paraId="7C65B138">
      <w:pPr>
        <w:rPr>
          <w:color w:val="auto"/>
          <w:highlight w:val="none"/>
        </w:rPr>
      </w:pPr>
    </w:p>
    <w:p w14:paraId="644CA64E">
      <w:pPr>
        <w:rPr>
          <w:color w:val="auto"/>
          <w:highlight w:val="none"/>
        </w:rPr>
      </w:pPr>
    </w:p>
    <w:p w14:paraId="6B94ED01">
      <w:pPr>
        <w:rPr>
          <w:color w:val="auto"/>
          <w:highlight w:val="none"/>
        </w:rPr>
      </w:pPr>
    </w:p>
    <w:p w14:paraId="4B552411">
      <w:pPr>
        <w:rPr>
          <w:color w:val="auto"/>
          <w:highlight w:val="none"/>
        </w:rPr>
      </w:pPr>
    </w:p>
    <w:p w14:paraId="1C557ED0">
      <w:pPr>
        <w:rPr>
          <w:color w:val="auto"/>
          <w:highlight w:val="none"/>
        </w:rPr>
      </w:pPr>
    </w:p>
    <w:p w14:paraId="16EEB4DA">
      <w:pPr>
        <w:rPr>
          <w:color w:val="auto"/>
          <w:highlight w:val="none"/>
        </w:rPr>
      </w:pPr>
    </w:p>
    <w:p w14:paraId="5E9CC704">
      <w:pPr>
        <w:rPr>
          <w:color w:val="auto"/>
          <w:highlight w:val="none"/>
        </w:rPr>
      </w:pPr>
    </w:p>
    <w:p w14:paraId="3F8BCAA8">
      <w:pPr>
        <w:rPr>
          <w:color w:val="auto"/>
          <w:highlight w:val="none"/>
        </w:rPr>
      </w:pPr>
    </w:p>
    <w:p w14:paraId="70EA5F94">
      <w:pPr>
        <w:rPr>
          <w:color w:val="auto"/>
          <w:highlight w:val="none"/>
        </w:rPr>
      </w:pPr>
    </w:p>
    <w:p w14:paraId="6A6194B8">
      <w:pPr>
        <w:rPr>
          <w:color w:val="auto"/>
          <w:highlight w:val="none"/>
        </w:rPr>
      </w:pPr>
    </w:p>
    <w:p w14:paraId="3C933CAC">
      <w:pPr>
        <w:rPr>
          <w:color w:val="auto"/>
          <w:highlight w:val="none"/>
        </w:rPr>
      </w:pPr>
    </w:p>
    <w:p w14:paraId="778B668D">
      <w:pPr>
        <w:rPr>
          <w:color w:val="auto"/>
          <w:highlight w:val="none"/>
        </w:rPr>
      </w:pPr>
    </w:p>
    <w:p w14:paraId="39EA27C8">
      <w:pPr>
        <w:rPr>
          <w:color w:val="auto"/>
          <w:highlight w:val="none"/>
        </w:rPr>
      </w:pPr>
    </w:p>
    <w:p w14:paraId="67050789">
      <w:pPr>
        <w:pStyle w:val="4"/>
        <w:rPr>
          <w:color w:val="auto"/>
          <w:highlight w:val="none"/>
        </w:rPr>
      </w:pPr>
    </w:p>
    <w:p w14:paraId="46FEF17B">
      <w:pPr>
        <w:rPr>
          <w:color w:val="auto"/>
          <w:highlight w:val="none"/>
        </w:rPr>
      </w:pPr>
    </w:p>
    <w:p w14:paraId="3D82C5F0">
      <w:pPr>
        <w:pStyle w:val="4"/>
        <w:rPr>
          <w:color w:val="auto"/>
          <w:highlight w:val="none"/>
        </w:rPr>
      </w:pPr>
    </w:p>
    <w:p w14:paraId="156A7B72">
      <w:pPr>
        <w:widowControl/>
        <w:spacing w:line="240" w:lineRule="auto"/>
        <w:jc w:val="left"/>
        <w:rPr>
          <w:rStyle w:val="18"/>
          <w:rFonts w:hint="eastAsia"/>
          <w:color w:val="auto"/>
          <w:sz w:val="28"/>
          <w:szCs w:val="28"/>
          <w:highlight w:val="none"/>
        </w:rPr>
      </w:pPr>
      <w:r>
        <w:rPr>
          <w:rStyle w:val="18"/>
          <w:rFonts w:hint="eastAsia"/>
          <w:color w:val="auto"/>
          <w:sz w:val="28"/>
          <w:szCs w:val="28"/>
          <w:highlight w:val="none"/>
        </w:rPr>
        <w:br w:type="page"/>
      </w:r>
    </w:p>
    <w:p w14:paraId="5CF06240">
      <w:pPr>
        <w:widowControl/>
        <w:spacing w:line="560" w:lineRule="exact"/>
        <w:jc w:val="left"/>
        <w:rPr>
          <w:rStyle w:val="18"/>
          <w:rFonts w:hint="default" w:eastAsiaTheme="minorEastAsia"/>
          <w:color w:val="auto"/>
          <w:sz w:val="28"/>
          <w:szCs w:val="28"/>
          <w:highlight w:val="none"/>
          <w:lang w:val="en-US" w:eastAsia="zh-CN"/>
        </w:rPr>
      </w:pPr>
      <w:r>
        <w:rPr>
          <w:rStyle w:val="18"/>
          <w:rFonts w:hint="eastAsia"/>
          <w:color w:val="auto"/>
          <w:sz w:val="28"/>
          <w:szCs w:val="28"/>
          <w:highlight w:val="none"/>
        </w:rPr>
        <w:t>附件</w:t>
      </w:r>
      <w:r>
        <w:rPr>
          <w:rStyle w:val="18"/>
          <w:color w:val="auto"/>
          <w:sz w:val="28"/>
          <w:szCs w:val="28"/>
          <w:highlight w:val="none"/>
        </w:rPr>
        <w:t>6</w:t>
      </w:r>
      <w:r>
        <w:rPr>
          <w:rStyle w:val="18"/>
          <w:rFonts w:hint="eastAsia"/>
          <w:color w:val="auto"/>
          <w:sz w:val="28"/>
          <w:szCs w:val="28"/>
          <w:highlight w:val="none"/>
          <w:lang w:eastAsia="zh-CN"/>
        </w:rPr>
        <w:t>：</w:t>
      </w:r>
      <w:r>
        <w:rPr>
          <w:rStyle w:val="18"/>
          <w:rFonts w:hint="eastAsia"/>
          <w:color w:val="auto"/>
          <w:sz w:val="28"/>
          <w:szCs w:val="28"/>
          <w:highlight w:val="none"/>
          <w:lang w:val="en-US" w:eastAsia="zh-CN"/>
        </w:rPr>
        <w:t>投标报价表</w:t>
      </w:r>
    </w:p>
    <w:p w14:paraId="57FCED0A">
      <w:pPr>
        <w:pStyle w:val="4"/>
        <w:rPr>
          <w:color w:val="auto"/>
          <w:highlight w:val="none"/>
        </w:rPr>
      </w:pPr>
    </w:p>
    <w:p w14:paraId="1D1E8E59">
      <w:pPr>
        <w:rPr>
          <w:color w:val="auto"/>
          <w:highlight w:val="none"/>
        </w:rPr>
      </w:pPr>
    </w:p>
    <w:p w14:paraId="3847AD85">
      <w:pPr>
        <w:pStyle w:val="4"/>
        <w:rPr>
          <w:color w:val="auto"/>
          <w:highlight w:val="none"/>
        </w:rPr>
      </w:pPr>
    </w:p>
    <w:p w14:paraId="30D8A235">
      <w:pPr>
        <w:rPr>
          <w:color w:val="auto"/>
          <w:highlight w:val="none"/>
        </w:rPr>
      </w:pPr>
    </w:p>
    <w:p w14:paraId="01D38B66">
      <w:pPr>
        <w:pStyle w:val="4"/>
        <w:rPr>
          <w:color w:val="auto"/>
          <w:highlight w:val="none"/>
        </w:rPr>
      </w:pPr>
    </w:p>
    <w:p w14:paraId="2B9767C0">
      <w:pPr>
        <w:rPr>
          <w:color w:val="auto"/>
          <w:highlight w:val="none"/>
        </w:rPr>
      </w:pPr>
    </w:p>
    <w:p w14:paraId="6A740438">
      <w:pPr>
        <w:pStyle w:val="4"/>
        <w:rPr>
          <w:color w:val="auto"/>
          <w:highlight w:val="none"/>
        </w:rPr>
      </w:pPr>
    </w:p>
    <w:p w14:paraId="7FD2D685">
      <w:pPr>
        <w:rPr>
          <w:color w:val="auto"/>
          <w:highlight w:val="none"/>
        </w:rPr>
      </w:pPr>
    </w:p>
    <w:p w14:paraId="567CA806">
      <w:pPr>
        <w:pStyle w:val="4"/>
        <w:rPr>
          <w:color w:val="auto"/>
          <w:highlight w:val="none"/>
        </w:rPr>
      </w:pPr>
    </w:p>
    <w:p w14:paraId="0746C3D4">
      <w:pPr>
        <w:rPr>
          <w:color w:val="auto"/>
          <w:highlight w:val="none"/>
        </w:rPr>
      </w:pPr>
    </w:p>
    <w:p w14:paraId="40D340BB">
      <w:pPr>
        <w:pStyle w:val="4"/>
        <w:rPr>
          <w:color w:val="auto"/>
          <w:highlight w:val="none"/>
        </w:rPr>
      </w:pPr>
    </w:p>
    <w:p w14:paraId="03671FED">
      <w:pPr>
        <w:rPr>
          <w:color w:val="auto"/>
          <w:highlight w:val="none"/>
        </w:rPr>
      </w:pPr>
    </w:p>
    <w:p w14:paraId="26408058">
      <w:pPr>
        <w:pStyle w:val="4"/>
        <w:rPr>
          <w:color w:val="auto"/>
          <w:highlight w:val="none"/>
        </w:rPr>
      </w:pPr>
    </w:p>
    <w:p w14:paraId="1388811E">
      <w:pPr>
        <w:rPr>
          <w:color w:val="auto"/>
          <w:highlight w:val="none"/>
        </w:rPr>
      </w:pPr>
    </w:p>
    <w:p w14:paraId="76CE2ADF">
      <w:pPr>
        <w:pStyle w:val="4"/>
        <w:rPr>
          <w:color w:val="auto"/>
          <w:highlight w:val="none"/>
        </w:rPr>
      </w:pPr>
    </w:p>
    <w:p w14:paraId="5E4F9815">
      <w:pPr>
        <w:rPr>
          <w:color w:val="auto"/>
          <w:highlight w:val="none"/>
        </w:rPr>
      </w:pPr>
    </w:p>
    <w:p w14:paraId="2E8A4D33">
      <w:pPr>
        <w:pStyle w:val="4"/>
        <w:rPr>
          <w:color w:val="auto"/>
          <w:highlight w:val="none"/>
        </w:rPr>
      </w:pPr>
    </w:p>
    <w:p w14:paraId="0AC062C4">
      <w:pPr>
        <w:rPr>
          <w:color w:val="auto"/>
          <w:highlight w:val="none"/>
        </w:rPr>
      </w:pPr>
    </w:p>
    <w:p w14:paraId="1199A663">
      <w:pPr>
        <w:pStyle w:val="4"/>
        <w:rPr>
          <w:color w:val="auto"/>
          <w:highlight w:val="none"/>
        </w:rPr>
      </w:pPr>
    </w:p>
    <w:p w14:paraId="4E90EBBF">
      <w:pPr>
        <w:rPr>
          <w:color w:val="auto"/>
          <w:highlight w:val="none"/>
        </w:rPr>
      </w:pPr>
    </w:p>
    <w:p w14:paraId="28B0D8AD">
      <w:pPr>
        <w:pStyle w:val="4"/>
        <w:rPr>
          <w:color w:val="auto"/>
          <w:highlight w:val="none"/>
        </w:rPr>
      </w:pPr>
    </w:p>
    <w:p w14:paraId="1CA37A28">
      <w:pPr>
        <w:jc w:val="left"/>
        <w:rPr>
          <w:rFonts w:hint="eastAsia" w:ascii="仿宋_GB2312" w:hAnsi="仿宋_GB2312" w:eastAsia="仿宋_GB2312" w:cs="仿宋_GB2312"/>
          <w:color w:val="auto"/>
          <w:spacing w:val="7"/>
          <w:sz w:val="30"/>
          <w:szCs w:val="30"/>
          <w:highlight w:val="none"/>
        </w:rPr>
      </w:pPr>
      <w:r>
        <w:rPr>
          <w:rFonts w:hint="eastAsia" w:ascii="仿宋_GB2312" w:hAnsi="仿宋_GB2312" w:eastAsia="仿宋_GB2312" w:cs="仿宋_GB2312"/>
          <w:color w:val="auto"/>
          <w:spacing w:val="7"/>
          <w:sz w:val="30"/>
          <w:szCs w:val="30"/>
          <w:highlight w:val="none"/>
        </w:rPr>
        <w:br w:type="page"/>
      </w:r>
    </w:p>
    <w:p w14:paraId="237539F8">
      <w:pPr>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7"/>
          <w:sz w:val="30"/>
          <w:szCs w:val="30"/>
          <w:highlight w:val="none"/>
        </w:rPr>
        <w:t>履约保函(格式参考)</w:t>
      </w:r>
    </w:p>
    <w:p w14:paraId="633D9FC1">
      <w:pPr>
        <w:spacing w:line="360" w:lineRule="auto"/>
        <w:ind w:firstLine="739" w:firstLineChars="200"/>
        <w:jc w:val="center"/>
        <w:rPr>
          <w:rFonts w:ascii="宋体" w:hAnsi="宋体" w:eastAsia="宋体" w:cs="宋体"/>
          <w:b/>
          <w:bCs/>
          <w:snapToGrid w:val="0"/>
          <w:color w:val="auto"/>
          <w:spacing w:val="24"/>
          <w:kern w:val="0"/>
          <w:sz w:val="32"/>
          <w:szCs w:val="32"/>
          <w:highlight w:val="none"/>
        </w:rPr>
      </w:pPr>
    </w:p>
    <w:p w14:paraId="4E26A5F3">
      <w:pPr>
        <w:spacing w:line="360" w:lineRule="auto"/>
        <w:ind w:firstLine="739" w:firstLineChars="200"/>
        <w:jc w:val="center"/>
        <w:rPr>
          <w:rFonts w:ascii="宋体" w:hAnsi="宋体" w:eastAsia="宋体" w:cs="宋体"/>
          <w:b/>
          <w:bCs/>
          <w:snapToGrid w:val="0"/>
          <w:color w:val="auto"/>
          <w:spacing w:val="24"/>
          <w:kern w:val="0"/>
          <w:sz w:val="32"/>
          <w:szCs w:val="32"/>
          <w:highlight w:val="none"/>
        </w:rPr>
      </w:pPr>
      <w:r>
        <w:rPr>
          <w:rFonts w:hint="eastAsia" w:ascii="宋体" w:hAnsi="宋体" w:eastAsia="宋体" w:cs="宋体"/>
          <w:b/>
          <w:bCs/>
          <w:snapToGrid w:val="0"/>
          <w:color w:val="auto"/>
          <w:spacing w:val="24"/>
          <w:kern w:val="0"/>
          <w:sz w:val="32"/>
          <w:szCs w:val="32"/>
          <w:highlight w:val="none"/>
        </w:rPr>
        <w:t>履约保函(格式参考)</w:t>
      </w:r>
    </w:p>
    <w:p w14:paraId="3BB93844">
      <w:pPr>
        <w:spacing w:line="360" w:lineRule="auto"/>
        <w:rPr>
          <w:rFonts w:ascii="仿宋_GB2312" w:hAnsi="仿宋_GB2312" w:eastAsia="仿宋_GB2312" w:cs="仿宋_GB2312"/>
          <w:snapToGrid w:val="0"/>
          <w:color w:val="auto"/>
          <w:spacing w:val="24"/>
          <w:kern w:val="0"/>
          <w:sz w:val="24"/>
          <w:highlight w:val="none"/>
        </w:rPr>
      </w:pPr>
    </w:p>
    <w:p w14:paraId="4BB04C23">
      <w:pPr>
        <w:spacing w:line="360" w:lineRule="auto"/>
        <w:ind w:firstLine="696" w:firstLineChars="2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致：广州市天投城市更新有限公司</w:t>
      </w:r>
    </w:p>
    <w:p w14:paraId="4565C6D6">
      <w:pPr>
        <w:spacing w:line="360" w:lineRule="auto"/>
        <w:ind w:firstLine="696" w:firstLineChars="200"/>
        <w:rPr>
          <w:rFonts w:ascii="仿宋_GB2312" w:hAnsi="仿宋_GB2312" w:eastAsia="仿宋_GB2312" w:cs="仿宋_GB2312"/>
          <w:color w:val="auto"/>
          <w:sz w:val="30"/>
          <w:szCs w:val="30"/>
          <w:highlight w:val="none"/>
          <w:u w:val="single"/>
        </w:rPr>
      </w:pPr>
      <w:r>
        <w:rPr>
          <w:rFonts w:hint="eastAsia" w:ascii="仿宋_GB2312" w:hAnsi="仿宋_GB2312" w:eastAsia="仿宋_GB2312" w:cs="仿宋_GB2312"/>
          <w:snapToGrid w:val="0"/>
          <w:color w:val="auto"/>
          <w:spacing w:val="24"/>
          <w:kern w:val="0"/>
          <w:sz w:val="30"/>
          <w:szCs w:val="30"/>
          <w:highlight w:val="none"/>
        </w:rPr>
        <w:t>鉴于</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snapToGrid w:val="0"/>
          <w:color w:val="auto"/>
          <w:spacing w:val="24"/>
          <w:kern w:val="0"/>
          <w:sz w:val="30"/>
          <w:szCs w:val="30"/>
          <w:highlight w:val="none"/>
        </w:rPr>
        <w:t>(以下简称“承包人”)已与</w:t>
      </w:r>
      <w:r>
        <w:rPr>
          <w:rFonts w:hint="eastAsia" w:ascii="仿宋_GB2312" w:hAnsi="仿宋_GB2312" w:eastAsia="仿宋_GB2312" w:cs="仿宋_GB2312"/>
          <w:color w:val="auto"/>
          <w:sz w:val="30"/>
          <w:szCs w:val="30"/>
          <w:highlight w:val="none"/>
          <w:u w:val="single"/>
        </w:rPr>
        <w:t>广州市天投城市更新有限公司</w:t>
      </w:r>
      <w:r>
        <w:rPr>
          <w:rFonts w:hint="eastAsia" w:ascii="仿宋_GB2312" w:hAnsi="仿宋_GB2312" w:eastAsia="仿宋_GB2312" w:cs="仿宋_GB2312"/>
          <w:color w:val="auto"/>
          <w:sz w:val="30"/>
          <w:szCs w:val="30"/>
          <w:highlight w:val="none"/>
        </w:rPr>
        <w:t>（下称“你方”）签订了《</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 xml:space="preserve">合同》（合同编号：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Cs/>
          <w:color w:val="auto"/>
          <w:sz w:val="30"/>
          <w:szCs w:val="30"/>
          <w:highlight w:val="none"/>
        </w:rPr>
        <w:t>上述合同</w:t>
      </w:r>
      <w:r>
        <w:rPr>
          <w:rFonts w:hint="eastAsia" w:ascii="仿宋_GB2312" w:hAnsi="仿宋_GB2312" w:eastAsia="仿宋_GB2312" w:cs="仿宋_GB2312"/>
          <w:color w:val="auto"/>
          <w:sz w:val="30"/>
          <w:szCs w:val="30"/>
          <w:highlight w:val="none"/>
        </w:rPr>
        <w:t>简称“该合同”。你方在该合同中要求承包人人向你方提交下述金额的银行开具履约保函，作为承包方履行该合同的保证。本银行同意为承包方出具本保函。</w:t>
      </w:r>
    </w:p>
    <w:p w14:paraId="6C89DDB3">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根据本保函，本银行向你方承担保证责任最高限额为人民币</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元（大写:</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）[合同总价的10%]，并无条件接受本保函的约束。</w:t>
      </w:r>
    </w:p>
    <w:p w14:paraId="000B13B1">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方在履行该合同过程中，因违反合同义务而应承担违约金的支付责任时，在你方以书面形式提出要求得到上述金额内的任何付款时，本银行于3日内给予支付，不挑剔，不争辩，也不要求你方出具证明或说明背景、理由。</w:t>
      </w:r>
    </w:p>
    <w:p w14:paraId="43FF23EC">
      <w:pPr>
        <w:spacing w:line="360" w:lineRule="auto"/>
        <w:ind w:firstLine="584" w:firstLineChars="200"/>
        <w:rPr>
          <w:rFonts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本银行放弃你方应先向</w:t>
      </w:r>
      <w:r>
        <w:rPr>
          <w:rFonts w:hint="eastAsia" w:ascii="仿宋_GB2312" w:hAnsi="仿宋_GB2312" w:eastAsia="仿宋_GB2312" w:cs="仿宋_GB2312"/>
          <w:color w:val="auto"/>
          <w:sz w:val="30"/>
          <w:szCs w:val="30"/>
          <w:highlight w:val="none"/>
        </w:rPr>
        <w:t>承包方</w:t>
      </w:r>
      <w:r>
        <w:rPr>
          <w:rFonts w:hint="eastAsia" w:ascii="仿宋_GB2312" w:hAnsi="仿宋_GB2312" w:eastAsia="仿宋_GB2312" w:cs="仿宋_GB2312"/>
          <w:color w:val="auto"/>
          <w:spacing w:val="-4"/>
          <w:sz w:val="30"/>
          <w:szCs w:val="30"/>
          <w:highlight w:val="none"/>
        </w:rPr>
        <w:t>要求赔偿上述金额然后再向本银行提出要求的权力。</w:t>
      </w:r>
    </w:p>
    <w:p w14:paraId="2E11FE89">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本银行还同意在你方、承包方之间的合同条款发生变更、补充或修改后，本银行承担本保函的责任也不改变，有关上述变更、补充或修改也无须通知本银行。</w:t>
      </w:r>
    </w:p>
    <w:p w14:paraId="035EA12B">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本保函效力自该合同签订之日起，至承包方全部完成该合同约定事项之日止，但本保函有效期最长不超过_______年______月______日。</w:t>
      </w:r>
    </w:p>
    <w:p w14:paraId="6059A877">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本保函有效期届满或提前终止，本保函自动失效，我行在本保函项下的义务与责任自动全部消灭，此后提出的任何索赔均为无效索赔，我行无义务作出任何赔付。</w:t>
      </w:r>
    </w:p>
    <w:p w14:paraId="6AA0BFC2">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所有索赔通知和本保函正本须在本保函有效期内我行营业时间内到达本保函规定的地址，即每个银行营业日 16点前，否则视为在下一个银行营业日到达。</w:t>
      </w:r>
    </w:p>
    <w:p w14:paraId="33E97036">
      <w:pPr>
        <w:spacing w:line="360" w:lineRule="auto"/>
        <w:ind w:firstLine="600" w:firstLineChars="200"/>
        <w:rPr>
          <w:rFonts w:ascii="宋体" w:hAnsi="宋体"/>
          <w:color w:val="auto"/>
          <w:sz w:val="24"/>
          <w:highlight w:val="none"/>
          <w:u w:val="single"/>
        </w:rPr>
      </w:pPr>
      <w:r>
        <w:rPr>
          <w:rFonts w:hint="eastAsia" w:ascii="仿宋_GB2312" w:hAnsi="仿宋_GB2312" w:eastAsia="仿宋_GB2312" w:cs="仿宋_GB2312"/>
          <w:color w:val="auto"/>
          <w:sz w:val="30"/>
          <w:szCs w:val="30"/>
          <w:highlight w:val="none"/>
        </w:rPr>
        <w:t>本保函自我行负责人或授权代理人签字并加盖公章之日起生效。</w:t>
      </w:r>
    </w:p>
    <w:p w14:paraId="1D828F53">
      <w:pPr>
        <w:spacing w:line="360" w:lineRule="auto"/>
        <w:ind w:firstLine="696" w:firstLineChars="200"/>
        <w:rPr>
          <w:rFonts w:ascii="仿宋_GB2312" w:hAnsi="仿宋_GB2312" w:eastAsia="仿宋_GB2312" w:cs="仿宋_GB2312"/>
          <w:snapToGrid w:val="0"/>
          <w:color w:val="auto"/>
          <w:spacing w:val="24"/>
          <w:kern w:val="0"/>
          <w:sz w:val="30"/>
          <w:szCs w:val="30"/>
          <w:highlight w:val="none"/>
          <w:u w:val="single"/>
        </w:rPr>
      </w:pPr>
    </w:p>
    <w:p w14:paraId="34C13679">
      <w:pPr>
        <w:spacing w:line="360" w:lineRule="auto"/>
        <w:ind w:firstLine="3132" w:firstLineChars="9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银行名称：  ( 盖 章 )</w:t>
      </w:r>
    </w:p>
    <w:p w14:paraId="73539932">
      <w:pPr>
        <w:spacing w:line="360" w:lineRule="auto"/>
        <w:jc w:val="center"/>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 xml:space="preserve">  银行负责人或委托代理人：</w:t>
      </w:r>
    </w:p>
    <w:p w14:paraId="6928F9D0">
      <w:pPr>
        <w:pStyle w:val="4"/>
        <w:rPr>
          <w:rFonts w:eastAsia="宋体"/>
          <w:color w:val="auto"/>
          <w:highlight w:val="none"/>
        </w:rPr>
      </w:pPr>
      <w:r>
        <w:rPr>
          <w:rFonts w:hint="eastAsia" w:ascii="仿宋_GB2312" w:hAnsi="仿宋_GB2312" w:eastAsia="仿宋_GB2312" w:cs="仿宋_GB2312"/>
          <w:b w:val="0"/>
          <w:snapToGrid w:val="0"/>
          <w:color w:val="auto"/>
          <w:spacing w:val="24"/>
          <w:kern w:val="0"/>
          <w:sz w:val="30"/>
          <w:szCs w:val="30"/>
          <w:highlight w:val="none"/>
          <w:lang w:eastAsia="en-US"/>
        </w:rPr>
        <w:t>日  期：     年    月    日</w:t>
      </w:r>
    </w:p>
    <w:p w14:paraId="64049B12">
      <w:pPr>
        <w:pStyle w:val="4"/>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805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8F2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28F26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81"/>
    <w:rsid w:val="000068DB"/>
    <w:rsid w:val="00233F78"/>
    <w:rsid w:val="00320CC9"/>
    <w:rsid w:val="003F3A41"/>
    <w:rsid w:val="00457E1F"/>
    <w:rsid w:val="004B078A"/>
    <w:rsid w:val="00503F67"/>
    <w:rsid w:val="008B7481"/>
    <w:rsid w:val="009E502B"/>
    <w:rsid w:val="00AA7D6A"/>
    <w:rsid w:val="00BA5A4F"/>
    <w:rsid w:val="00BD2BEA"/>
    <w:rsid w:val="00C51877"/>
    <w:rsid w:val="00C81565"/>
    <w:rsid w:val="03190CB5"/>
    <w:rsid w:val="0C5135D9"/>
    <w:rsid w:val="0E377455"/>
    <w:rsid w:val="0EDA7BA3"/>
    <w:rsid w:val="0FF504EB"/>
    <w:rsid w:val="121562A3"/>
    <w:rsid w:val="12257CFE"/>
    <w:rsid w:val="12B872AF"/>
    <w:rsid w:val="178F1235"/>
    <w:rsid w:val="18A71C03"/>
    <w:rsid w:val="19890CEE"/>
    <w:rsid w:val="1BBD091F"/>
    <w:rsid w:val="1C363B56"/>
    <w:rsid w:val="1D10020B"/>
    <w:rsid w:val="1FF837A5"/>
    <w:rsid w:val="21F870A7"/>
    <w:rsid w:val="22082383"/>
    <w:rsid w:val="228B4DB5"/>
    <w:rsid w:val="22B21E5D"/>
    <w:rsid w:val="262A2574"/>
    <w:rsid w:val="26B11406"/>
    <w:rsid w:val="279A03A2"/>
    <w:rsid w:val="28FC2693"/>
    <w:rsid w:val="29936952"/>
    <w:rsid w:val="2AE857E3"/>
    <w:rsid w:val="2D686211"/>
    <w:rsid w:val="30EA4D7D"/>
    <w:rsid w:val="315D675B"/>
    <w:rsid w:val="328D6C7F"/>
    <w:rsid w:val="350E769E"/>
    <w:rsid w:val="37610834"/>
    <w:rsid w:val="39577AD8"/>
    <w:rsid w:val="3D455182"/>
    <w:rsid w:val="40E35B04"/>
    <w:rsid w:val="41E22E8C"/>
    <w:rsid w:val="42677E14"/>
    <w:rsid w:val="44043C29"/>
    <w:rsid w:val="45352832"/>
    <w:rsid w:val="45EE0FC6"/>
    <w:rsid w:val="46EE6D34"/>
    <w:rsid w:val="47457D7D"/>
    <w:rsid w:val="4A422A9C"/>
    <w:rsid w:val="4CF5142D"/>
    <w:rsid w:val="4E3B0579"/>
    <w:rsid w:val="4E8445A3"/>
    <w:rsid w:val="50CE6F9F"/>
    <w:rsid w:val="50E17BCD"/>
    <w:rsid w:val="52876782"/>
    <w:rsid w:val="52B70FA6"/>
    <w:rsid w:val="5305612D"/>
    <w:rsid w:val="546D7D56"/>
    <w:rsid w:val="555E4A83"/>
    <w:rsid w:val="575909A5"/>
    <w:rsid w:val="57C813A5"/>
    <w:rsid w:val="585B192C"/>
    <w:rsid w:val="5BF56CD7"/>
    <w:rsid w:val="5C5625DF"/>
    <w:rsid w:val="5E567713"/>
    <w:rsid w:val="5ED32456"/>
    <w:rsid w:val="5FA77F63"/>
    <w:rsid w:val="60A13C76"/>
    <w:rsid w:val="61883090"/>
    <w:rsid w:val="630F445E"/>
    <w:rsid w:val="6590373C"/>
    <w:rsid w:val="65DD7CBC"/>
    <w:rsid w:val="667B59E8"/>
    <w:rsid w:val="66A808CA"/>
    <w:rsid w:val="671E770E"/>
    <w:rsid w:val="67D70BCE"/>
    <w:rsid w:val="685A7788"/>
    <w:rsid w:val="69D4450C"/>
    <w:rsid w:val="6A1640A8"/>
    <w:rsid w:val="6BA43618"/>
    <w:rsid w:val="6C7B7A65"/>
    <w:rsid w:val="6CD11211"/>
    <w:rsid w:val="6DF56C07"/>
    <w:rsid w:val="6E302165"/>
    <w:rsid w:val="6F2F0361"/>
    <w:rsid w:val="70BA6702"/>
    <w:rsid w:val="70F94139"/>
    <w:rsid w:val="712E63F7"/>
    <w:rsid w:val="73BB5FA0"/>
    <w:rsid w:val="751F40B7"/>
    <w:rsid w:val="78AE398B"/>
    <w:rsid w:val="79C77412"/>
    <w:rsid w:val="7B074AB8"/>
    <w:rsid w:val="7B62561B"/>
    <w:rsid w:val="7C070BB4"/>
    <w:rsid w:val="7E653AE9"/>
    <w:rsid w:val="7EEF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before="120" w:after="120" w:line="360" w:lineRule="auto"/>
      <w:outlineLvl w:val="0"/>
    </w:pPr>
    <w:rPr>
      <w:rFonts w:ascii="宋体" w:hAnsi="宋体"/>
      <w:b/>
      <w:bCs/>
      <w:kern w:val="44"/>
      <w:sz w:val="36"/>
      <w:szCs w:val="21"/>
    </w:rPr>
  </w:style>
  <w:style w:type="paragraph" w:styleId="4">
    <w:name w:val="heading 2"/>
    <w:basedOn w:val="1"/>
    <w:next w:val="1"/>
    <w:qFormat/>
    <w:uiPriority w:val="9"/>
    <w:pPr>
      <w:keepNext/>
      <w:keepLines/>
      <w:spacing w:before="120" w:after="120" w:line="415" w:lineRule="auto"/>
      <w:ind w:left="454"/>
      <w:jc w:val="center"/>
      <w:outlineLvl w:val="1"/>
    </w:pPr>
    <w:rPr>
      <w:rFonts w:ascii="Arial" w:hAnsi="Arial"/>
      <w:b/>
      <w:color w:val="000000"/>
      <w:sz w:val="24"/>
    </w:rPr>
  </w:style>
  <w:style w:type="paragraph" w:styleId="2">
    <w:name w:val="heading 3"/>
    <w:basedOn w:val="1"/>
    <w:next w:val="1"/>
    <w:qFormat/>
    <w:uiPriority w:val="99"/>
    <w:pPr>
      <w:keepNext/>
      <w:keepLines/>
      <w:spacing w:before="120" w:after="120" w:line="416" w:lineRule="auto"/>
      <w:outlineLvl w:val="2"/>
    </w:pPr>
    <w:rPr>
      <w:rFonts w:eastAsia="仿宋"/>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300" w:lineRule="auto"/>
      <w:ind w:firstLine="420" w:firstLineChars="200"/>
    </w:pPr>
    <w:rPr>
      <w:rFonts w:ascii="宋体"/>
      <w:kern w:val="0"/>
      <w:sz w:val="20"/>
      <w:szCs w:val="20"/>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5"/>
    <w:next w:val="5"/>
    <w:link w:val="20"/>
    <w:qFormat/>
    <w:uiPriority w:val="0"/>
    <w:rPr>
      <w:b/>
      <w:bCs/>
    </w:rPr>
  </w:style>
  <w:style w:type="character" w:styleId="16">
    <w:name w:val="page number"/>
    <w:basedOn w:val="15"/>
    <w:qFormat/>
    <w:uiPriority w:val="0"/>
  </w:style>
  <w:style w:type="character" w:styleId="17">
    <w:name w:val="annotation reference"/>
    <w:basedOn w:val="15"/>
    <w:qFormat/>
    <w:uiPriority w:val="0"/>
    <w:rPr>
      <w:sz w:val="21"/>
      <w:szCs w:val="21"/>
    </w:rPr>
  </w:style>
  <w:style w:type="character" w:customStyle="1" w:styleId="18">
    <w:name w:val="标题 1 字符"/>
    <w:link w:val="3"/>
    <w:qFormat/>
    <w:uiPriority w:val="9"/>
    <w:rPr>
      <w:rFonts w:ascii="宋体" w:hAnsi="宋体"/>
      <w:b/>
      <w:bCs/>
      <w:kern w:val="44"/>
      <w:sz w:val="36"/>
      <w:szCs w:val="21"/>
    </w:rPr>
  </w:style>
  <w:style w:type="character" w:customStyle="1" w:styleId="19">
    <w:name w:val="批注文字 字符"/>
    <w:basedOn w:val="15"/>
    <w:link w:val="5"/>
    <w:qFormat/>
    <w:uiPriority w:val="0"/>
    <w:rPr>
      <w:kern w:val="2"/>
      <w:sz w:val="21"/>
      <w:szCs w:val="24"/>
    </w:rPr>
  </w:style>
  <w:style w:type="character" w:customStyle="1" w:styleId="20">
    <w:name w:val="批注主题 字符"/>
    <w:basedOn w:val="19"/>
    <w:link w:val="13"/>
    <w:qFormat/>
    <w:uiPriority w:val="0"/>
    <w:rPr>
      <w:b/>
      <w:bCs/>
      <w:kern w:val="2"/>
      <w:sz w:val="21"/>
      <w:szCs w:val="24"/>
    </w:rPr>
  </w:style>
  <w:style w:type="character" w:customStyle="1" w:styleId="21">
    <w:name w:val="批注框文本 字符"/>
    <w:basedOn w:val="15"/>
    <w:link w:val="10"/>
    <w:qFormat/>
    <w:uiPriority w:val="0"/>
    <w:rPr>
      <w:kern w:val="2"/>
      <w:sz w:val="18"/>
      <w:szCs w:val="18"/>
    </w:rPr>
  </w:style>
  <w:style w:type="paragraph" w:customStyle="1" w:styleId="22">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84522-619A-4ACE-B1D7-0EFA5E12761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9201</Words>
  <Characters>9322</Characters>
  <Lines>68</Lines>
  <Paragraphs>19</Paragraphs>
  <TotalTime>2</TotalTime>
  <ScaleCrop>false</ScaleCrop>
  <LinksUpToDate>false</LinksUpToDate>
  <CharactersWithSpaces>9685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2025-04-24T07:02:00Z</dcterms:created>
  <dc:creator>cwh</dc:creator>
  <cp:lastModifiedBy>ADMIN</cp:lastModifiedBy>
  <dcterms:modified xsi:type="dcterms:W3CDTF">2025-12-01T03:05:38Z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C4ABF7E8BADB49B78A5CE531309D474F_13</vt:lpwstr>
  </property>
  <property fmtid="{D5CDD505-2E9C-101B-9397-08002B2CF9AE}" pid="4" name="KSOTemplateDocerSaveRecord">
    <vt:lpwstr>eyJoZGlkIjoiNDFjYzZhY2U3NGQ3OGMyNzM0YmMxYTNmYWVmMWQ5NzMiLCJ1c2VySWQiOiIzMDUxNjA5MzIifQ==</vt:lpwstr>
  </property>
</Properties>
</file>