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B48B6">
      <w:pPr>
        <w:shd w:val="clear"/>
        <w:tabs>
          <w:tab w:val="left" w:pos="5475"/>
        </w:tabs>
        <w:spacing w:line="360" w:lineRule="auto"/>
        <w:jc w:val="right"/>
        <w:rPr>
          <w:rFonts w:ascii="仿宋" w:hAnsi="仿宋" w:eastAsia="仿宋" w:cs="仿宋"/>
          <w:snapToGrid w:val="0"/>
          <w:color w:val="auto"/>
          <w:spacing w:val="-20"/>
          <w:kern w:val="0"/>
          <w:sz w:val="24"/>
          <w:szCs w:val="24"/>
          <w:highlight w:val="none"/>
        </w:rPr>
      </w:pPr>
    </w:p>
    <w:p w14:paraId="3DD30285">
      <w:pPr>
        <w:pStyle w:val="3"/>
        <w:shd w:val="clear"/>
        <w:rPr>
          <w:highlight w:val="none"/>
        </w:rPr>
      </w:pPr>
    </w:p>
    <w:p w14:paraId="1C708DE4">
      <w:pPr>
        <w:shd w:val="clear"/>
        <w:tabs>
          <w:tab w:val="left" w:pos="5475"/>
        </w:tabs>
        <w:spacing w:line="240" w:lineRule="auto"/>
        <w:jc w:val="center"/>
        <w:rPr>
          <w:rFonts w:hint="default" w:ascii="仿宋" w:hAnsi="仿宋" w:eastAsia="仿宋" w:cs="仿宋"/>
          <w:b/>
          <w:bCs/>
          <w:snapToGrid w:val="0"/>
          <w:color w:val="auto"/>
          <w:spacing w:val="-20"/>
          <w:kern w:val="0"/>
          <w:sz w:val="52"/>
          <w:szCs w:val="52"/>
          <w:highlight w:val="none"/>
          <w:lang w:val="en-US" w:eastAsia="zh-CN"/>
        </w:rPr>
      </w:pPr>
      <w:r>
        <w:rPr>
          <w:rFonts w:hint="eastAsia" w:ascii="仿宋" w:hAnsi="仿宋" w:eastAsia="仿宋" w:cs="仿宋"/>
          <w:b/>
          <w:snapToGrid w:val="0"/>
          <w:spacing w:val="-20"/>
          <w:sz w:val="52"/>
          <w:szCs w:val="52"/>
          <w:highlight w:val="none"/>
          <w:u w:val="none"/>
        </w:rPr>
        <w:t>广州市白云区夏茅村城中村改造项目首开区安置地块项目城中村展示中心项目</w:t>
      </w:r>
      <w:r>
        <w:rPr>
          <w:rFonts w:hint="eastAsia" w:ascii="仿宋" w:hAnsi="仿宋" w:eastAsia="仿宋" w:cs="仿宋"/>
          <w:b/>
          <w:bCs/>
          <w:snapToGrid w:val="0"/>
          <w:color w:val="auto"/>
          <w:spacing w:val="-20"/>
          <w:kern w:val="0"/>
          <w:sz w:val="52"/>
          <w:szCs w:val="52"/>
          <w:highlight w:val="none"/>
        </w:rPr>
        <w:t>设计施工总承包</w:t>
      </w:r>
      <w:r>
        <w:rPr>
          <w:rFonts w:hint="eastAsia" w:ascii="仿宋" w:hAnsi="仿宋" w:eastAsia="仿宋" w:cs="仿宋"/>
          <w:b/>
          <w:bCs/>
          <w:snapToGrid w:val="0"/>
          <w:color w:val="auto"/>
          <w:spacing w:val="-20"/>
          <w:kern w:val="0"/>
          <w:sz w:val="52"/>
          <w:szCs w:val="52"/>
          <w:highlight w:val="none"/>
          <w:lang w:eastAsia="zh-CN"/>
        </w:rPr>
        <w:t>（</w:t>
      </w:r>
      <w:r>
        <w:rPr>
          <w:rFonts w:hint="eastAsia" w:ascii="仿宋" w:hAnsi="仿宋" w:eastAsia="仿宋" w:cs="仿宋"/>
          <w:b/>
          <w:bCs/>
          <w:snapToGrid w:val="0"/>
          <w:color w:val="auto"/>
          <w:spacing w:val="-20"/>
          <w:kern w:val="0"/>
          <w:sz w:val="52"/>
          <w:szCs w:val="52"/>
          <w:highlight w:val="none"/>
          <w:lang w:val="en-US" w:eastAsia="zh-CN"/>
        </w:rPr>
        <w:t>EPC)</w:t>
      </w:r>
      <w:r>
        <w:rPr>
          <w:rFonts w:hint="eastAsia" w:ascii="仿宋" w:hAnsi="仿宋" w:eastAsia="仿宋" w:cs="仿宋"/>
          <w:b/>
          <w:bCs/>
          <w:snapToGrid w:val="0"/>
          <w:color w:val="auto"/>
          <w:spacing w:val="-20"/>
          <w:kern w:val="0"/>
          <w:sz w:val="52"/>
          <w:szCs w:val="52"/>
          <w:highlight w:val="none"/>
        </w:rPr>
        <w:t>合同</w:t>
      </w:r>
    </w:p>
    <w:p w14:paraId="4F1CCD03">
      <w:pPr>
        <w:shd w:val="clear"/>
        <w:tabs>
          <w:tab w:val="left" w:pos="5475"/>
        </w:tabs>
        <w:spacing w:line="360" w:lineRule="auto"/>
        <w:jc w:val="center"/>
        <w:rPr>
          <w:rFonts w:ascii="仿宋" w:hAnsi="仿宋" w:eastAsia="仿宋" w:cs="仿宋"/>
          <w:snapToGrid w:val="0"/>
          <w:color w:val="auto"/>
          <w:spacing w:val="-20"/>
          <w:kern w:val="0"/>
          <w:sz w:val="24"/>
          <w:szCs w:val="24"/>
          <w:highlight w:val="none"/>
        </w:rPr>
      </w:pPr>
    </w:p>
    <w:p w14:paraId="4407BBC0">
      <w:pPr>
        <w:shd w:val="clear"/>
        <w:tabs>
          <w:tab w:val="left" w:pos="5475"/>
        </w:tabs>
        <w:spacing w:line="360" w:lineRule="auto"/>
        <w:jc w:val="center"/>
        <w:rPr>
          <w:rFonts w:ascii="仿宋" w:hAnsi="仿宋" w:eastAsia="仿宋" w:cs="仿宋"/>
          <w:snapToGrid w:val="0"/>
          <w:color w:val="auto"/>
          <w:spacing w:val="-20"/>
          <w:kern w:val="0"/>
          <w:sz w:val="24"/>
          <w:szCs w:val="24"/>
          <w:highlight w:val="none"/>
        </w:rPr>
      </w:pPr>
    </w:p>
    <w:p w14:paraId="60A7550C">
      <w:pPr>
        <w:shd w:val="clear"/>
        <w:tabs>
          <w:tab w:val="left" w:pos="5475"/>
        </w:tabs>
        <w:spacing w:line="360" w:lineRule="auto"/>
        <w:jc w:val="center"/>
        <w:rPr>
          <w:rFonts w:ascii="仿宋" w:hAnsi="仿宋" w:eastAsia="仿宋" w:cs="仿宋"/>
          <w:snapToGrid w:val="0"/>
          <w:color w:val="auto"/>
          <w:spacing w:val="-20"/>
          <w:kern w:val="0"/>
          <w:sz w:val="24"/>
          <w:szCs w:val="24"/>
          <w:highlight w:val="none"/>
        </w:rPr>
      </w:pPr>
      <w:r>
        <w:rPr>
          <w:rFonts w:hint="eastAsia" w:ascii="仿宋" w:hAnsi="仿宋" w:eastAsia="仿宋" w:cs="仿宋"/>
          <w:snapToGrid w:val="0"/>
          <w:color w:val="auto"/>
          <w:spacing w:val="-20"/>
          <w:kern w:val="0"/>
          <w:sz w:val="24"/>
          <w:szCs w:val="24"/>
          <w:highlight w:val="none"/>
        </w:rPr>
        <w:t>合同编号：</w:t>
      </w:r>
    </w:p>
    <w:p w14:paraId="3EE66075">
      <w:pPr>
        <w:shd w:val="clear"/>
        <w:adjustRightInd w:val="0"/>
        <w:snapToGrid w:val="0"/>
        <w:spacing w:line="360" w:lineRule="auto"/>
        <w:jc w:val="center"/>
        <w:rPr>
          <w:rFonts w:ascii="仿宋" w:hAnsi="仿宋" w:eastAsia="仿宋" w:cs="仿宋"/>
          <w:b/>
          <w:bCs/>
          <w:snapToGrid w:val="0"/>
          <w:color w:val="auto"/>
          <w:kern w:val="0"/>
          <w:sz w:val="32"/>
          <w:szCs w:val="32"/>
          <w:highlight w:val="none"/>
        </w:rPr>
      </w:pPr>
    </w:p>
    <w:p w14:paraId="07652266">
      <w:pPr>
        <w:shd w:val="clear"/>
        <w:adjustRightInd w:val="0"/>
        <w:snapToGrid w:val="0"/>
        <w:spacing w:line="360" w:lineRule="auto"/>
        <w:rPr>
          <w:rFonts w:ascii="仿宋" w:hAnsi="仿宋" w:eastAsia="仿宋" w:cs="仿宋"/>
          <w:snapToGrid w:val="0"/>
          <w:color w:val="auto"/>
          <w:kern w:val="0"/>
          <w:sz w:val="24"/>
          <w:highlight w:val="none"/>
        </w:rPr>
      </w:pPr>
    </w:p>
    <w:p w14:paraId="73601134">
      <w:pPr>
        <w:shd w:val="clear"/>
        <w:adjustRightInd w:val="0"/>
        <w:snapToGrid w:val="0"/>
        <w:spacing w:line="360" w:lineRule="auto"/>
        <w:rPr>
          <w:rFonts w:ascii="仿宋" w:hAnsi="仿宋" w:eastAsia="仿宋" w:cs="仿宋"/>
          <w:snapToGrid w:val="0"/>
          <w:color w:val="auto"/>
          <w:kern w:val="0"/>
          <w:sz w:val="24"/>
          <w:highlight w:val="none"/>
        </w:rPr>
      </w:pPr>
    </w:p>
    <w:p w14:paraId="058810F3">
      <w:pPr>
        <w:shd w:val="clear"/>
        <w:adjustRightInd w:val="0"/>
        <w:snapToGrid w:val="0"/>
        <w:spacing w:line="360" w:lineRule="auto"/>
        <w:rPr>
          <w:rFonts w:ascii="仿宋" w:hAnsi="仿宋" w:eastAsia="仿宋" w:cs="仿宋"/>
          <w:snapToGrid w:val="0"/>
          <w:color w:val="auto"/>
          <w:kern w:val="0"/>
          <w:sz w:val="24"/>
          <w:highlight w:val="none"/>
        </w:rPr>
      </w:pPr>
    </w:p>
    <w:p w14:paraId="3A8B6016">
      <w:pPr>
        <w:shd w:val="clear"/>
        <w:adjustRightInd w:val="0"/>
        <w:snapToGrid w:val="0"/>
        <w:spacing w:line="360" w:lineRule="auto"/>
        <w:rPr>
          <w:rFonts w:ascii="仿宋" w:hAnsi="仿宋" w:eastAsia="仿宋" w:cs="仿宋"/>
          <w:snapToGrid w:val="0"/>
          <w:color w:val="auto"/>
          <w:kern w:val="0"/>
          <w:sz w:val="24"/>
          <w:highlight w:val="none"/>
        </w:rPr>
      </w:pPr>
    </w:p>
    <w:p w14:paraId="3D6BEB88">
      <w:pPr>
        <w:shd w:val="clear"/>
        <w:adjustRightInd w:val="0"/>
        <w:snapToGrid w:val="0"/>
        <w:spacing w:line="360" w:lineRule="auto"/>
        <w:ind w:firstLine="602" w:firstLineChars="200"/>
        <w:rPr>
          <w:rFonts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发包人：广州白云湖投资发展有限公司</w:t>
      </w:r>
    </w:p>
    <w:p w14:paraId="39CD42BB">
      <w:pPr>
        <w:pStyle w:val="6"/>
        <w:shd w:val="clear"/>
        <w:ind w:firstLine="602"/>
        <w:rPr>
          <w:rFonts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承包人</w:t>
      </w:r>
      <w:r>
        <w:rPr>
          <w:rFonts w:hint="eastAsia" w:ascii="仿宋" w:hAnsi="仿宋" w:eastAsia="仿宋" w:cs="仿宋"/>
          <w:b/>
          <w:bCs/>
          <w:snapToGrid w:val="0"/>
          <w:color w:val="auto"/>
          <w:kern w:val="0"/>
          <w:sz w:val="30"/>
          <w:szCs w:val="30"/>
          <w:highlight w:val="none"/>
          <w:lang w:eastAsia="zh-CN"/>
        </w:rPr>
        <w:t>：</w:t>
      </w:r>
    </w:p>
    <w:p w14:paraId="110888AA">
      <w:pPr>
        <w:pStyle w:val="5"/>
        <w:shd w:val="clear"/>
        <w:ind w:left="2102" w:leftChars="284" w:hanging="1506" w:hangingChars="500"/>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工程地点：广州市白云区</w:t>
      </w:r>
    </w:p>
    <w:p w14:paraId="454C3E2A">
      <w:pPr>
        <w:pStyle w:val="5"/>
        <w:shd w:val="clear"/>
        <w:ind w:firstLine="602" w:firstLineChars="200"/>
        <w:jc w:val="left"/>
        <w:rPr>
          <w:rFonts w:hint="eastAsia" w:ascii="仿宋" w:hAnsi="仿宋" w:eastAsia="仿宋" w:cs="仿宋"/>
          <w:b/>
          <w:bCs/>
          <w:snapToGrid w:val="0"/>
          <w:color w:val="auto"/>
          <w:kern w:val="0"/>
          <w:sz w:val="30"/>
          <w:szCs w:val="30"/>
          <w:highlight w:val="none"/>
        </w:rPr>
      </w:pPr>
      <w:r>
        <w:rPr>
          <w:rFonts w:hint="eastAsia" w:ascii="仿宋" w:hAnsi="仿宋" w:eastAsia="仿宋" w:cs="仿宋"/>
          <w:b/>
          <w:bCs/>
          <w:snapToGrid w:val="0"/>
          <w:color w:val="auto"/>
          <w:kern w:val="0"/>
          <w:sz w:val="30"/>
          <w:szCs w:val="30"/>
          <w:highlight w:val="none"/>
        </w:rPr>
        <w:t>签约地点：广州市</w:t>
      </w:r>
    </w:p>
    <w:p w14:paraId="05E74EB2">
      <w:pPr>
        <w:pStyle w:val="5"/>
        <w:shd w:val="clear"/>
        <w:ind w:firstLine="602" w:firstLineChars="200"/>
        <w:jc w:val="left"/>
        <w:rPr>
          <w:color w:val="auto"/>
          <w:highlight w:val="none"/>
        </w:rPr>
      </w:pPr>
      <w:r>
        <w:rPr>
          <w:rFonts w:hint="eastAsia" w:ascii="仿宋" w:hAnsi="仿宋" w:eastAsia="仿宋" w:cs="仿宋"/>
          <w:b/>
          <w:bCs/>
          <w:snapToGrid w:val="0"/>
          <w:color w:val="auto"/>
          <w:kern w:val="0"/>
          <w:sz w:val="30"/>
          <w:szCs w:val="30"/>
          <w:highlight w:val="none"/>
        </w:rPr>
        <w:t>签约日期：202</w:t>
      </w:r>
      <w:r>
        <w:rPr>
          <w:rFonts w:hint="eastAsia" w:ascii="仿宋" w:hAnsi="仿宋" w:eastAsia="仿宋" w:cs="仿宋"/>
          <w:b/>
          <w:bCs/>
          <w:snapToGrid w:val="0"/>
          <w:color w:val="auto"/>
          <w:kern w:val="0"/>
          <w:sz w:val="30"/>
          <w:szCs w:val="30"/>
          <w:highlight w:val="none"/>
          <w:lang w:val="en-US" w:eastAsia="zh-CN"/>
        </w:rPr>
        <w:t>5</w:t>
      </w:r>
      <w:r>
        <w:rPr>
          <w:rFonts w:hint="eastAsia" w:ascii="仿宋" w:hAnsi="仿宋" w:eastAsia="仿宋" w:cs="仿宋"/>
          <w:b/>
          <w:bCs/>
          <w:snapToGrid w:val="0"/>
          <w:color w:val="auto"/>
          <w:kern w:val="0"/>
          <w:sz w:val="30"/>
          <w:szCs w:val="30"/>
          <w:highlight w:val="none"/>
        </w:rPr>
        <w:t>年</w:t>
      </w:r>
      <w:r>
        <w:rPr>
          <w:rFonts w:hint="eastAsia" w:ascii="仿宋" w:hAnsi="仿宋" w:eastAsia="仿宋" w:cs="仿宋"/>
          <w:b/>
          <w:bCs/>
          <w:snapToGrid w:val="0"/>
          <w:color w:val="auto"/>
          <w:kern w:val="0"/>
          <w:sz w:val="30"/>
          <w:szCs w:val="30"/>
          <w:highlight w:val="none"/>
          <w:lang w:val="en-US" w:eastAsia="zh-CN"/>
        </w:rPr>
        <w:t xml:space="preserve"> </w:t>
      </w:r>
      <w:r>
        <w:rPr>
          <w:rFonts w:hint="eastAsia" w:ascii="仿宋" w:hAnsi="仿宋" w:eastAsia="仿宋" w:cs="仿宋"/>
          <w:b/>
          <w:bCs/>
          <w:snapToGrid w:val="0"/>
          <w:color w:val="auto"/>
          <w:kern w:val="0"/>
          <w:sz w:val="30"/>
          <w:szCs w:val="30"/>
          <w:highlight w:val="none"/>
        </w:rPr>
        <w:t>月</w:t>
      </w:r>
      <w:r>
        <w:rPr>
          <w:rFonts w:hint="eastAsia" w:ascii="仿宋" w:hAnsi="仿宋" w:eastAsia="仿宋" w:cs="仿宋"/>
          <w:b/>
          <w:bCs/>
          <w:snapToGrid w:val="0"/>
          <w:color w:val="auto"/>
          <w:kern w:val="0"/>
          <w:sz w:val="30"/>
          <w:szCs w:val="30"/>
          <w:highlight w:val="none"/>
          <w:lang w:val="en-US" w:eastAsia="zh-CN"/>
        </w:rPr>
        <w:t xml:space="preserve"> </w:t>
      </w:r>
      <w:r>
        <w:rPr>
          <w:rFonts w:hint="eastAsia" w:ascii="仿宋" w:hAnsi="仿宋" w:eastAsia="仿宋" w:cs="仿宋"/>
          <w:b/>
          <w:bCs/>
          <w:snapToGrid w:val="0"/>
          <w:color w:val="auto"/>
          <w:kern w:val="0"/>
          <w:sz w:val="30"/>
          <w:szCs w:val="30"/>
          <w:highlight w:val="none"/>
        </w:rPr>
        <w:t>日</w:t>
      </w:r>
      <w:r>
        <w:rPr>
          <w:rFonts w:hint="eastAsia"/>
          <w:color w:val="auto"/>
          <w:highlight w:val="none"/>
        </w:rPr>
        <w:br w:type="page"/>
      </w:r>
    </w:p>
    <w:p w14:paraId="55340AC1">
      <w:pPr>
        <w:pStyle w:val="21"/>
        <w:shd w:val="clear"/>
        <w:ind w:firstLine="200"/>
        <w:rPr>
          <w:color w:val="auto"/>
          <w:highlight w:val="none"/>
        </w:rPr>
      </w:pPr>
    </w:p>
    <w:p w14:paraId="034E151A">
      <w:pPr>
        <w:shd w:val="clear"/>
        <w:jc w:val="center"/>
        <w:rPr>
          <w:rFonts w:ascii="仿宋" w:hAnsi="仿宋" w:eastAsia="仿宋" w:cs="仿宋"/>
          <w:color w:val="auto"/>
          <w:sz w:val="24"/>
          <w:szCs w:val="24"/>
          <w:highlight w:val="none"/>
        </w:rPr>
      </w:pPr>
      <w:r>
        <w:rPr>
          <w:rFonts w:hint="eastAsia" w:ascii="仿宋" w:hAnsi="仿宋" w:eastAsia="仿宋" w:cs="仿宋"/>
          <w:b/>
          <w:bCs/>
          <w:color w:val="auto"/>
          <w:sz w:val="32"/>
          <w:szCs w:val="32"/>
          <w:highlight w:val="none"/>
        </w:rPr>
        <w:t>目  录</w:t>
      </w:r>
    </w:p>
    <w:p w14:paraId="26820CEF">
      <w:pPr>
        <w:pStyle w:val="17"/>
        <w:shd w:val="clear"/>
        <w:tabs>
          <w:tab w:val="right" w:leader="dot" w:pos="8296"/>
        </w:tabs>
        <w:spacing w:line="480" w:lineRule="auto"/>
        <w:jc w:val="both"/>
        <w:rPr>
          <w:rFonts w:ascii="仿宋" w:hAnsi="仿宋" w:eastAsia="仿宋" w:cs="仿宋"/>
          <w:b w:val="0"/>
          <w:bCs w:val="0"/>
          <w:caps w:val="0"/>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r>
        <w:rPr>
          <w:color w:val="auto"/>
          <w:highlight w:val="none"/>
        </w:rPr>
        <w:fldChar w:fldCharType="begin"/>
      </w:r>
      <w:r>
        <w:rPr>
          <w:color w:val="auto"/>
          <w:highlight w:val="none"/>
        </w:rPr>
        <w:instrText xml:space="preserve"> HYPERLINK \l "_Toc83377239" </w:instrText>
      </w:r>
      <w:r>
        <w:rPr>
          <w:color w:val="auto"/>
          <w:highlight w:val="none"/>
        </w:rPr>
        <w:fldChar w:fldCharType="separate"/>
      </w:r>
      <w:r>
        <w:rPr>
          <w:rStyle w:val="28"/>
          <w:rFonts w:hint="eastAsia" w:ascii="仿宋" w:hAnsi="仿宋" w:eastAsia="仿宋" w:cs="仿宋"/>
          <w:snapToGrid w:val="0"/>
          <w:color w:val="auto"/>
          <w:kern w:val="0"/>
          <w:sz w:val="24"/>
          <w:szCs w:val="24"/>
          <w:highlight w:val="none"/>
        </w:rPr>
        <w:t>第一篇  合同协议书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_Toc83377239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CD72B34">
      <w:pPr>
        <w:pStyle w:val="17"/>
        <w:shd w:val="clear"/>
        <w:tabs>
          <w:tab w:val="right" w:leader="dot" w:pos="8296"/>
        </w:tabs>
        <w:spacing w:line="480" w:lineRule="auto"/>
        <w:jc w:val="both"/>
        <w:rPr>
          <w:rFonts w:ascii="仿宋" w:hAnsi="仿宋" w:eastAsia="仿宋" w:cs="仿宋"/>
          <w:b w:val="0"/>
          <w:bCs w:val="0"/>
          <w:caps w:val="0"/>
          <w:color w:val="auto"/>
          <w:sz w:val="24"/>
          <w:szCs w:val="24"/>
          <w:highlight w:val="none"/>
        </w:rPr>
      </w:pPr>
      <w:r>
        <w:rPr>
          <w:color w:val="auto"/>
          <w:highlight w:val="none"/>
        </w:rPr>
        <w:fldChar w:fldCharType="begin"/>
      </w:r>
      <w:r>
        <w:rPr>
          <w:color w:val="auto"/>
          <w:highlight w:val="none"/>
        </w:rPr>
        <w:instrText xml:space="preserve"> HYPERLINK \l "_Toc83377240" </w:instrText>
      </w:r>
      <w:r>
        <w:rPr>
          <w:color w:val="auto"/>
          <w:highlight w:val="none"/>
        </w:rPr>
        <w:fldChar w:fldCharType="separate"/>
      </w:r>
      <w:r>
        <w:rPr>
          <w:rStyle w:val="28"/>
          <w:rFonts w:hint="eastAsia" w:ascii="仿宋" w:hAnsi="仿宋" w:eastAsia="仿宋" w:cs="仿宋"/>
          <w:snapToGrid w:val="0"/>
          <w:color w:val="auto"/>
          <w:kern w:val="0"/>
          <w:sz w:val="24"/>
          <w:szCs w:val="24"/>
          <w:highlight w:val="none"/>
        </w:rPr>
        <w:t>第二篇  合同</w:t>
      </w:r>
      <w:r>
        <w:rPr>
          <w:rStyle w:val="28"/>
          <w:rFonts w:hint="eastAsia" w:ascii="仿宋" w:hAnsi="仿宋" w:eastAsia="仿宋" w:cs="仿宋"/>
          <w:snapToGrid w:val="0"/>
          <w:color w:val="auto"/>
          <w:kern w:val="0"/>
          <w:sz w:val="24"/>
          <w:szCs w:val="24"/>
          <w:highlight w:val="none"/>
          <w:lang w:val="en-US" w:eastAsia="zh-CN"/>
        </w:rPr>
        <w:t>专用</w:t>
      </w:r>
      <w:r>
        <w:rPr>
          <w:rStyle w:val="28"/>
          <w:rFonts w:hint="eastAsia" w:ascii="仿宋" w:hAnsi="仿宋" w:eastAsia="仿宋" w:cs="仿宋"/>
          <w:snapToGrid w:val="0"/>
          <w:color w:val="auto"/>
          <w:kern w:val="0"/>
          <w:sz w:val="24"/>
          <w:szCs w:val="24"/>
          <w:highlight w:val="none"/>
        </w:rPr>
        <w:t>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_Toc83377240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EC3D76F">
      <w:pPr>
        <w:pStyle w:val="17"/>
        <w:shd w:val="clear"/>
        <w:tabs>
          <w:tab w:val="right" w:leader="dot" w:pos="8296"/>
        </w:tabs>
        <w:spacing w:line="480" w:lineRule="auto"/>
        <w:jc w:val="both"/>
        <w:rPr>
          <w:rFonts w:ascii="仿宋" w:hAnsi="仿宋" w:eastAsia="仿宋" w:cs="仿宋"/>
          <w:b w:val="0"/>
          <w:bCs w:val="0"/>
          <w:caps w:val="0"/>
          <w:color w:val="auto"/>
          <w:sz w:val="24"/>
          <w:szCs w:val="24"/>
          <w:highlight w:val="none"/>
        </w:rPr>
      </w:pPr>
      <w:r>
        <w:rPr>
          <w:color w:val="auto"/>
          <w:highlight w:val="none"/>
        </w:rPr>
        <w:fldChar w:fldCharType="begin"/>
      </w:r>
      <w:r>
        <w:rPr>
          <w:color w:val="auto"/>
          <w:highlight w:val="none"/>
        </w:rPr>
        <w:instrText xml:space="preserve"> HYPERLINK \l "_Toc83377302" </w:instrText>
      </w:r>
      <w:r>
        <w:rPr>
          <w:color w:val="auto"/>
          <w:highlight w:val="none"/>
        </w:rPr>
        <w:fldChar w:fldCharType="separate"/>
      </w:r>
      <w:r>
        <w:rPr>
          <w:rStyle w:val="28"/>
          <w:rFonts w:hint="eastAsia" w:ascii="仿宋" w:hAnsi="仿宋" w:eastAsia="仿宋" w:cs="仿宋"/>
          <w:snapToGrid w:val="0"/>
          <w:color w:val="auto"/>
          <w:kern w:val="0"/>
          <w:sz w:val="24"/>
          <w:szCs w:val="24"/>
          <w:highlight w:val="none"/>
        </w:rPr>
        <w:t>第三篇  合同附件与格式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_Toc83377302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2D9ABE6">
      <w:pPr>
        <w:shd w:val="clear"/>
        <w:adjustRightInd w:val="0"/>
        <w:snapToGrid w:val="0"/>
        <w:spacing w:line="480" w:lineRule="auto"/>
        <w:ind w:firstLine="672" w:firstLineChars="280"/>
        <w:rPr>
          <w:rFonts w:ascii="仿宋" w:hAnsi="仿宋" w:eastAsia="仿宋" w:cs="仿宋"/>
          <w:color w:val="auto"/>
          <w:szCs w:val="24"/>
          <w:highlight w:val="none"/>
        </w:rPr>
      </w:pPr>
      <w:r>
        <w:rPr>
          <w:rFonts w:hint="eastAsia" w:ascii="仿宋" w:hAnsi="仿宋" w:eastAsia="仿宋" w:cs="仿宋"/>
          <w:color w:val="auto"/>
          <w:sz w:val="24"/>
          <w:szCs w:val="24"/>
          <w:highlight w:val="none"/>
        </w:rPr>
        <w:fldChar w:fldCharType="end"/>
      </w:r>
    </w:p>
    <w:p w14:paraId="04083768">
      <w:pPr>
        <w:pStyle w:val="6"/>
        <w:shd w:val="clear"/>
        <w:ind w:firstLine="480"/>
        <w:rPr>
          <w:rFonts w:ascii="仿宋" w:hAnsi="仿宋" w:eastAsia="仿宋" w:cs="仿宋"/>
          <w:color w:val="auto"/>
          <w:highlight w:val="none"/>
        </w:rPr>
      </w:pPr>
    </w:p>
    <w:p w14:paraId="040CB3DF">
      <w:pPr>
        <w:pStyle w:val="6"/>
        <w:shd w:val="clear"/>
        <w:ind w:firstLine="0" w:firstLineChars="0"/>
        <w:rPr>
          <w:rFonts w:ascii="仿宋" w:hAnsi="仿宋" w:eastAsia="仿宋" w:cs="仿宋"/>
          <w:color w:val="auto"/>
          <w:highlight w:val="none"/>
        </w:rPr>
        <w:sectPr>
          <w:footerReference r:id="rId5" w:type="first"/>
          <w:head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D94CCD7">
      <w:pPr>
        <w:shd w:val="clear"/>
        <w:adjustRightInd w:val="0"/>
        <w:snapToGrid w:val="0"/>
        <w:spacing w:line="360" w:lineRule="auto"/>
        <w:ind w:right="11"/>
        <w:jc w:val="center"/>
        <w:outlineLvl w:val="0"/>
        <w:rPr>
          <w:rFonts w:ascii="仿宋" w:hAnsi="仿宋" w:eastAsia="仿宋" w:cs="仿宋"/>
          <w:b/>
          <w:bCs/>
          <w:snapToGrid w:val="0"/>
          <w:color w:val="auto"/>
          <w:kern w:val="0"/>
          <w:sz w:val="44"/>
          <w:szCs w:val="44"/>
          <w:highlight w:val="none"/>
        </w:rPr>
      </w:pPr>
      <w:bookmarkStart w:id="0" w:name="_Toc12540"/>
      <w:bookmarkStart w:id="1" w:name="_Toc83377239"/>
      <w:bookmarkStart w:id="2" w:name="_Toc2784851"/>
      <w:r>
        <w:rPr>
          <w:rFonts w:hint="eastAsia" w:ascii="仿宋" w:hAnsi="仿宋" w:eastAsia="仿宋" w:cs="仿宋"/>
          <w:b/>
          <w:bCs/>
          <w:snapToGrid w:val="0"/>
          <w:color w:val="auto"/>
          <w:kern w:val="0"/>
          <w:sz w:val="44"/>
          <w:szCs w:val="44"/>
          <w:highlight w:val="none"/>
        </w:rPr>
        <w:t>第一篇  合同协议书</w:t>
      </w:r>
      <w:bookmarkEnd w:id="0"/>
      <w:bookmarkEnd w:id="1"/>
      <w:bookmarkEnd w:id="2"/>
    </w:p>
    <w:p w14:paraId="1293926D">
      <w:pPr>
        <w:shd w:val="clear"/>
        <w:adjustRightInd w:val="0"/>
        <w:snapToGrid w:val="0"/>
        <w:spacing w:line="360" w:lineRule="auto"/>
        <w:ind w:firstLine="480" w:firstLineChars="200"/>
        <w:rPr>
          <w:rFonts w:hint="eastAsia" w:ascii="仿宋" w:hAnsi="仿宋" w:eastAsia="仿宋" w:cs="仿宋"/>
          <w:b w:val="0"/>
          <w:bCs/>
          <w:snapToGrid w:val="0"/>
          <w:color w:val="auto"/>
          <w:kern w:val="0"/>
          <w:sz w:val="24"/>
          <w:szCs w:val="24"/>
          <w:highlight w:val="none"/>
          <w:u w:val="none"/>
          <w:lang w:eastAsia="zh-CN"/>
        </w:rPr>
      </w:pPr>
      <w:r>
        <w:rPr>
          <w:rFonts w:hint="eastAsia" w:ascii="仿宋" w:hAnsi="仿宋" w:eastAsia="仿宋" w:cs="仿宋"/>
          <w:b w:val="0"/>
          <w:bCs/>
          <w:color w:val="auto"/>
          <w:sz w:val="24"/>
          <w:highlight w:val="none"/>
        </w:rPr>
        <w:t>发包人（全称）</w:t>
      </w:r>
      <w:r>
        <w:rPr>
          <w:rFonts w:hint="eastAsia" w:ascii="仿宋" w:hAnsi="仿宋" w:eastAsia="仿宋" w:cs="仿宋"/>
          <w:b w:val="0"/>
          <w:bCs/>
          <w:color w:val="auto"/>
          <w:sz w:val="24"/>
          <w:highlight w:val="none"/>
          <w:u w:val="none"/>
        </w:rPr>
        <w:t>：广州白云湖投资发展有限公司</w:t>
      </w:r>
      <w:r>
        <w:rPr>
          <w:rFonts w:hint="eastAsia" w:ascii="仿宋" w:hAnsi="仿宋" w:eastAsia="仿宋" w:cs="仿宋"/>
          <w:b w:val="0"/>
          <w:bCs/>
          <w:color w:val="auto"/>
          <w:sz w:val="24"/>
          <w:szCs w:val="24"/>
          <w:highlight w:val="none"/>
          <w:u w:val="none"/>
          <w:lang w:val="en-US" w:eastAsia="zh-CN"/>
        </w:rPr>
        <w:t xml:space="preserve"> </w:t>
      </w:r>
    </w:p>
    <w:p w14:paraId="6352473E">
      <w:pPr>
        <w:shd w:val="clear"/>
        <w:spacing w:after="156" w:afterLines="50" w:line="360" w:lineRule="auto"/>
        <w:ind w:firstLine="480" w:firstLineChars="200"/>
        <w:rPr>
          <w:rFonts w:hint="eastAsia" w:ascii="仿宋" w:hAnsi="仿宋" w:eastAsia="仿宋" w:cs="仿宋"/>
          <w:b w:val="0"/>
          <w:bCs/>
          <w:color w:val="auto"/>
          <w:sz w:val="24"/>
          <w:highlight w:val="none"/>
          <w:u w:val="none"/>
          <w:lang w:eastAsia="zh-CN"/>
        </w:rPr>
      </w:pPr>
      <w:r>
        <w:rPr>
          <w:rFonts w:hint="eastAsia" w:ascii="仿宋" w:hAnsi="仿宋" w:eastAsia="仿宋" w:cs="仿宋"/>
          <w:b w:val="0"/>
          <w:bCs/>
          <w:color w:val="auto"/>
          <w:sz w:val="24"/>
          <w:highlight w:val="none"/>
          <w:u w:val="none"/>
        </w:rPr>
        <w:t>承包人（全称）</w:t>
      </w:r>
      <w:r>
        <w:rPr>
          <w:rFonts w:hint="eastAsia" w:ascii="仿宋" w:hAnsi="仿宋" w:eastAsia="仿宋" w:cs="仿宋"/>
          <w:b w:val="0"/>
          <w:bCs/>
          <w:color w:val="auto"/>
          <w:sz w:val="24"/>
          <w:highlight w:val="none"/>
          <w:u w:val="none"/>
          <w:lang w:eastAsia="zh-CN"/>
        </w:rPr>
        <w:t>：</w:t>
      </w:r>
      <w:r>
        <w:rPr>
          <w:rFonts w:hint="eastAsia" w:ascii="仿宋" w:hAnsi="仿宋" w:eastAsia="仿宋" w:cs="仿宋"/>
          <w:b w:val="0"/>
          <w:bCs/>
          <w:snapToGrid/>
          <w:color w:val="auto"/>
          <w:kern w:val="2"/>
          <w:sz w:val="24"/>
          <w:szCs w:val="24"/>
          <w:highlight w:val="none"/>
          <w:u w:val="none"/>
          <w:lang w:val="en-US" w:eastAsia="zh-CN"/>
        </w:rPr>
        <w:t xml:space="preserve"> </w:t>
      </w:r>
    </w:p>
    <w:p w14:paraId="0699453F">
      <w:pPr>
        <w:shd w:val="clear"/>
        <w:spacing w:after="156" w:afterLines="50" w:line="360" w:lineRule="auto"/>
        <w:ind w:firstLine="566" w:firstLineChars="236"/>
        <w:jc w:val="left"/>
        <w:rPr>
          <w:rFonts w:ascii="仿宋" w:hAnsi="仿宋" w:eastAsia="仿宋" w:cs="仿宋"/>
          <w:b/>
          <w:bCs/>
          <w:color w:val="auto"/>
          <w:sz w:val="52"/>
          <w:szCs w:val="52"/>
          <w:highlight w:val="none"/>
        </w:rPr>
      </w:pPr>
      <w:r>
        <w:rPr>
          <w:rFonts w:hint="eastAsia" w:ascii="仿宋" w:hAnsi="仿宋" w:eastAsia="仿宋" w:cs="仿宋"/>
          <w:color w:val="auto"/>
          <w:sz w:val="24"/>
          <w:highlight w:val="none"/>
        </w:rPr>
        <w:t>依照《中华人民共和国民法典》《中华人民共和国建筑法》《中华人民共和国招标投标法》及相关法律、行政法规，遵循平等、自愿、公平和诚信原则，合同双方就工程设计施工总承包事宜经协商一致，订立本合同。</w:t>
      </w:r>
    </w:p>
    <w:p w14:paraId="55F362B3">
      <w:pPr>
        <w:shd w:val="clea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rPr>
        <w:t>工程概况</w:t>
      </w:r>
    </w:p>
    <w:p w14:paraId="7764B040">
      <w:pPr>
        <w:shd w:val="clear"/>
        <w:adjustRightInd w:val="0"/>
        <w:snapToGrid w:val="0"/>
        <w:spacing w:line="360" w:lineRule="auto"/>
        <w:ind w:right="11" w:firstLine="480" w:firstLineChars="200"/>
        <w:rPr>
          <w:rFonts w:ascii="仿宋" w:hAnsi="仿宋" w:eastAsia="仿宋" w:cs="仿宋"/>
          <w:b w:val="0"/>
          <w:bCs w:val="0"/>
          <w:snapToGrid w:val="0"/>
          <w:color w:val="auto"/>
          <w:kern w:val="0"/>
          <w:sz w:val="24"/>
          <w:szCs w:val="24"/>
          <w:highlight w:val="none"/>
        </w:rPr>
      </w:pPr>
      <w:r>
        <w:rPr>
          <w:rFonts w:hint="eastAsia" w:ascii="仿宋" w:hAnsi="仿宋" w:eastAsia="仿宋" w:cs="仿宋"/>
          <w:bCs/>
          <w:snapToGrid w:val="0"/>
          <w:color w:val="auto"/>
          <w:kern w:val="0"/>
          <w:sz w:val="24"/>
          <w:highlight w:val="none"/>
        </w:rPr>
        <w:t>1.1工程名称：广州市白云区夏茅村城中村改造项目首开区安置地块项目城中村展示中心项目设计施工总承包（EPC）</w:t>
      </w:r>
      <w:r>
        <w:rPr>
          <w:rFonts w:hint="eastAsia" w:ascii="仿宋" w:hAnsi="仿宋" w:eastAsia="仿宋" w:cs="仿宋"/>
          <w:color w:val="auto"/>
          <w:sz w:val="24"/>
          <w:highlight w:val="none"/>
        </w:rPr>
        <w:t>。</w:t>
      </w:r>
    </w:p>
    <w:p w14:paraId="6320AB1F">
      <w:pPr>
        <w:shd w:val="clear"/>
        <w:adjustRightInd w:val="0"/>
        <w:snapToGrid w:val="0"/>
        <w:spacing w:line="360" w:lineRule="auto"/>
        <w:ind w:right="11" w:firstLine="480" w:firstLineChars="200"/>
        <w:rPr>
          <w:rFonts w:hint="eastAsia" w:ascii="仿宋" w:hAnsi="仿宋" w:eastAsia="仿宋" w:cs="仿宋"/>
          <w:b w:val="0"/>
          <w:bCs w:val="0"/>
          <w:snapToGrid w:val="0"/>
          <w:color w:val="auto"/>
          <w:kern w:val="0"/>
          <w:sz w:val="24"/>
          <w:szCs w:val="24"/>
          <w:highlight w:val="none"/>
          <w:u w:val="single"/>
        </w:rPr>
      </w:pPr>
      <w:r>
        <w:rPr>
          <w:rFonts w:hint="eastAsia" w:ascii="仿宋" w:hAnsi="仿宋" w:eastAsia="仿宋" w:cs="仿宋"/>
          <w:b w:val="0"/>
          <w:bCs w:val="0"/>
          <w:snapToGrid w:val="0"/>
          <w:color w:val="auto"/>
          <w:kern w:val="0"/>
          <w:sz w:val="24"/>
          <w:highlight w:val="none"/>
        </w:rPr>
        <w:t>1.2工程地点：</w:t>
      </w:r>
      <w:r>
        <w:rPr>
          <w:rFonts w:hint="eastAsia" w:ascii="仿宋" w:hAnsi="仿宋" w:eastAsia="仿宋" w:cs="仿宋"/>
          <w:snapToGrid w:val="0"/>
          <w:color w:val="auto"/>
          <w:kern w:val="0"/>
          <w:sz w:val="24"/>
          <w:highlight w:val="none"/>
        </w:rPr>
        <w:t>广州市白云区夏茅村夏茅军民街9号</w:t>
      </w:r>
      <w:r>
        <w:rPr>
          <w:rFonts w:hint="eastAsia" w:ascii="仿宋" w:hAnsi="仿宋" w:eastAsia="仿宋" w:cs="仿宋"/>
          <w:b w:val="0"/>
          <w:bCs w:val="0"/>
          <w:snapToGrid w:val="0"/>
          <w:color w:val="auto"/>
          <w:kern w:val="0"/>
          <w:sz w:val="24"/>
          <w:highlight w:val="none"/>
          <w:lang w:val="en-US" w:eastAsia="zh-CN"/>
        </w:rPr>
        <w:t>。</w:t>
      </w:r>
    </w:p>
    <w:p w14:paraId="7A2225BC">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1.3批准文号：</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w:t>
      </w:r>
    </w:p>
    <w:p w14:paraId="1C24E866">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1.4资金来源：</w:t>
      </w:r>
      <w:r>
        <w:rPr>
          <w:rFonts w:hint="eastAsia" w:ascii="仿宋" w:hAnsi="仿宋" w:eastAsia="仿宋" w:cs="仿宋"/>
          <w:bCs/>
          <w:snapToGrid w:val="0"/>
          <w:color w:val="auto"/>
          <w:kern w:val="0"/>
          <w:sz w:val="24"/>
          <w:highlight w:val="none"/>
          <w:u w:val="single"/>
        </w:rPr>
        <w:t>企业自筹资金</w:t>
      </w:r>
      <w:r>
        <w:rPr>
          <w:rFonts w:hint="eastAsia" w:ascii="仿宋" w:hAnsi="仿宋" w:eastAsia="仿宋" w:cs="仿宋"/>
          <w:bCs/>
          <w:snapToGrid w:val="0"/>
          <w:color w:val="auto"/>
          <w:kern w:val="0"/>
          <w:sz w:val="24"/>
          <w:highlight w:val="none"/>
        </w:rPr>
        <w:t>。</w:t>
      </w:r>
    </w:p>
    <w:p w14:paraId="1A25901F">
      <w:pPr>
        <w:shd w:val="clear"/>
        <w:adjustRightInd w:val="0"/>
        <w:snapToGrid w:val="0"/>
        <w:spacing w:line="360" w:lineRule="auto"/>
        <w:ind w:left="0" w:leftChars="0" w:right="11" w:firstLine="480" w:firstLineChars="200"/>
        <w:rPr>
          <w:rFonts w:hint="eastAsia" w:ascii="仿宋" w:hAnsi="仿宋" w:eastAsia="仿宋" w:cs="仿宋"/>
          <w:bCs/>
          <w:snapToGrid w:val="0"/>
          <w:color w:val="auto"/>
          <w:kern w:val="0"/>
          <w:sz w:val="24"/>
          <w:highlight w:val="none"/>
          <w:lang w:eastAsia="zh-CN"/>
          <w:woUserID w:val="0"/>
        </w:rPr>
      </w:pPr>
      <w:r>
        <w:rPr>
          <w:rFonts w:hint="eastAsia" w:ascii="仿宋" w:hAnsi="仿宋" w:eastAsia="仿宋" w:cs="仿宋"/>
          <w:bCs/>
          <w:snapToGrid w:val="0"/>
          <w:color w:val="auto"/>
          <w:kern w:val="0"/>
          <w:sz w:val="24"/>
          <w:highlight w:val="none"/>
          <w:lang w:eastAsia="zh"/>
          <w:woUserID w:val="0"/>
        </w:rPr>
        <w:t xml:space="preserve">1.5 </w:t>
      </w:r>
      <w:r>
        <w:rPr>
          <w:rFonts w:hint="eastAsia" w:ascii="仿宋" w:hAnsi="仿宋" w:eastAsia="仿宋" w:cs="仿宋"/>
          <w:bCs/>
          <w:snapToGrid w:val="0"/>
          <w:color w:val="auto"/>
          <w:kern w:val="0"/>
          <w:sz w:val="24"/>
          <w:highlight w:val="none"/>
          <w:lang w:eastAsia="zh-CN"/>
          <w:woUserID w:val="0"/>
        </w:rPr>
        <w:t xml:space="preserve">合同类型：□设计、采购、施工合同   </w:t>
      </w:r>
      <w:r>
        <w:rPr>
          <w:rFonts w:hint="eastAsia" w:ascii="仿宋" w:hAnsi="仿宋" w:eastAsia="仿宋" w:cs="仿宋"/>
          <w:bCs/>
          <w:snapToGrid w:val="0"/>
          <w:color w:val="auto"/>
          <w:kern w:val="0"/>
          <w:sz w:val="24"/>
          <w:highlight w:val="none"/>
          <w:lang w:eastAsia="zh-CN"/>
          <w:woUserID w:val="0"/>
        </w:rPr>
        <w:sym w:font="Wingdings 2" w:char="00A3"/>
      </w:r>
      <w:r>
        <w:rPr>
          <w:rFonts w:hint="eastAsia" w:ascii="仿宋" w:hAnsi="仿宋" w:eastAsia="仿宋" w:cs="仿宋"/>
          <w:bCs/>
          <w:snapToGrid w:val="0"/>
          <w:color w:val="auto"/>
          <w:kern w:val="0"/>
          <w:sz w:val="24"/>
          <w:highlight w:val="none"/>
          <w:lang w:eastAsia="zh-CN"/>
          <w:woUserID w:val="0"/>
        </w:rPr>
        <w:t>勘察、设计、施工合同</w:t>
      </w:r>
    </w:p>
    <w:p w14:paraId="19A71EDF">
      <w:pPr>
        <w:shd w:val="clear"/>
        <w:adjustRightInd w:val="0"/>
        <w:snapToGrid w:val="0"/>
        <w:spacing w:line="360" w:lineRule="auto"/>
        <w:ind w:left="0" w:leftChars="0" w:right="11" w:firstLine="2160" w:firstLineChars="900"/>
        <w:rPr>
          <w:rFonts w:hint="eastAsia" w:ascii="仿宋" w:hAnsi="仿宋" w:eastAsia="仿宋" w:cs="仿宋"/>
          <w:bCs/>
          <w:snapToGrid w:val="0"/>
          <w:color w:val="auto"/>
          <w:kern w:val="0"/>
          <w:sz w:val="24"/>
          <w:highlight w:val="none"/>
          <w:u w:val="none"/>
          <w:lang w:eastAsia="zh-CN"/>
          <w:woUserID w:val="0"/>
        </w:rPr>
      </w:pPr>
      <w:r>
        <w:rPr>
          <w:rFonts w:hint="eastAsia" w:ascii="仿宋" w:hAnsi="仿宋" w:eastAsia="仿宋" w:cs="仿宋"/>
          <w:bCs/>
          <w:snapToGrid w:val="0"/>
          <w:color w:val="auto"/>
          <w:kern w:val="0"/>
          <w:sz w:val="24"/>
          <w:highlight w:val="none"/>
          <w:lang w:eastAsia="zh-CN"/>
          <w:woUserID w:val="0"/>
        </w:rPr>
        <w:sym w:font="Wingdings 2" w:char="0052"/>
      </w:r>
      <w:r>
        <w:rPr>
          <w:rFonts w:hint="eastAsia" w:ascii="仿宋" w:hAnsi="仿宋" w:eastAsia="仿宋" w:cs="仿宋"/>
          <w:bCs/>
          <w:snapToGrid w:val="0"/>
          <w:color w:val="auto"/>
          <w:kern w:val="0"/>
          <w:sz w:val="24"/>
          <w:highlight w:val="none"/>
          <w:lang w:eastAsia="zh-CN"/>
          <w:woUserID w:val="0"/>
        </w:rPr>
        <w:t>设计、施工合同   □其它：</w:t>
      </w:r>
      <w:r>
        <w:rPr>
          <w:rFonts w:hint="eastAsia" w:ascii="仿宋" w:hAnsi="仿宋" w:eastAsia="仿宋" w:cs="仿宋"/>
          <w:bCs/>
          <w:snapToGrid w:val="0"/>
          <w:color w:val="auto"/>
          <w:kern w:val="0"/>
          <w:sz w:val="24"/>
          <w:highlight w:val="none"/>
          <w:u w:val="none"/>
          <w:lang w:eastAsia="zh-CN"/>
          <w:woUserID w:val="0"/>
        </w:rPr>
        <w:t xml:space="preserve">    /     </w:t>
      </w:r>
    </w:p>
    <w:p w14:paraId="58385DAA">
      <w:pPr>
        <w:shd w:val="clear"/>
        <w:adjustRightInd w:val="0"/>
        <w:snapToGrid w:val="0"/>
        <w:spacing w:line="360" w:lineRule="auto"/>
        <w:ind w:left="0" w:leftChars="0" w:right="11" w:firstLine="480" w:firstLineChars="200"/>
        <w:rPr>
          <w:rFonts w:hint="eastAsia" w:ascii="仿宋" w:hAnsi="仿宋" w:eastAsia="仿宋" w:cs="仿宋"/>
          <w:bCs/>
          <w:snapToGrid w:val="0"/>
          <w:color w:val="auto"/>
          <w:kern w:val="0"/>
          <w:sz w:val="24"/>
          <w:highlight w:val="none"/>
          <w:lang w:eastAsia="zh-CN"/>
          <w:woUserID w:val="0"/>
        </w:rPr>
      </w:pPr>
      <w:r>
        <w:rPr>
          <w:rFonts w:hint="eastAsia" w:ascii="仿宋" w:hAnsi="仿宋" w:eastAsia="仿宋" w:cs="仿宋"/>
          <w:bCs/>
          <w:snapToGrid w:val="0"/>
          <w:color w:val="auto"/>
          <w:kern w:val="0"/>
          <w:sz w:val="24"/>
          <w:highlight w:val="none"/>
          <w:lang w:eastAsia="zh"/>
          <w:woUserID w:val="0"/>
        </w:rPr>
        <w:t>1.6</w:t>
      </w:r>
      <w:r>
        <w:rPr>
          <w:rFonts w:hint="eastAsia" w:ascii="仿宋" w:hAnsi="仿宋" w:eastAsia="仿宋" w:cs="仿宋"/>
          <w:bCs/>
          <w:snapToGrid w:val="0"/>
          <w:color w:val="auto"/>
          <w:kern w:val="0"/>
          <w:sz w:val="24"/>
          <w:highlight w:val="none"/>
          <w:lang w:eastAsia="zh-CN"/>
          <w:woUserID w:val="0"/>
        </w:rPr>
        <w:t>合同签订阶段：</w:t>
      </w:r>
      <w:r>
        <w:rPr>
          <w:rFonts w:hint="eastAsia" w:ascii="仿宋" w:hAnsi="仿宋" w:eastAsia="仿宋" w:cs="仿宋"/>
          <w:bCs/>
          <w:snapToGrid w:val="0"/>
          <w:color w:val="auto"/>
          <w:kern w:val="0"/>
          <w:sz w:val="24"/>
          <w:highlight w:val="none"/>
          <w:lang w:eastAsia="zh-CN"/>
          <w:woUserID w:val="1"/>
        </w:rPr>
        <w:sym w:font="Wingdings 2" w:char="0052"/>
      </w:r>
      <w:r>
        <w:rPr>
          <w:rFonts w:hint="eastAsia" w:ascii="仿宋" w:hAnsi="仿宋" w:eastAsia="仿宋" w:cs="仿宋"/>
          <w:bCs/>
          <w:snapToGrid w:val="0"/>
          <w:color w:val="auto"/>
          <w:kern w:val="0"/>
          <w:sz w:val="24"/>
          <w:highlight w:val="none"/>
          <w:lang w:eastAsia="zh-CN"/>
          <w:woUserID w:val="0"/>
        </w:rPr>
        <w:t>可行性研究批准立项或者备案后</w:t>
      </w:r>
    </w:p>
    <w:p w14:paraId="2E15BC4B">
      <w:pPr>
        <w:shd w:val="clear"/>
        <w:adjustRightInd w:val="0"/>
        <w:snapToGrid w:val="0"/>
        <w:spacing w:line="360" w:lineRule="auto"/>
        <w:ind w:left="0" w:leftChars="0" w:right="11" w:firstLine="2640" w:firstLineChars="1100"/>
        <w:rPr>
          <w:rFonts w:hint="eastAsia" w:ascii="仿宋" w:hAnsi="仿宋" w:eastAsia="仿宋" w:cs="仿宋"/>
          <w:bCs/>
          <w:snapToGrid w:val="0"/>
          <w:color w:val="auto"/>
          <w:kern w:val="0"/>
          <w:sz w:val="24"/>
          <w:highlight w:val="none"/>
          <w:lang w:eastAsia="zh-CN"/>
          <w:woUserID w:val="0"/>
        </w:rPr>
      </w:pPr>
      <w:r>
        <w:rPr>
          <w:rFonts w:hint="eastAsia" w:ascii="仿宋" w:hAnsi="仿宋" w:eastAsia="仿宋" w:cs="仿宋"/>
          <w:bCs/>
          <w:snapToGrid w:val="0"/>
          <w:color w:val="auto"/>
          <w:kern w:val="0"/>
          <w:sz w:val="24"/>
          <w:highlight w:val="none"/>
          <w:lang w:eastAsia="zh-CN"/>
          <w:woUserID w:val="0"/>
        </w:rPr>
        <w:t>□初步设计批准后</w:t>
      </w:r>
    </w:p>
    <w:p w14:paraId="1EF89E2B">
      <w:pPr>
        <w:shd w:val="clear"/>
        <w:adjustRightInd w:val="0"/>
        <w:snapToGrid w:val="0"/>
        <w:spacing w:line="360" w:lineRule="auto"/>
        <w:ind w:left="0" w:leftChars="0" w:right="11" w:firstLine="2640" w:firstLineChars="1100"/>
        <w:rPr>
          <w:rFonts w:hint="eastAsia" w:ascii="仿宋" w:hAnsi="仿宋" w:eastAsia="仿宋" w:cs="仿宋"/>
          <w:bCs/>
          <w:snapToGrid w:val="0"/>
          <w:color w:val="auto"/>
          <w:kern w:val="0"/>
          <w:sz w:val="24"/>
          <w:highlight w:val="none"/>
          <w:lang w:eastAsia="zh-CN"/>
          <w:woUserID w:val="0"/>
        </w:rPr>
      </w:pPr>
      <w:r>
        <w:rPr>
          <w:rFonts w:hint="eastAsia" w:ascii="仿宋" w:hAnsi="仿宋" w:eastAsia="仿宋" w:cs="仿宋"/>
          <w:bCs/>
          <w:snapToGrid w:val="0"/>
          <w:color w:val="auto"/>
          <w:kern w:val="0"/>
          <w:sz w:val="24"/>
          <w:highlight w:val="none"/>
          <w:lang w:eastAsia="zh-CN"/>
          <w:woUserID w:val="0"/>
        </w:rPr>
        <w:t>□其它阶段：</w:t>
      </w:r>
      <w:r>
        <w:rPr>
          <w:rFonts w:hint="eastAsia" w:ascii="仿宋" w:hAnsi="仿宋" w:eastAsia="仿宋" w:cs="仿宋"/>
          <w:bCs/>
          <w:snapToGrid w:val="0"/>
          <w:color w:val="auto"/>
          <w:kern w:val="0"/>
          <w:sz w:val="24"/>
          <w:highlight w:val="none"/>
          <w:u w:val="none"/>
          <w:lang w:eastAsia="zh-CN"/>
          <w:woUserID w:val="0"/>
        </w:rPr>
        <w:t xml:space="preserve">         </w:t>
      </w:r>
    </w:p>
    <w:p w14:paraId="33FB20F8">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hint="eastAsia" w:ascii="仿宋" w:hAnsi="仿宋" w:eastAsia="仿宋" w:cs="仿宋"/>
          <w:bCs/>
          <w:snapToGrid w:val="0"/>
          <w:color w:val="auto"/>
          <w:kern w:val="0"/>
          <w:sz w:val="24"/>
          <w:highlight w:val="none"/>
          <w:lang w:eastAsia="zh"/>
          <w:woUserID w:val="1"/>
        </w:rPr>
        <w:t>7</w:t>
      </w:r>
      <w:r>
        <w:rPr>
          <w:rFonts w:hint="eastAsia" w:ascii="仿宋" w:hAnsi="仿宋" w:eastAsia="仿宋" w:cs="仿宋"/>
          <w:bCs/>
          <w:snapToGrid w:val="0"/>
          <w:color w:val="auto"/>
          <w:kern w:val="0"/>
          <w:sz w:val="24"/>
          <w:highlight w:val="none"/>
        </w:rPr>
        <w:t>工程规模：本项目为广州市白云区夏茅村城中村改造项目首开区安置地块项目城中村展示中心项目，</w:t>
      </w:r>
      <w:r>
        <w:rPr>
          <w:rFonts w:hint="eastAsia" w:ascii="仿宋" w:hAnsi="仿宋" w:eastAsia="仿宋" w:cs="仿宋"/>
          <w:bCs/>
          <w:snapToGrid w:val="0"/>
          <w:color w:val="auto"/>
          <w:kern w:val="0"/>
          <w:sz w:val="24"/>
          <w:highlight w:val="none"/>
          <w:lang w:val="en-US" w:eastAsia="zh-CN"/>
        </w:rPr>
        <w:t>改造区域建筑面积</w:t>
      </w:r>
      <w:r>
        <w:rPr>
          <w:rFonts w:hint="eastAsia" w:ascii="仿宋" w:hAnsi="仿宋" w:eastAsia="仿宋" w:cs="仿宋"/>
          <w:bCs/>
          <w:snapToGrid w:val="0"/>
          <w:color w:val="auto"/>
          <w:kern w:val="0"/>
          <w:sz w:val="24"/>
          <w:highlight w:val="none"/>
        </w:rPr>
        <w:t>约</w:t>
      </w:r>
      <w:r>
        <w:rPr>
          <w:rFonts w:hint="eastAsia" w:ascii="仿宋" w:hAnsi="仿宋" w:eastAsia="仿宋" w:cs="仿宋"/>
          <w:bCs/>
          <w:snapToGrid w:val="0"/>
          <w:color w:val="auto"/>
          <w:kern w:val="0"/>
          <w:sz w:val="24"/>
          <w:highlight w:val="none"/>
          <w:lang w:val="en-US" w:eastAsia="zh-CN"/>
        </w:rPr>
        <w:t>580</w:t>
      </w:r>
      <w:r>
        <w:rPr>
          <w:rFonts w:hint="eastAsia" w:ascii="仿宋" w:hAnsi="仿宋" w:eastAsia="仿宋" w:cs="仿宋"/>
          <w:bCs/>
          <w:snapToGrid w:val="0"/>
          <w:color w:val="auto"/>
          <w:kern w:val="0"/>
          <w:sz w:val="24"/>
          <w:highlight w:val="none"/>
        </w:rPr>
        <w:t>m²。改造范围涵盖大楼的</w:t>
      </w:r>
      <w:r>
        <w:rPr>
          <w:rFonts w:hint="eastAsia" w:ascii="仿宋" w:hAnsi="仿宋" w:eastAsia="仿宋" w:cs="仿宋"/>
          <w:bCs/>
          <w:snapToGrid w:val="0"/>
          <w:color w:val="auto"/>
          <w:kern w:val="0"/>
          <w:sz w:val="24"/>
          <w:highlight w:val="none"/>
          <w:lang w:eastAsia="zh"/>
          <w:woUserID w:val="1"/>
        </w:rPr>
        <w:t>一楼</w:t>
      </w:r>
      <w:r>
        <w:rPr>
          <w:rFonts w:hint="eastAsia" w:ascii="仿宋" w:hAnsi="仿宋" w:eastAsia="仿宋" w:cs="仿宋"/>
          <w:bCs/>
          <w:snapToGrid w:val="0"/>
          <w:color w:val="auto"/>
          <w:kern w:val="0"/>
          <w:sz w:val="24"/>
          <w:highlight w:val="none"/>
          <w:lang w:val="en-US" w:eastAsia="zh-CN"/>
          <w:woUserID w:val="1"/>
        </w:rPr>
        <w:t>室内</w:t>
      </w:r>
      <w:r>
        <w:rPr>
          <w:rFonts w:hint="eastAsia" w:ascii="仿宋" w:hAnsi="仿宋" w:eastAsia="仿宋" w:cs="仿宋"/>
          <w:bCs/>
          <w:snapToGrid w:val="0"/>
          <w:color w:val="auto"/>
          <w:kern w:val="0"/>
          <w:sz w:val="24"/>
          <w:highlight w:val="none"/>
          <w:lang w:eastAsia="zh"/>
          <w:woUserID w:val="1"/>
        </w:rPr>
        <w:t>展厅（含</w:t>
      </w:r>
      <w:r>
        <w:rPr>
          <w:rFonts w:hint="eastAsia" w:ascii="仿宋" w:hAnsi="仿宋" w:eastAsia="仿宋" w:cs="仿宋"/>
          <w:bCs/>
          <w:snapToGrid w:val="0"/>
          <w:color w:val="auto"/>
          <w:kern w:val="0"/>
          <w:sz w:val="24"/>
          <w:highlight w:val="none"/>
          <w:lang w:val="en-US" w:eastAsia="zh-CN"/>
          <w:woUserID w:val="1"/>
        </w:rPr>
        <w:t>室内</w:t>
      </w:r>
      <w:r>
        <w:rPr>
          <w:rFonts w:hint="eastAsia" w:ascii="仿宋" w:hAnsi="仿宋" w:eastAsia="仿宋" w:cs="仿宋"/>
          <w:bCs/>
          <w:snapToGrid w:val="0"/>
          <w:color w:val="auto"/>
          <w:kern w:val="0"/>
          <w:sz w:val="24"/>
          <w:highlight w:val="none"/>
          <w:lang w:eastAsia="zh"/>
          <w:woUserID w:val="1"/>
        </w:rPr>
        <w:t>装修、安装工程、</w:t>
      </w:r>
      <w:r>
        <w:rPr>
          <w:rFonts w:hint="eastAsia" w:ascii="仿宋" w:hAnsi="仿宋" w:eastAsia="仿宋" w:cs="仿宋"/>
          <w:iCs/>
          <w:strike w:val="0"/>
          <w:color w:val="auto"/>
          <w:kern w:val="0"/>
          <w:sz w:val="24"/>
          <w:szCs w:val="24"/>
          <w:highlight w:val="none"/>
          <w:woUserID w:val="1"/>
        </w:rPr>
        <w:t>沙盘、展陈物料、设备及安装数字内容策划及制作</w:t>
      </w:r>
      <w:r>
        <w:rPr>
          <w:rFonts w:hint="eastAsia" w:ascii="仿宋" w:hAnsi="仿宋" w:eastAsia="仿宋" w:cs="仿宋"/>
          <w:iCs/>
          <w:strike w:val="0"/>
          <w:color w:val="auto"/>
          <w:kern w:val="0"/>
          <w:sz w:val="24"/>
          <w:szCs w:val="24"/>
          <w:highlight w:val="none"/>
          <w:lang w:eastAsia="zh"/>
          <w:woUserID w:val="1"/>
        </w:rPr>
        <w:t>等</w:t>
      </w:r>
      <w:r>
        <w:rPr>
          <w:rFonts w:hint="eastAsia" w:ascii="仿宋" w:hAnsi="仿宋" w:eastAsia="仿宋" w:cs="仿宋"/>
          <w:bCs/>
          <w:snapToGrid w:val="0"/>
          <w:color w:val="auto"/>
          <w:kern w:val="0"/>
          <w:sz w:val="24"/>
          <w:highlight w:val="none"/>
          <w:lang w:eastAsia="zh"/>
          <w:woUserID w:val="1"/>
        </w:rPr>
        <w:t>）</w:t>
      </w:r>
      <w:r>
        <w:rPr>
          <w:rFonts w:hint="eastAsia" w:ascii="仿宋" w:hAnsi="仿宋" w:eastAsia="仿宋" w:cs="仿宋"/>
          <w:bCs/>
          <w:snapToGrid w:val="0"/>
          <w:color w:val="auto"/>
          <w:kern w:val="0"/>
          <w:sz w:val="24"/>
          <w:highlight w:val="none"/>
        </w:rPr>
        <w:t>、建筑</w:t>
      </w:r>
      <w:r>
        <w:rPr>
          <w:rFonts w:hint="eastAsia" w:ascii="仿宋" w:hAnsi="仿宋" w:eastAsia="仿宋" w:cs="仿宋"/>
          <w:bCs/>
          <w:snapToGrid w:val="0"/>
          <w:color w:val="auto"/>
          <w:kern w:val="0"/>
          <w:sz w:val="24"/>
          <w:highlight w:val="none"/>
          <w:lang w:eastAsia="zh"/>
          <w:woUserID w:val="1"/>
        </w:rPr>
        <w:t>全部</w:t>
      </w:r>
      <w:r>
        <w:rPr>
          <w:rFonts w:hint="eastAsia" w:ascii="仿宋" w:hAnsi="仿宋" w:eastAsia="仿宋" w:cs="仿宋"/>
          <w:bCs/>
          <w:snapToGrid w:val="0"/>
          <w:color w:val="auto"/>
          <w:kern w:val="0"/>
          <w:sz w:val="24"/>
          <w:highlight w:val="none"/>
        </w:rPr>
        <w:t>外立面</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lang w:val="en-US" w:eastAsia="zh-CN"/>
        </w:rPr>
        <w:t>含旧围墙拆除新建、外立面改造等）</w:t>
      </w:r>
      <w:r>
        <w:rPr>
          <w:rFonts w:hint="eastAsia" w:ascii="仿宋" w:hAnsi="仿宋" w:eastAsia="仿宋" w:cs="仿宋"/>
          <w:bCs/>
          <w:snapToGrid w:val="0"/>
          <w:color w:val="auto"/>
          <w:kern w:val="0"/>
          <w:sz w:val="24"/>
          <w:highlight w:val="none"/>
        </w:rPr>
        <w:t>及室外广场</w:t>
      </w:r>
      <w:r>
        <w:rPr>
          <w:rFonts w:hint="eastAsia" w:ascii="仿宋" w:hAnsi="仿宋" w:eastAsia="仿宋" w:cs="仿宋"/>
          <w:bCs/>
          <w:snapToGrid w:val="0"/>
          <w:color w:val="auto"/>
          <w:kern w:val="0"/>
          <w:sz w:val="24"/>
          <w:highlight w:val="none"/>
          <w:lang w:eastAsia="zh"/>
          <w:woUserID w:val="1"/>
        </w:rPr>
        <w:t>（含停车场、绿化等）等</w:t>
      </w:r>
      <w:r>
        <w:rPr>
          <w:rFonts w:hint="eastAsia" w:ascii="仿宋" w:hAnsi="仿宋" w:eastAsia="仿宋" w:cs="仿宋"/>
          <w:bCs/>
          <w:snapToGrid w:val="0"/>
          <w:color w:val="auto"/>
          <w:kern w:val="0"/>
          <w:sz w:val="24"/>
          <w:highlight w:val="none"/>
        </w:rPr>
        <w:t>。建筑高度为21.4m。（最终建设规模及指标以控规批复方案为准）</w:t>
      </w:r>
    </w:p>
    <w:p w14:paraId="7DE766D9">
      <w:pPr>
        <w:numPr>
          <w:ilvl w:val="0"/>
          <w:numId w:val="0"/>
        </w:numPr>
        <w:shd w:val="clear"/>
        <w:adjustRightInd w:val="0"/>
        <w:snapToGrid w:val="0"/>
        <w:spacing w:line="360" w:lineRule="auto"/>
        <w:ind w:right="11" w:rightChars="0"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（1）城市展厅，位于一楼，设计面积约580m²，具备项目宣传、学术交流、智能建造、CIM演示、宜居展示等功能、VIP接待，具备政务接待、会务功能等功能；</w:t>
      </w:r>
    </w:p>
    <w:p w14:paraId="0A2FBDCB">
      <w:pPr>
        <w:numPr>
          <w:ilvl w:val="0"/>
          <w:numId w:val="0"/>
        </w:numPr>
        <w:shd w:val="clear"/>
        <w:adjustRightInd w:val="0"/>
        <w:snapToGrid w:val="0"/>
        <w:spacing w:line="360" w:lineRule="auto"/>
        <w:ind w:right="11" w:rightChars="0"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注：室内设计面积为室内套内面积，最终以甲方确认的设计方案和概算范围为准。</w:t>
      </w:r>
    </w:p>
    <w:p w14:paraId="3CD1FE94">
      <w:pPr>
        <w:numPr>
          <w:ilvl w:val="0"/>
          <w:numId w:val="0"/>
        </w:numPr>
        <w:shd w:val="clear"/>
        <w:adjustRightInd w:val="0"/>
        <w:snapToGrid w:val="0"/>
        <w:spacing w:line="360" w:lineRule="auto"/>
        <w:ind w:right="11" w:rightChars="0"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（2）建筑外立面设计面积约3360m²，设计范围为大楼的四个外立面改造；</w:t>
      </w:r>
    </w:p>
    <w:p w14:paraId="0FD8A731">
      <w:pPr>
        <w:numPr>
          <w:ilvl w:val="0"/>
          <w:numId w:val="0"/>
        </w:numPr>
        <w:shd w:val="clear"/>
        <w:adjustRightInd w:val="0"/>
        <w:snapToGrid w:val="0"/>
        <w:spacing w:line="360" w:lineRule="auto"/>
        <w:ind w:right="11" w:rightChars="0"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（3）室外广场，设计面积约3253m²，设计范围为一楼室外空间，空间具备功能：室外广场、停车场、围墙、绿化及岗亭等功能。</w:t>
      </w:r>
    </w:p>
    <w:p w14:paraId="4FF11915">
      <w:pPr>
        <w:numPr>
          <w:ilvl w:val="0"/>
          <w:numId w:val="0"/>
        </w:numPr>
        <w:shd w:val="clear"/>
        <w:adjustRightInd w:val="0"/>
        <w:snapToGrid w:val="0"/>
        <w:spacing w:line="360" w:lineRule="auto"/>
        <w:ind w:right="11" w:rightChars="0" w:firstLine="480" w:firstLineChars="200"/>
        <w:rPr>
          <w:rFonts w:hint="default" w:ascii="仿宋" w:hAnsi="仿宋" w:eastAsia="仿宋" w:cs="仿宋"/>
          <w:bCs/>
          <w:snapToGrid w:val="0"/>
          <w:color w:val="auto"/>
          <w:kern w:val="0"/>
          <w:sz w:val="24"/>
          <w:highlight w:val="none"/>
          <w:lang w:val="en-US" w:eastAsia="zh-CN"/>
        </w:rPr>
      </w:pPr>
      <w:r>
        <w:rPr>
          <w:rFonts w:hint="default" w:ascii="仿宋" w:hAnsi="仿宋" w:eastAsia="仿宋" w:cs="仿宋"/>
          <w:bCs/>
          <w:snapToGrid w:val="0"/>
          <w:color w:val="auto"/>
          <w:kern w:val="0"/>
          <w:sz w:val="24"/>
          <w:highlight w:val="none"/>
          <w:lang w:val="en-US" w:eastAsia="zh-CN"/>
        </w:rPr>
        <w:t>注：面积及功能最终以甲方确认的设计方案和概算范围为准。</w:t>
      </w:r>
    </w:p>
    <w:p w14:paraId="7E230938">
      <w:pPr>
        <w:shd w:val="clear"/>
        <w:adjustRightInd w:val="0"/>
        <w:snapToGrid w:val="0"/>
        <w:spacing w:line="360" w:lineRule="auto"/>
        <w:ind w:right="11" w:firstLine="482" w:firstLineChars="200"/>
        <w:rPr>
          <w:rFonts w:hint="eastAsia" w:ascii="仿宋" w:hAnsi="仿宋" w:eastAsia="仿宋" w:cs="仿宋"/>
          <w:b/>
          <w:bCs/>
          <w:snapToGrid w:val="0"/>
          <w:color w:val="auto"/>
          <w:kern w:val="0"/>
          <w:sz w:val="24"/>
          <w:highlight w:val="none"/>
          <w:lang w:eastAsia="zh-CN"/>
        </w:rPr>
      </w:pPr>
      <w:r>
        <w:rPr>
          <w:rFonts w:hint="eastAsia" w:ascii="仿宋" w:hAnsi="仿宋" w:eastAsia="仿宋" w:cs="仿宋"/>
          <w:b/>
          <w:bCs/>
          <w:snapToGrid w:val="0"/>
          <w:color w:val="auto"/>
          <w:kern w:val="0"/>
          <w:sz w:val="24"/>
          <w:highlight w:val="none"/>
          <w:lang w:val="en-US" w:eastAsia="zh-CN"/>
        </w:rPr>
        <w:t>2.</w:t>
      </w:r>
      <w:r>
        <w:rPr>
          <w:rFonts w:hint="eastAsia" w:ascii="仿宋" w:hAnsi="仿宋" w:eastAsia="仿宋" w:cs="仿宋"/>
          <w:b/>
          <w:bCs/>
          <w:snapToGrid w:val="0"/>
          <w:color w:val="auto"/>
          <w:kern w:val="0"/>
          <w:sz w:val="24"/>
          <w:highlight w:val="none"/>
          <w:lang w:eastAsia="zh-CN"/>
        </w:rPr>
        <w:t>承包范围、承包方式和投资控制</w:t>
      </w:r>
    </w:p>
    <w:p w14:paraId="610D9D95">
      <w:pPr>
        <w:pStyle w:val="6"/>
        <w:shd w:val="clear"/>
        <w:spacing w:line="360" w:lineRule="auto"/>
        <w:ind w:firstLine="0" w:firstLineChars="0"/>
        <w:rPr>
          <w:rFonts w:ascii="仿宋" w:hAnsi="仿宋" w:eastAsia="仿宋" w:cs="仿宋"/>
          <w:iCs/>
          <w:color w:val="auto"/>
          <w:kern w:val="0"/>
          <w:highlight w:val="none"/>
        </w:rPr>
      </w:pPr>
      <w:r>
        <w:rPr>
          <w:rFonts w:hint="eastAsia" w:ascii="仿宋" w:hAnsi="仿宋" w:eastAsia="仿宋" w:cs="仿宋"/>
          <w:bCs/>
          <w:snapToGrid w:val="0"/>
          <w:color w:val="auto"/>
          <w:kern w:val="0"/>
          <w:szCs w:val="22"/>
          <w:highlight w:val="none"/>
        </w:rPr>
        <w:t xml:space="preserve">    2</w:t>
      </w:r>
      <w:r>
        <w:rPr>
          <w:rFonts w:hint="eastAsia" w:ascii="仿宋" w:hAnsi="仿宋" w:eastAsia="仿宋" w:cs="仿宋"/>
          <w:iCs/>
          <w:color w:val="auto"/>
          <w:kern w:val="0"/>
          <w:highlight w:val="none"/>
        </w:rPr>
        <w:t>.1承包范围</w:t>
      </w:r>
    </w:p>
    <w:p w14:paraId="4EF253B5">
      <w:pPr>
        <w:shd w:val="clear"/>
        <w:adjustRightInd w:val="0"/>
        <w:snapToGrid w:val="0"/>
        <w:spacing w:line="360" w:lineRule="auto"/>
        <w:ind w:right="11" w:firstLine="480" w:firstLineChars="200"/>
        <w:rPr>
          <w:rFonts w:ascii="仿宋" w:hAnsi="仿宋" w:eastAsia="仿宋" w:cs="仿宋"/>
          <w:color w:val="auto"/>
          <w:kern w:val="0"/>
          <w:sz w:val="24"/>
          <w:szCs w:val="24"/>
          <w:highlight w:val="none"/>
          <w:u w:val="single"/>
        </w:rPr>
      </w:pPr>
      <w:r>
        <w:rPr>
          <w:rFonts w:hint="eastAsia" w:ascii="仿宋" w:hAnsi="仿宋" w:eastAsia="仿宋" w:cs="仿宋"/>
          <w:iCs/>
          <w:color w:val="auto"/>
          <w:kern w:val="0"/>
          <w:sz w:val="24"/>
          <w:szCs w:val="24"/>
          <w:highlight w:val="none"/>
        </w:rPr>
        <w:t>根据</w:t>
      </w:r>
      <w:r>
        <w:rPr>
          <w:rFonts w:hint="eastAsia" w:ascii="仿宋" w:hAnsi="仿宋" w:eastAsia="仿宋" w:cs="仿宋"/>
          <w:color w:val="auto"/>
          <w:sz w:val="24"/>
          <w:szCs w:val="24"/>
          <w:highlight w:val="none"/>
        </w:rPr>
        <w:t>发包人基础资料和工程管理要求，</w:t>
      </w:r>
      <w:r>
        <w:rPr>
          <w:rFonts w:hint="eastAsia" w:ascii="仿宋" w:hAnsi="仿宋" w:eastAsia="仿宋" w:cs="仿宋"/>
          <w:color w:val="auto"/>
          <w:sz w:val="24"/>
          <w:szCs w:val="24"/>
          <w:highlight w:val="none"/>
          <w:lang w:eastAsia="zh-CN"/>
        </w:rPr>
        <w:t>完成</w:t>
      </w:r>
      <w:r>
        <w:rPr>
          <w:rFonts w:hint="eastAsia" w:ascii="仿宋" w:hAnsi="仿宋" w:eastAsia="仿宋" w:cs="仿宋"/>
          <w:color w:val="auto"/>
          <w:sz w:val="24"/>
          <w:szCs w:val="24"/>
          <w:highlight w:val="none"/>
        </w:rPr>
        <w:t>后续设计、施工、工程竣工验收及合同结算、工程整体移交、工程保修期内的缺陷修复等。</w:t>
      </w:r>
      <w:r>
        <w:rPr>
          <w:rFonts w:hint="eastAsia" w:ascii="仿宋" w:hAnsi="仿宋" w:eastAsia="仿宋" w:cs="仿宋"/>
          <w:color w:val="auto"/>
          <w:sz w:val="24"/>
          <w:highlight w:val="none"/>
          <w:u w:val="single"/>
        </w:rPr>
        <w:t>具体以发包人确认的施工图及工程量清单、工作委托单、竣工图为准等</w:t>
      </w:r>
      <w:r>
        <w:rPr>
          <w:rFonts w:hint="eastAsia" w:ascii="仿宋" w:hAnsi="仿宋" w:eastAsia="仿宋" w:cs="仿宋"/>
          <w:color w:val="auto"/>
          <w:kern w:val="0"/>
          <w:sz w:val="24"/>
          <w:szCs w:val="24"/>
          <w:highlight w:val="none"/>
          <w:u w:val="single"/>
        </w:rPr>
        <w:t>工作，包括但不限于以下内容：</w:t>
      </w:r>
    </w:p>
    <w:p w14:paraId="3998DC71">
      <w:pPr>
        <w:shd w:val="clear"/>
        <w:spacing w:line="360" w:lineRule="auto"/>
        <w:ind w:firstLine="480" w:firstLineChars="200"/>
        <w:rPr>
          <w:rFonts w:ascii="仿宋" w:hAnsi="仿宋" w:eastAsia="仿宋" w:cs="仿宋"/>
          <w:iCs/>
          <w:color w:val="auto"/>
          <w:kern w:val="0"/>
          <w:sz w:val="24"/>
          <w:szCs w:val="24"/>
          <w:highlight w:val="none"/>
        </w:rPr>
      </w:pPr>
      <w:r>
        <w:rPr>
          <w:rFonts w:hint="eastAsia" w:ascii="仿宋" w:hAnsi="仿宋" w:eastAsia="仿宋" w:cs="仿宋"/>
          <w:iCs/>
          <w:color w:val="auto"/>
          <w:kern w:val="0"/>
          <w:sz w:val="24"/>
          <w:szCs w:val="24"/>
          <w:highlight w:val="none"/>
        </w:rPr>
        <w:t>2.1.1设计部分：</w:t>
      </w:r>
    </w:p>
    <w:p w14:paraId="77D0286C">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根据项目基础资料、设计任务书及工程管理要求，承担本项目范围内：各专业工程方案设计、初步设计、概算编制（要达到预算深度，待图纸稳定后承包人应根据广州市和白云区概算编审的规定及合同约定的概算编制依据及深度正式上报纸质版概算至相关主管部门处审核，概算需符合限额设计的要求）、施工图设计、完整版施工图编制、完成施工深化图纸的确认并加盖审核章、配合完成工程验收和配合完成竣工图审核盖章（含验收通过）等、设计变更（含其造价分析）及现场技术指导等的，范围包括但不限于：</w:t>
      </w:r>
    </w:p>
    <w:p w14:paraId="43273A20">
      <w:pPr>
        <w:numPr>
          <w:ilvl w:val="0"/>
          <w:numId w:val="1"/>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主项设计：一楼室内展厅（含装修、安装工程、沙盘、展陈物料、设备及安装数字内容策划及制作等）、建筑外立面及室外广场（含停车场、绿化等）等的设计及其对应的深化施工图设计（包括机电专业）。</w:t>
      </w:r>
      <w:r>
        <w:rPr>
          <w:rFonts w:hint="eastAsia" w:ascii="仿宋" w:hAnsi="仿宋" w:eastAsia="仿宋" w:cs="仿宋"/>
          <w:iCs/>
          <w:color w:val="auto"/>
          <w:kern w:val="0"/>
          <w:sz w:val="24"/>
          <w:szCs w:val="24"/>
          <w:highlight w:val="none"/>
          <w:lang w:val="en-US" w:eastAsia="zh-CN"/>
          <w:woUserID w:val="1"/>
        </w:rPr>
        <w:t>其中各项主要设计内容包括但不限于：</w:t>
      </w:r>
    </w:p>
    <w:p w14:paraId="2349DF4D">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lang w:val="en-US"/>
          <w:woUserID w:val="1"/>
        </w:rPr>
      </w:pPr>
      <w:r>
        <w:rPr>
          <w:rFonts w:hint="eastAsia" w:ascii="仿宋" w:hAnsi="仿宋" w:eastAsia="仿宋" w:cs="仿宋"/>
          <w:iCs/>
          <w:color w:val="auto"/>
          <w:kern w:val="0"/>
          <w:sz w:val="24"/>
          <w:szCs w:val="24"/>
          <w:highlight w:val="none"/>
          <w:lang w:val="en-US" w:eastAsia="zh-CN"/>
          <w:woUserID w:val="1"/>
        </w:rPr>
        <w:t>1）</w:t>
      </w:r>
      <w:r>
        <w:rPr>
          <w:rFonts w:hint="eastAsia" w:ascii="仿宋" w:hAnsi="仿宋" w:eastAsia="仿宋" w:cs="仿宋"/>
          <w:iCs/>
          <w:color w:val="auto"/>
          <w:kern w:val="0"/>
          <w:sz w:val="24"/>
          <w:szCs w:val="24"/>
          <w:highlight w:val="none"/>
          <w:woUserID w:val="1"/>
        </w:rPr>
        <w:t>一楼室内展厅</w:t>
      </w:r>
      <w:r>
        <w:rPr>
          <w:rFonts w:hint="eastAsia" w:ascii="仿宋" w:hAnsi="仿宋" w:eastAsia="仿宋" w:cs="仿宋"/>
          <w:iCs/>
          <w:color w:val="auto"/>
          <w:kern w:val="0"/>
          <w:sz w:val="24"/>
          <w:szCs w:val="24"/>
          <w:highlight w:val="none"/>
          <w:lang w:val="en-US" w:eastAsia="zh-CN"/>
          <w:woUserID w:val="1"/>
        </w:rPr>
        <w:t>展厅：</w:t>
      </w:r>
    </w:p>
    <w:p w14:paraId="12343B25">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a.</w:t>
      </w:r>
      <w:r>
        <w:rPr>
          <w:rFonts w:hint="eastAsia" w:ascii="仿宋" w:hAnsi="仿宋" w:eastAsia="仿宋" w:cs="仿宋"/>
          <w:iCs/>
          <w:color w:val="auto"/>
          <w:kern w:val="0"/>
          <w:sz w:val="24"/>
          <w:szCs w:val="24"/>
          <w:highlight w:val="none"/>
          <w:woUserID w:val="1"/>
        </w:rPr>
        <w:t>动线设计：设计科学合理的参观流线，引导观众按预设路径参观，避免重复或遗漏。</w:t>
      </w:r>
    </w:p>
    <w:p w14:paraId="682A3973">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b.</w:t>
      </w:r>
      <w:r>
        <w:rPr>
          <w:rFonts w:hint="eastAsia" w:ascii="仿宋" w:hAnsi="仿宋" w:eastAsia="仿宋" w:cs="仿宋"/>
          <w:iCs/>
          <w:color w:val="auto"/>
          <w:kern w:val="0"/>
          <w:sz w:val="24"/>
          <w:szCs w:val="24"/>
          <w:highlight w:val="none"/>
          <w:woUserID w:val="1"/>
        </w:rPr>
        <w:t>平面布局：根据故事线和功能需求，在平面图上规划展墙、展台、多媒体设备等的位置</w:t>
      </w:r>
      <w:r>
        <w:rPr>
          <w:rFonts w:hint="eastAsia" w:ascii="仿宋" w:hAnsi="仿宋" w:eastAsia="仿宋" w:cs="仿宋"/>
          <w:iCs/>
          <w:color w:val="auto"/>
          <w:kern w:val="0"/>
          <w:sz w:val="24"/>
          <w:szCs w:val="24"/>
          <w:highlight w:val="none"/>
          <w:lang w:val="en-US" w:eastAsia="zh-CN"/>
          <w:woUserID w:val="1"/>
        </w:rPr>
        <w:t>及展陈物料、数字化内容、沙盘等设计</w:t>
      </w:r>
      <w:r>
        <w:rPr>
          <w:rFonts w:hint="eastAsia" w:ascii="仿宋" w:hAnsi="仿宋" w:eastAsia="仿宋" w:cs="仿宋"/>
          <w:iCs/>
          <w:color w:val="auto"/>
          <w:kern w:val="0"/>
          <w:sz w:val="24"/>
          <w:szCs w:val="24"/>
          <w:highlight w:val="none"/>
          <w:woUserID w:val="1"/>
        </w:rPr>
        <w:t>。</w:t>
      </w:r>
    </w:p>
    <w:p w14:paraId="68CEEF37">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c.空间装修设计：根据展厅主题选择合适的装修风格、色彩、空间布局、灯光等，设计</w:t>
      </w:r>
      <w:r>
        <w:rPr>
          <w:rFonts w:hint="eastAsia" w:ascii="仿宋" w:hAnsi="仿宋" w:eastAsia="仿宋" w:cs="仿宋"/>
          <w:iCs/>
          <w:color w:val="auto"/>
          <w:kern w:val="0"/>
          <w:sz w:val="24"/>
          <w:szCs w:val="24"/>
          <w:highlight w:val="none"/>
          <w:woUserID w:val="1"/>
        </w:rPr>
        <w:t>天花造型</w:t>
      </w:r>
      <w:r>
        <w:rPr>
          <w:rFonts w:hint="eastAsia" w:ascii="仿宋" w:hAnsi="仿宋" w:eastAsia="仿宋" w:cs="仿宋"/>
          <w:iCs/>
          <w:color w:val="auto"/>
          <w:kern w:val="0"/>
          <w:sz w:val="24"/>
          <w:szCs w:val="24"/>
          <w:highlight w:val="none"/>
          <w:lang w:eastAsia="zh-CN"/>
          <w:woUserID w:val="1"/>
        </w:rPr>
        <w:t>、</w:t>
      </w:r>
      <w:r>
        <w:rPr>
          <w:rFonts w:hint="eastAsia" w:ascii="仿宋" w:hAnsi="仿宋" w:eastAsia="仿宋" w:cs="仿宋"/>
          <w:iCs/>
          <w:strike w:val="0"/>
          <w:color w:val="auto"/>
          <w:kern w:val="0"/>
          <w:sz w:val="24"/>
          <w:szCs w:val="24"/>
          <w:highlight w:val="none"/>
          <w:woUserID w:val="1"/>
        </w:rPr>
        <w:t>墙面（包含墙面浮雕）</w:t>
      </w:r>
      <w:r>
        <w:rPr>
          <w:rFonts w:hint="eastAsia" w:ascii="仿宋" w:hAnsi="仿宋" w:eastAsia="仿宋" w:cs="仿宋"/>
          <w:iCs/>
          <w:strike w:val="0"/>
          <w:color w:val="auto"/>
          <w:kern w:val="0"/>
          <w:sz w:val="24"/>
          <w:szCs w:val="24"/>
          <w:highlight w:val="none"/>
          <w:lang w:eastAsia="zh-CN"/>
          <w:woUserID w:val="1"/>
        </w:rPr>
        <w:t>、</w:t>
      </w:r>
      <w:r>
        <w:rPr>
          <w:rFonts w:hint="eastAsia" w:ascii="仿宋" w:hAnsi="仿宋" w:eastAsia="仿宋" w:cs="仿宋"/>
          <w:iCs/>
          <w:strike w:val="0"/>
          <w:color w:val="auto"/>
          <w:kern w:val="0"/>
          <w:sz w:val="24"/>
          <w:szCs w:val="24"/>
          <w:highlight w:val="none"/>
          <w:woUserID w:val="1"/>
        </w:rPr>
        <w:t>窗帘</w:t>
      </w:r>
      <w:r>
        <w:rPr>
          <w:rFonts w:hint="eastAsia" w:ascii="仿宋" w:hAnsi="仿宋" w:eastAsia="仿宋" w:cs="仿宋"/>
          <w:iCs/>
          <w:strike w:val="0"/>
          <w:color w:val="auto"/>
          <w:kern w:val="0"/>
          <w:sz w:val="24"/>
          <w:szCs w:val="24"/>
          <w:highlight w:val="none"/>
          <w:lang w:val="en-US" w:eastAsia="zh-CN"/>
          <w:woUserID w:val="1"/>
        </w:rPr>
        <w:t>等</w:t>
      </w:r>
      <w:r>
        <w:rPr>
          <w:rFonts w:hint="eastAsia" w:ascii="仿宋" w:hAnsi="仿宋" w:eastAsia="仿宋" w:cs="仿宋"/>
          <w:iCs/>
          <w:strike w:val="0"/>
          <w:color w:val="auto"/>
          <w:kern w:val="0"/>
          <w:sz w:val="24"/>
          <w:szCs w:val="24"/>
          <w:highlight w:val="none"/>
          <w:woUserID w:val="1"/>
        </w:rPr>
        <w:t>装饰</w:t>
      </w:r>
      <w:r>
        <w:rPr>
          <w:rFonts w:hint="eastAsia" w:ascii="仿宋" w:hAnsi="仿宋" w:eastAsia="仿宋" w:cs="仿宋"/>
          <w:iCs/>
          <w:color w:val="auto"/>
          <w:kern w:val="0"/>
          <w:sz w:val="24"/>
          <w:szCs w:val="24"/>
          <w:highlight w:val="none"/>
          <w:woUserID w:val="1"/>
        </w:rPr>
        <w:t>。</w:t>
      </w:r>
    </w:p>
    <w:p w14:paraId="2B49A7AC">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d.安装工程含</w:t>
      </w:r>
      <w:r>
        <w:rPr>
          <w:rFonts w:hint="eastAsia" w:ascii="仿宋" w:hAnsi="仿宋" w:eastAsia="仿宋" w:cs="仿宋"/>
          <w:bCs/>
          <w:snapToGrid w:val="0"/>
          <w:color w:val="auto"/>
          <w:kern w:val="0"/>
          <w:sz w:val="24"/>
          <w:highlight w:val="none"/>
          <w:woUserID w:val="1"/>
        </w:rPr>
        <w:t>通风空调</w:t>
      </w:r>
      <w:r>
        <w:rPr>
          <w:rFonts w:hint="eastAsia" w:ascii="仿宋" w:hAnsi="仿宋" w:eastAsia="仿宋" w:cs="仿宋"/>
          <w:iCs/>
          <w:color w:val="auto"/>
          <w:kern w:val="0"/>
          <w:sz w:val="24"/>
          <w:szCs w:val="24"/>
          <w:highlight w:val="none"/>
          <w:lang w:val="en-US" w:eastAsia="zh-CN"/>
          <w:woUserID w:val="1"/>
        </w:rPr>
        <w:t>、消防、电气、给排水、强弱电等内容。</w:t>
      </w:r>
    </w:p>
    <w:p w14:paraId="18D93522">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strike w:val="0"/>
          <w:color w:val="auto"/>
          <w:kern w:val="0"/>
          <w:sz w:val="24"/>
          <w:szCs w:val="24"/>
          <w:highlight w:val="none"/>
          <w:lang w:val="en-US" w:eastAsia="zh-CN"/>
          <w:woUserID w:val="1"/>
        </w:rPr>
        <w:t>e.</w:t>
      </w:r>
      <w:r>
        <w:rPr>
          <w:rFonts w:hint="eastAsia" w:ascii="仿宋" w:hAnsi="仿宋" w:eastAsia="仿宋" w:cs="仿宋"/>
          <w:iCs/>
          <w:color w:val="auto"/>
          <w:kern w:val="0"/>
          <w:sz w:val="24"/>
          <w:szCs w:val="24"/>
          <w:highlight w:val="none"/>
          <w:woUserID w:val="1"/>
        </w:rPr>
        <w:t>效果图设计：制作3D效果图，直观展示装修完成后的空间效果、色彩、灯光和材质。</w:t>
      </w:r>
    </w:p>
    <w:p w14:paraId="5B64AC20">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lang w:val="en-US" w:eastAsia="zh-CN"/>
          <w:woUserID w:val="1"/>
        </w:rPr>
      </w:pPr>
      <w:r>
        <w:rPr>
          <w:rFonts w:hint="eastAsia" w:ascii="仿宋" w:hAnsi="仿宋" w:eastAsia="仿宋" w:cs="仿宋"/>
          <w:iCs/>
          <w:color w:val="auto"/>
          <w:kern w:val="0"/>
          <w:sz w:val="24"/>
          <w:szCs w:val="24"/>
          <w:highlight w:val="none"/>
          <w:lang w:val="en-US" w:eastAsia="zh-CN"/>
          <w:woUserID w:val="1"/>
        </w:rPr>
        <w:t>2）</w:t>
      </w:r>
      <w:r>
        <w:rPr>
          <w:rFonts w:hint="eastAsia" w:ascii="仿宋" w:hAnsi="仿宋" w:eastAsia="仿宋" w:cs="仿宋"/>
          <w:iCs/>
          <w:color w:val="auto"/>
          <w:kern w:val="0"/>
          <w:sz w:val="24"/>
          <w:szCs w:val="24"/>
          <w:highlight w:val="none"/>
          <w:woUserID w:val="1"/>
        </w:rPr>
        <w:t>建筑外立面</w:t>
      </w:r>
      <w:r>
        <w:rPr>
          <w:rFonts w:hint="eastAsia" w:ascii="仿宋" w:hAnsi="仿宋" w:eastAsia="仿宋" w:cs="仿宋"/>
          <w:iCs/>
          <w:color w:val="auto"/>
          <w:kern w:val="0"/>
          <w:sz w:val="24"/>
          <w:szCs w:val="24"/>
          <w:highlight w:val="none"/>
          <w:lang w:val="en-US" w:eastAsia="zh-CN"/>
          <w:woUserID w:val="1"/>
        </w:rPr>
        <w:t>：</w:t>
      </w:r>
    </w:p>
    <w:p w14:paraId="0B01F5D1">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lang w:val="en-US" w:eastAsia="zh-CN"/>
          <w:woUserID w:val="1"/>
        </w:rPr>
      </w:pPr>
      <w:r>
        <w:rPr>
          <w:rFonts w:hint="eastAsia" w:ascii="仿宋" w:hAnsi="仿宋" w:eastAsia="仿宋" w:cs="仿宋"/>
          <w:iCs/>
          <w:color w:val="auto"/>
          <w:kern w:val="0"/>
          <w:sz w:val="24"/>
          <w:szCs w:val="24"/>
          <w:highlight w:val="none"/>
          <w:lang w:val="en-US" w:eastAsia="zh-CN"/>
          <w:woUserID w:val="1"/>
        </w:rPr>
        <w:t>a.结构检测与加固设计：根据现有建筑的墙体开裂、梁柱老化、外墙瓷砖/石材脱落等隐患，选择合适的方式进行加固，确保符合现行建筑安全标准。</w:t>
      </w:r>
    </w:p>
    <w:p w14:paraId="63F4A63D">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lang w:val="en-US" w:eastAsia="zh-CN"/>
          <w:woUserID w:val="1"/>
        </w:rPr>
      </w:pPr>
      <w:r>
        <w:rPr>
          <w:rFonts w:hint="eastAsia" w:ascii="仿宋" w:hAnsi="仿宋" w:eastAsia="仿宋" w:cs="仿宋"/>
          <w:iCs/>
          <w:color w:val="auto"/>
          <w:kern w:val="0"/>
          <w:sz w:val="24"/>
          <w:szCs w:val="24"/>
          <w:highlight w:val="none"/>
          <w:lang w:val="en-US" w:eastAsia="zh-CN"/>
          <w:woUserID w:val="1"/>
        </w:rPr>
        <w:t>b.防水与保温设计：设计更换老化的外墙防水层，解决渗水问题；升级保温层（如加装挤塑板、喷涂保温砂浆），提升建筑节能性，降低后期能耗。</w:t>
      </w:r>
    </w:p>
    <w:p w14:paraId="60B191F1">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c.</w:t>
      </w:r>
      <w:r>
        <w:rPr>
          <w:rFonts w:hint="eastAsia" w:ascii="仿宋" w:hAnsi="仿宋" w:eastAsia="仿宋" w:cs="仿宋"/>
          <w:iCs/>
          <w:color w:val="auto"/>
          <w:kern w:val="0"/>
          <w:sz w:val="24"/>
          <w:szCs w:val="24"/>
          <w:highlight w:val="none"/>
          <w:woUserID w:val="1"/>
        </w:rPr>
        <w:t>材质与色彩更新：根据改造定位，替换旧外墙材料（如将老旧涂料换为真石漆、金属幕墙，或保留老砖肌理做修复），搭配协调色彩体系，强化视觉辨识度。</w:t>
      </w:r>
    </w:p>
    <w:p w14:paraId="04D44FDA">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d.</w:t>
      </w:r>
      <w:r>
        <w:rPr>
          <w:rFonts w:hint="eastAsia" w:ascii="仿宋" w:hAnsi="仿宋" w:eastAsia="仿宋" w:cs="仿宋"/>
          <w:iCs/>
          <w:color w:val="auto"/>
          <w:kern w:val="0"/>
          <w:sz w:val="24"/>
          <w:szCs w:val="24"/>
          <w:highlight w:val="none"/>
          <w:woUserID w:val="1"/>
        </w:rPr>
        <w:t>细节造型优化：调整门窗尺寸与样式（如将小窗换为落地窗增加采光），增设装饰性元素（如金属线条、格栅、挑檐），或改造屋顶（如加建坡屋顶、光伏顶），打破原有单调外观。</w:t>
      </w:r>
    </w:p>
    <w:p w14:paraId="375307B1">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default" w:ascii="仿宋" w:hAnsi="仿宋" w:eastAsia="仿宋" w:cs="仿宋"/>
          <w:iCs/>
          <w:color w:val="auto"/>
          <w:kern w:val="0"/>
          <w:sz w:val="24"/>
          <w:szCs w:val="24"/>
          <w:highlight w:val="none"/>
          <w:woUserID w:val="1"/>
        </w:rPr>
        <w:t xml:space="preserve"> </w:t>
      </w:r>
      <w:r>
        <w:rPr>
          <w:rFonts w:hint="eastAsia" w:ascii="仿宋" w:hAnsi="仿宋" w:eastAsia="仿宋" w:cs="仿宋"/>
          <w:iCs/>
          <w:strike w:val="0"/>
          <w:color w:val="auto"/>
          <w:kern w:val="0"/>
          <w:sz w:val="24"/>
          <w:szCs w:val="24"/>
          <w:highlight w:val="none"/>
          <w:lang w:val="en-US" w:eastAsia="zh-CN"/>
          <w:woUserID w:val="1"/>
        </w:rPr>
        <w:t>e.</w:t>
      </w:r>
      <w:r>
        <w:rPr>
          <w:rFonts w:hint="default" w:ascii="仿宋" w:hAnsi="仿宋" w:eastAsia="仿宋" w:cs="仿宋"/>
          <w:iCs/>
          <w:color w:val="auto"/>
          <w:kern w:val="0"/>
          <w:sz w:val="24"/>
          <w:szCs w:val="24"/>
          <w:highlight w:val="none"/>
          <w:woUserID w:val="1"/>
        </w:rPr>
        <w:t>配套设施整合：将空调外机、管线等杂乱设施隐藏（如用格栅遮挡、纳入专用设备舱），同时完善标识系统、灯光照明（如加装轮廓灯、庭院灯），提升使用便利性。</w:t>
      </w:r>
    </w:p>
    <w:p w14:paraId="7F88D017">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lang w:val="en-US" w:eastAsia="zh-CN"/>
          <w:woUserID w:val="1"/>
        </w:rPr>
      </w:pPr>
      <w:r>
        <w:rPr>
          <w:rFonts w:hint="default" w:ascii="仿宋" w:hAnsi="仿宋" w:eastAsia="仿宋" w:cs="仿宋"/>
          <w:iCs/>
          <w:color w:val="auto"/>
          <w:kern w:val="0"/>
          <w:sz w:val="24"/>
          <w:szCs w:val="24"/>
          <w:highlight w:val="none"/>
          <w:woUserID w:val="1"/>
        </w:rPr>
        <w:t xml:space="preserve"> </w:t>
      </w:r>
      <w:r>
        <w:rPr>
          <w:rFonts w:hint="eastAsia" w:ascii="仿宋" w:hAnsi="仿宋" w:eastAsia="仿宋" w:cs="仿宋"/>
          <w:iCs/>
          <w:color w:val="auto"/>
          <w:kern w:val="0"/>
          <w:sz w:val="24"/>
          <w:szCs w:val="24"/>
          <w:highlight w:val="none"/>
          <w:lang w:val="en-US" w:eastAsia="zh-CN"/>
          <w:woUserID w:val="1"/>
        </w:rPr>
        <w:t>f.</w:t>
      </w:r>
      <w:r>
        <w:rPr>
          <w:rFonts w:hint="default" w:ascii="仿宋" w:hAnsi="仿宋" w:eastAsia="仿宋" w:cs="仿宋"/>
          <w:iCs/>
          <w:color w:val="auto"/>
          <w:kern w:val="0"/>
          <w:sz w:val="24"/>
          <w:szCs w:val="24"/>
          <w:highlight w:val="none"/>
          <w:woUserID w:val="1"/>
        </w:rPr>
        <w:t>绿色环保设计：优先选用环保材料（如低VOC涂料、可回收金属），采用雨水回收系统（如外墙加装雨水管引导至储水箱），降低改造对环境的影响</w:t>
      </w:r>
    </w:p>
    <w:p w14:paraId="170ABF89">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lang w:val="en-US"/>
          <w:woUserID w:val="1"/>
        </w:rPr>
      </w:pPr>
      <w:r>
        <w:rPr>
          <w:rFonts w:hint="eastAsia" w:ascii="仿宋" w:hAnsi="仿宋" w:eastAsia="仿宋" w:cs="仿宋"/>
          <w:iCs/>
          <w:color w:val="auto"/>
          <w:kern w:val="0"/>
          <w:sz w:val="24"/>
          <w:szCs w:val="24"/>
          <w:highlight w:val="none"/>
          <w:lang w:val="en-US" w:eastAsia="zh-CN"/>
          <w:woUserID w:val="1"/>
        </w:rPr>
        <w:t>3）室外停车场：</w:t>
      </w:r>
    </w:p>
    <w:p w14:paraId="13E8A3F1">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a.</w:t>
      </w:r>
      <w:r>
        <w:rPr>
          <w:rFonts w:hint="eastAsia" w:ascii="仿宋" w:hAnsi="仿宋" w:eastAsia="仿宋" w:cs="仿宋"/>
          <w:iCs/>
          <w:color w:val="auto"/>
          <w:kern w:val="0"/>
          <w:sz w:val="24"/>
          <w:szCs w:val="24"/>
          <w:highlight w:val="none"/>
          <w:woUserID w:val="1"/>
        </w:rPr>
        <w:t>基础规划与车位设计</w:t>
      </w:r>
      <w:r>
        <w:rPr>
          <w:rFonts w:hint="eastAsia" w:ascii="仿宋" w:hAnsi="仿宋" w:eastAsia="仿宋" w:cs="仿宋"/>
          <w:iCs/>
          <w:color w:val="auto"/>
          <w:kern w:val="0"/>
          <w:sz w:val="24"/>
          <w:szCs w:val="24"/>
          <w:highlight w:val="none"/>
          <w:lang w:eastAsia="zh-CN"/>
          <w:woUserID w:val="1"/>
        </w:rPr>
        <w:t>：</w:t>
      </w:r>
      <w:r>
        <w:rPr>
          <w:rFonts w:hint="eastAsia" w:ascii="仿宋" w:hAnsi="仿宋" w:eastAsia="仿宋" w:cs="仿宋"/>
          <w:iCs/>
          <w:color w:val="auto"/>
          <w:kern w:val="0"/>
          <w:sz w:val="24"/>
          <w:szCs w:val="24"/>
          <w:highlight w:val="none"/>
          <w:woUserID w:val="1"/>
        </w:rPr>
        <w:t>按展厅规模（如高峰人流量、参展车辆数）确定总车位，需包含标准车位（宽2.5m×长5.3m）</w:t>
      </w:r>
      <w:r>
        <w:rPr>
          <w:rFonts w:hint="eastAsia" w:ascii="仿宋" w:hAnsi="仿宋" w:eastAsia="仿宋" w:cs="仿宋"/>
          <w:iCs/>
          <w:color w:val="auto"/>
          <w:kern w:val="0"/>
          <w:sz w:val="24"/>
          <w:szCs w:val="24"/>
          <w:highlight w:val="none"/>
          <w:lang w:eastAsia="zh-CN"/>
          <w:woUserID w:val="1"/>
        </w:rPr>
        <w:t>、</w:t>
      </w:r>
      <w:r>
        <w:rPr>
          <w:rFonts w:hint="eastAsia" w:ascii="仿宋" w:hAnsi="仿宋" w:eastAsia="仿宋" w:cs="仿宋"/>
          <w:iCs/>
          <w:color w:val="auto"/>
          <w:kern w:val="0"/>
          <w:sz w:val="24"/>
          <w:szCs w:val="24"/>
          <w:highlight w:val="none"/>
          <w:lang w:val="en-US" w:eastAsia="zh-CN"/>
          <w:woUserID w:val="1"/>
        </w:rPr>
        <w:t>中</w:t>
      </w:r>
      <w:r>
        <w:rPr>
          <w:rFonts w:hint="eastAsia" w:ascii="仿宋" w:hAnsi="仿宋" w:eastAsia="仿宋" w:cs="仿宋"/>
          <w:iCs/>
          <w:color w:val="auto"/>
          <w:kern w:val="0"/>
          <w:sz w:val="24"/>
          <w:szCs w:val="24"/>
          <w:highlight w:val="none"/>
          <w:woUserID w:val="1"/>
        </w:rPr>
        <w:t>巴临时停靠区</w:t>
      </w:r>
      <w:r>
        <w:rPr>
          <w:rFonts w:hint="eastAsia" w:ascii="仿宋" w:hAnsi="仿宋" w:eastAsia="仿宋" w:cs="仿宋"/>
          <w:iCs/>
          <w:color w:val="auto"/>
          <w:kern w:val="0"/>
          <w:sz w:val="24"/>
          <w:szCs w:val="24"/>
          <w:highlight w:val="none"/>
          <w:lang w:val="en-US" w:eastAsia="zh-CN"/>
          <w:woUserID w:val="1"/>
        </w:rPr>
        <w:t>等</w:t>
      </w:r>
      <w:r>
        <w:rPr>
          <w:rFonts w:hint="eastAsia" w:ascii="仿宋" w:hAnsi="仿宋" w:eastAsia="仿宋" w:cs="仿宋"/>
          <w:iCs/>
          <w:color w:val="auto"/>
          <w:kern w:val="0"/>
          <w:sz w:val="24"/>
          <w:szCs w:val="24"/>
          <w:highlight w:val="none"/>
          <w:woUserID w:val="1"/>
        </w:rPr>
        <w:t>。</w:t>
      </w:r>
    </w:p>
    <w:p w14:paraId="1FE7DFD4">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b.</w:t>
      </w:r>
      <w:r>
        <w:rPr>
          <w:rFonts w:hint="eastAsia" w:ascii="仿宋" w:hAnsi="仿宋" w:eastAsia="仿宋" w:cs="仿宋"/>
          <w:iCs/>
          <w:color w:val="auto"/>
          <w:kern w:val="0"/>
          <w:sz w:val="24"/>
          <w:szCs w:val="24"/>
          <w:highlight w:val="none"/>
          <w:woUserID w:val="1"/>
        </w:rPr>
        <w:t>交通流线设计</w:t>
      </w:r>
      <w:r>
        <w:rPr>
          <w:rFonts w:hint="eastAsia" w:ascii="仿宋" w:hAnsi="仿宋" w:eastAsia="仿宋" w:cs="仿宋"/>
          <w:iCs/>
          <w:color w:val="auto"/>
          <w:kern w:val="0"/>
          <w:sz w:val="24"/>
          <w:szCs w:val="24"/>
          <w:highlight w:val="none"/>
          <w:lang w:eastAsia="zh-CN"/>
          <w:woUserID w:val="1"/>
        </w:rPr>
        <w:t>：</w:t>
      </w:r>
      <w:r>
        <w:rPr>
          <w:rFonts w:hint="eastAsia" w:ascii="仿宋" w:hAnsi="仿宋" w:eastAsia="仿宋" w:cs="仿宋"/>
          <w:iCs/>
          <w:color w:val="auto"/>
          <w:kern w:val="0"/>
          <w:sz w:val="24"/>
          <w:szCs w:val="24"/>
          <w:highlight w:val="none"/>
          <w:woUserID w:val="1"/>
        </w:rPr>
        <w:t>主入口需衔接展厅周边主干道，避免与展厅行人入口交叉；设置独立出口，形成“进-停-出”单向循环流线，减少车辆拥堵；出入口宽度不低于7m，满足两车双向通行。</w:t>
      </w:r>
    </w:p>
    <w:p w14:paraId="45E5A5BC">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车道宽度不低于4m，转弯半径≥6m（适配小型汽车）；相邻车位间车道需预留开门空间，避免车辆剐蹭；在分区交界处设置导流标识（如地面箭头、空中指示牌），引导车辆快速进入目标区域。</w:t>
      </w:r>
    </w:p>
    <w:p w14:paraId="36A9E93E">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c.</w:t>
      </w:r>
      <w:r>
        <w:rPr>
          <w:rFonts w:hint="eastAsia" w:ascii="仿宋" w:hAnsi="仿宋" w:eastAsia="仿宋" w:cs="仿宋"/>
          <w:iCs/>
          <w:color w:val="auto"/>
          <w:kern w:val="0"/>
          <w:sz w:val="24"/>
          <w:szCs w:val="24"/>
          <w:highlight w:val="none"/>
          <w:woUserID w:val="1"/>
        </w:rPr>
        <w:t>地面与设施配置：优先选用耐磨、防滑材料，如沥青路面（成本低、易维护）或植草砖（适合生态型展厅，兼具绿化与承重）；车位线、车道线用反光漆绘制，清晰醒目；在地面标注车位号、方向箭头，辅助用户识别。</w:t>
      </w:r>
    </w:p>
    <w:p w14:paraId="6763E23A">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d.</w:t>
      </w:r>
      <w:r>
        <w:rPr>
          <w:rFonts w:hint="eastAsia" w:ascii="仿宋" w:hAnsi="仿宋" w:eastAsia="仿宋" w:cs="仿宋"/>
          <w:iCs/>
          <w:color w:val="auto"/>
          <w:kern w:val="0"/>
          <w:sz w:val="24"/>
          <w:szCs w:val="24"/>
          <w:highlight w:val="none"/>
          <w:woUserID w:val="1"/>
        </w:rPr>
        <w:t>标识衔接</w:t>
      </w:r>
      <w:r>
        <w:rPr>
          <w:rFonts w:hint="eastAsia" w:ascii="仿宋" w:hAnsi="仿宋" w:eastAsia="仿宋" w:cs="仿宋"/>
          <w:iCs/>
          <w:color w:val="auto"/>
          <w:kern w:val="0"/>
          <w:sz w:val="24"/>
          <w:szCs w:val="24"/>
          <w:highlight w:val="none"/>
          <w:lang w:eastAsia="zh-CN"/>
          <w:woUserID w:val="1"/>
        </w:rPr>
        <w:t>：</w:t>
      </w:r>
      <w:r>
        <w:rPr>
          <w:rFonts w:hint="eastAsia" w:ascii="仿宋" w:hAnsi="仿宋" w:eastAsia="仿宋" w:cs="仿宋"/>
          <w:iCs/>
          <w:color w:val="auto"/>
          <w:kern w:val="0"/>
          <w:sz w:val="24"/>
          <w:szCs w:val="24"/>
          <w:highlight w:val="none"/>
          <w:woUserID w:val="1"/>
        </w:rPr>
        <w:t>在停车场入口、分区入口处设置“展厅方向”指示牌，与展厅外立面标识风格统一；步行通道沿途标注剩余距离（如“距展厅入口50m”），减少用户迷路概率。</w:t>
      </w:r>
    </w:p>
    <w:p w14:paraId="5A6A16E8">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strike w:val="0"/>
          <w:color w:val="auto"/>
          <w:kern w:val="0"/>
          <w:sz w:val="24"/>
          <w:szCs w:val="24"/>
          <w:highlight w:val="none"/>
          <w:lang w:val="en-US" w:eastAsia="zh-CN"/>
          <w:woUserID w:val="1"/>
        </w:rPr>
        <w:t>e.</w:t>
      </w:r>
      <w:r>
        <w:rPr>
          <w:rFonts w:hint="eastAsia" w:ascii="仿宋" w:hAnsi="仿宋" w:eastAsia="仿宋" w:cs="仿宋"/>
          <w:iCs/>
          <w:color w:val="auto"/>
          <w:kern w:val="0"/>
          <w:sz w:val="24"/>
          <w:szCs w:val="24"/>
          <w:highlight w:val="none"/>
          <w:woUserID w:val="1"/>
        </w:rPr>
        <w:t>生态与安全优化</w:t>
      </w:r>
      <w:r>
        <w:rPr>
          <w:rFonts w:hint="eastAsia" w:ascii="仿宋" w:hAnsi="仿宋" w:eastAsia="仿宋" w:cs="仿宋"/>
          <w:iCs/>
          <w:color w:val="auto"/>
          <w:kern w:val="0"/>
          <w:sz w:val="24"/>
          <w:szCs w:val="24"/>
          <w:highlight w:val="none"/>
          <w:lang w:eastAsia="zh-CN"/>
          <w:woUserID w:val="1"/>
        </w:rPr>
        <w:t>：</w:t>
      </w:r>
    </w:p>
    <w:p w14:paraId="3329B797">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 xml:space="preserve"> </w:t>
      </w:r>
      <w:r>
        <w:rPr>
          <w:rFonts w:hint="eastAsia" w:ascii="仿宋" w:hAnsi="仿宋" w:eastAsia="仿宋" w:cs="仿宋"/>
          <w:iCs/>
          <w:color w:val="auto"/>
          <w:kern w:val="0"/>
          <w:sz w:val="24"/>
          <w:szCs w:val="24"/>
          <w:highlight w:val="none"/>
          <w:lang w:val="en-US" w:eastAsia="zh-CN"/>
          <w:woUserID w:val="1"/>
        </w:rPr>
        <w:t xml:space="preserve">- </w:t>
      </w:r>
      <w:r>
        <w:rPr>
          <w:rFonts w:hint="eastAsia" w:ascii="仿宋" w:hAnsi="仿宋" w:eastAsia="仿宋" w:cs="仿宋"/>
          <w:iCs/>
          <w:color w:val="auto"/>
          <w:kern w:val="0"/>
          <w:sz w:val="24"/>
          <w:szCs w:val="24"/>
          <w:highlight w:val="none"/>
          <w:woUserID w:val="1"/>
        </w:rPr>
        <w:t>生态设计：停车场周边可种植乔木（如香樟、悬铃木）形成林荫车位，降低夏季车内温度；设置雨水井与排水坡度（不低于0.5%），避免雨天积水；边缘区域可搭配花池、草坪，与展厅外部景观呼应。</w:t>
      </w:r>
    </w:p>
    <w:p w14:paraId="0F46D4F4">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 安全防护：在步行道与车道交界处设置减速带、反光镜；禁止车辆在步行通道穿行，可通过护栏、隔离墩划分区域；夜间开启出入口警示灯，提醒车辆与行人注意安全。</w:t>
      </w:r>
    </w:p>
    <w:p w14:paraId="54C4FDF5">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（2）专项设计：</w:t>
      </w:r>
      <w:r>
        <w:rPr>
          <w:rFonts w:hint="eastAsia" w:ascii="仿宋" w:hAnsi="仿宋" w:eastAsia="仿宋" w:cs="仿宋"/>
          <w:iCs/>
          <w:color w:val="auto"/>
          <w:kern w:val="0"/>
          <w:sz w:val="24"/>
          <w:szCs w:val="24"/>
          <w:highlight w:val="none"/>
          <w:lang w:val="en-US" w:eastAsia="zh-CN"/>
          <w:woUserID w:val="1"/>
        </w:rPr>
        <w:t>管线</w:t>
      </w:r>
      <w:r>
        <w:rPr>
          <w:rFonts w:hint="eastAsia" w:ascii="仿宋" w:hAnsi="仿宋" w:eastAsia="仿宋" w:cs="仿宋"/>
          <w:iCs/>
          <w:color w:val="auto"/>
          <w:kern w:val="0"/>
          <w:sz w:val="24"/>
          <w:szCs w:val="24"/>
          <w:highlight w:val="none"/>
          <w:woUserID w:val="1"/>
        </w:rPr>
        <w:t>迁改设计（如有）</w:t>
      </w:r>
      <w:r>
        <w:rPr>
          <w:rFonts w:hint="eastAsia" w:ascii="仿宋" w:hAnsi="仿宋" w:eastAsia="仿宋" w:cs="仿宋"/>
          <w:iCs/>
          <w:color w:val="auto"/>
          <w:kern w:val="0"/>
          <w:sz w:val="24"/>
          <w:szCs w:val="24"/>
          <w:highlight w:val="none"/>
          <w:lang w:eastAsia="zh-CN"/>
          <w:woUserID w:val="1"/>
        </w:rPr>
        <w:t>、</w:t>
      </w:r>
      <w:r>
        <w:rPr>
          <w:rFonts w:hint="eastAsia" w:ascii="仿宋" w:hAnsi="仿宋" w:eastAsia="仿宋" w:cs="仿宋"/>
          <w:iCs/>
          <w:color w:val="auto"/>
          <w:kern w:val="0"/>
          <w:sz w:val="24"/>
          <w:szCs w:val="24"/>
          <w:highlight w:val="none"/>
          <w:woUserID w:val="1"/>
        </w:rPr>
        <w:t>临（永）水临（永）电设计及相关的衔接设计。</w:t>
      </w:r>
    </w:p>
    <w:p w14:paraId="0BED12E0">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3）包括但不限于所有的室内、室外设计区域的，电气开关、电源插座、电话、网络插座、报警开关、通风风口、音响广播、中控系统（包含展厅、市民接待中心等甲方约定的场景控制）、消防喷淋和消防报警等末端设备器件在地面、墙面、天花吊顶上的综合布置。</w:t>
      </w:r>
    </w:p>
    <w:p w14:paraId="68EB1CB2">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4</w:t>
      </w:r>
      <w:r>
        <w:rPr>
          <w:rFonts w:hint="eastAsia" w:ascii="仿宋" w:hAnsi="仿宋" w:eastAsia="仿宋" w:cs="仿宋"/>
          <w:iCs/>
          <w:strike w:val="0"/>
          <w:color w:val="auto"/>
          <w:kern w:val="0"/>
          <w:sz w:val="24"/>
          <w:szCs w:val="24"/>
          <w:highlight w:val="none"/>
          <w:woUserID w:val="1"/>
        </w:rPr>
        <w:t>）根据发包人通过的设计方案进行整合，包括室内、室外设计区域的平面、立面、地面、墙面和天花吊顶的装饰深化设计至施工蓝图。</w:t>
      </w:r>
    </w:p>
    <w:p w14:paraId="56AD380B">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5</w:t>
      </w:r>
      <w:r>
        <w:rPr>
          <w:rFonts w:hint="eastAsia" w:ascii="仿宋" w:hAnsi="仿宋" w:eastAsia="仿宋" w:cs="仿宋"/>
          <w:iCs/>
          <w:strike w:val="0"/>
          <w:color w:val="auto"/>
          <w:kern w:val="0"/>
          <w:sz w:val="24"/>
          <w:szCs w:val="24"/>
          <w:highlight w:val="none"/>
          <w:woUserID w:val="1"/>
        </w:rPr>
        <w:t>）所有的楼层设备室引出的设备系统，以及室内、室外设计区域的电气开关、电源插座、电话、网络插座、报警开关、通风风口、音响广播、消防喷淋和消防报警等末端设备器件在地面、墙面和天花吊顶上的点位及综合管线布置。</w:t>
      </w:r>
    </w:p>
    <w:p w14:paraId="520C0470">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6</w:t>
      </w:r>
      <w:r>
        <w:rPr>
          <w:rFonts w:hint="eastAsia" w:ascii="仿宋" w:hAnsi="仿宋" w:eastAsia="仿宋" w:cs="仿宋"/>
          <w:iCs/>
          <w:strike w:val="0"/>
          <w:color w:val="auto"/>
          <w:kern w:val="0"/>
          <w:sz w:val="24"/>
          <w:szCs w:val="24"/>
          <w:highlight w:val="none"/>
          <w:woUserID w:val="1"/>
        </w:rPr>
        <w:t>）施工图设计范围内整体施工跟踪过程服务，包含全专业的施工图纸设计及实施阶段的施工设计变更。</w:t>
      </w:r>
    </w:p>
    <w:p w14:paraId="55F800C5">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7</w:t>
      </w:r>
      <w:r>
        <w:rPr>
          <w:rFonts w:hint="eastAsia" w:ascii="仿宋" w:hAnsi="仿宋" w:eastAsia="仿宋" w:cs="仿宋"/>
          <w:iCs/>
          <w:strike w:val="0"/>
          <w:color w:val="auto"/>
          <w:kern w:val="0"/>
          <w:sz w:val="24"/>
          <w:szCs w:val="24"/>
          <w:highlight w:val="none"/>
          <w:woUserID w:val="1"/>
        </w:rPr>
        <w:t>）配合土建及配套专业进行平面优化，确定设备控制系统位置关系（含平面、天花、立面、管线走向），满足管线预留预埋提资条件完成施工图设计。</w:t>
      </w:r>
    </w:p>
    <w:p w14:paraId="146D05E1">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8</w:t>
      </w:r>
      <w:r>
        <w:rPr>
          <w:rFonts w:hint="eastAsia" w:ascii="仿宋" w:hAnsi="仿宋" w:eastAsia="仿宋" w:cs="仿宋"/>
          <w:iCs/>
          <w:strike w:val="0"/>
          <w:color w:val="auto"/>
          <w:kern w:val="0"/>
          <w:sz w:val="24"/>
          <w:szCs w:val="24"/>
          <w:highlight w:val="none"/>
          <w:woUserID w:val="1"/>
        </w:rPr>
        <w:t>）项目整体设备强弱电、暖通和消防等二次装修设计；包括但不限于下表内列项：</w:t>
      </w:r>
    </w:p>
    <w:tbl>
      <w:tblPr>
        <w:tblStyle w:val="23"/>
        <w:tblpPr w:leftFromText="180" w:rightFromText="180" w:vertAnchor="text" w:horzAnchor="page" w:tblpX="1594" w:tblpY="6"/>
        <w:tblOverlap w:val="never"/>
        <w:tblW w:w="9235" w:type="dxa"/>
        <w:tblInd w:w="0" w:type="dxa"/>
        <w:tblLayout w:type="fixed"/>
        <w:tblCellMar>
          <w:top w:w="0" w:type="dxa"/>
          <w:left w:w="108" w:type="dxa"/>
          <w:bottom w:w="0" w:type="dxa"/>
          <w:right w:w="108" w:type="dxa"/>
        </w:tblCellMar>
      </w:tblPr>
      <w:tblGrid>
        <w:gridCol w:w="1073"/>
        <w:gridCol w:w="6439"/>
        <w:gridCol w:w="1723"/>
      </w:tblGrid>
      <w:tr w14:paraId="244D5470">
        <w:tblPrEx>
          <w:tblCellMar>
            <w:top w:w="0" w:type="dxa"/>
            <w:left w:w="108" w:type="dxa"/>
            <w:bottom w:w="0" w:type="dxa"/>
            <w:right w:w="108" w:type="dxa"/>
          </w:tblCellMar>
        </w:tblPrEx>
        <w:trPr>
          <w:trHeight w:val="433" w:hRule="atLeast"/>
        </w:trPr>
        <w:tc>
          <w:tcPr>
            <w:tcW w:w="1073" w:type="dxa"/>
            <w:tcBorders>
              <w:top w:val="single" w:color="auto" w:sz="4" w:space="0"/>
              <w:left w:val="single" w:color="auto" w:sz="4" w:space="0"/>
              <w:bottom w:val="single" w:color="auto" w:sz="4" w:space="0"/>
              <w:right w:val="single" w:color="auto" w:sz="4" w:space="0"/>
            </w:tcBorders>
            <w:vAlign w:val="center"/>
          </w:tcPr>
          <w:p w14:paraId="11679DD5">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序号</w:t>
            </w:r>
          </w:p>
        </w:tc>
        <w:tc>
          <w:tcPr>
            <w:tcW w:w="6439" w:type="dxa"/>
            <w:tcBorders>
              <w:top w:val="single" w:color="auto" w:sz="4" w:space="0"/>
              <w:left w:val="nil"/>
              <w:bottom w:val="single" w:color="auto" w:sz="4" w:space="0"/>
              <w:right w:val="single" w:color="auto" w:sz="4" w:space="0"/>
            </w:tcBorders>
            <w:vAlign w:val="center"/>
          </w:tcPr>
          <w:p w14:paraId="676FEE79">
            <w:pPr>
              <w:shd w:val="clear"/>
              <w:spacing w:line="360" w:lineRule="auto"/>
              <w:ind w:firstLine="2280" w:firstLineChars="95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设计内容</w:t>
            </w:r>
          </w:p>
        </w:tc>
        <w:tc>
          <w:tcPr>
            <w:tcW w:w="1723" w:type="dxa"/>
            <w:tcBorders>
              <w:top w:val="single" w:color="auto" w:sz="4" w:space="0"/>
              <w:left w:val="nil"/>
              <w:bottom w:val="single" w:color="auto" w:sz="4" w:space="0"/>
              <w:right w:val="single" w:color="auto" w:sz="4" w:space="0"/>
            </w:tcBorders>
            <w:vAlign w:val="center"/>
          </w:tcPr>
          <w:p w14:paraId="6B8090AE">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设计深度</w:t>
            </w:r>
          </w:p>
        </w:tc>
      </w:tr>
      <w:tr w14:paraId="4D96E1F0">
        <w:tblPrEx>
          <w:tblCellMar>
            <w:top w:w="0" w:type="dxa"/>
            <w:left w:w="108" w:type="dxa"/>
            <w:bottom w:w="0" w:type="dxa"/>
            <w:right w:w="108" w:type="dxa"/>
          </w:tblCellMar>
        </w:tblPrEx>
        <w:trPr>
          <w:trHeight w:val="549" w:hRule="atLeast"/>
        </w:trPr>
        <w:tc>
          <w:tcPr>
            <w:tcW w:w="1073" w:type="dxa"/>
            <w:tcBorders>
              <w:top w:val="nil"/>
              <w:left w:val="single" w:color="auto" w:sz="4" w:space="0"/>
              <w:bottom w:val="single" w:color="auto" w:sz="4" w:space="0"/>
              <w:right w:val="single" w:color="auto" w:sz="4" w:space="0"/>
            </w:tcBorders>
            <w:vAlign w:val="center"/>
          </w:tcPr>
          <w:p w14:paraId="352DD4D0">
            <w:pPr>
              <w:shd w:val="clear"/>
              <w:spacing w:line="360" w:lineRule="auto"/>
              <w:ind w:firstLine="240" w:firstLineChars="10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1</w:t>
            </w:r>
          </w:p>
        </w:tc>
        <w:tc>
          <w:tcPr>
            <w:tcW w:w="6439" w:type="dxa"/>
            <w:tcBorders>
              <w:top w:val="nil"/>
              <w:left w:val="nil"/>
              <w:bottom w:val="single" w:color="auto" w:sz="4" w:space="0"/>
              <w:right w:val="single" w:color="auto" w:sz="4" w:space="0"/>
            </w:tcBorders>
            <w:vAlign w:val="center"/>
          </w:tcPr>
          <w:p w14:paraId="30DA43FF">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供配电系统设计（含配电干线系统及应急照明）</w:t>
            </w:r>
          </w:p>
        </w:tc>
        <w:tc>
          <w:tcPr>
            <w:tcW w:w="1723" w:type="dxa"/>
            <w:tcBorders>
              <w:top w:val="nil"/>
              <w:left w:val="nil"/>
              <w:bottom w:val="single" w:color="auto" w:sz="4" w:space="0"/>
              <w:right w:val="single" w:color="auto" w:sz="4" w:space="0"/>
            </w:tcBorders>
            <w:vAlign w:val="center"/>
          </w:tcPr>
          <w:p w14:paraId="23859CBD">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施工图</w:t>
            </w:r>
            <w:r>
              <w:rPr>
                <w:rFonts w:hint="eastAsia" w:ascii="仿宋" w:hAnsi="仿宋" w:eastAsia="仿宋" w:cs="仿宋"/>
                <w:iCs/>
                <w:color w:val="auto"/>
                <w:kern w:val="0"/>
                <w:sz w:val="24"/>
                <w:szCs w:val="24"/>
                <w:highlight w:val="none"/>
                <w:lang w:val="en-US" w:eastAsia="zh-CN"/>
                <w:woUserID w:val="1"/>
              </w:rPr>
              <w:t>深度</w:t>
            </w:r>
            <w:r>
              <w:rPr>
                <w:rFonts w:hint="eastAsia" w:ascii="仿宋" w:hAnsi="仿宋" w:eastAsia="仿宋" w:cs="仿宋"/>
                <w:iCs/>
                <w:color w:val="auto"/>
                <w:kern w:val="0"/>
                <w:sz w:val="24"/>
                <w:szCs w:val="24"/>
                <w:highlight w:val="none"/>
                <w:woUserID w:val="1"/>
              </w:rPr>
              <w:t>　</w:t>
            </w:r>
          </w:p>
        </w:tc>
      </w:tr>
      <w:tr w14:paraId="02F60ACD">
        <w:tblPrEx>
          <w:tblCellMar>
            <w:top w:w="0" w:type="dxa"/>
            <w:left w:w="108" w:type="dxa"/>
            <w:bottom w:w="0" w:type="dxa"/>
            <w:right w:w="108" w:type="dxa"/>
          </w:tblCellMar>
        </w:tblPrEx>
        <w:trPr>
          <w:trHeight w:val="543" w:hRule="atLeast"/>
        </w:trPr>
        <w:tc>
          <w:tcPr>
            <w:tcW w:w="1073" w:type="dxa"/>
            <w:tcBorders>
              <w:top w:val="single" w:color="auto" w:sz="4" w:space="0"/>
              <w:left w:val="single" w:color="auto" w:sz="4" w:space="0"/>
              <w:bottom w:val="single" w:color="auto" w:sz="4" w:space="0"/>
              <w:right w:val="single" w:color="auto" w:sz="4" w:space="0"/>
            </w:tcBorders>
            <w:vAlign w:val="center"/>
          </w:tcPr>
          <w:p w14:paraId="03573A88">
            <w:pPr>
              <w:shd w:val="clear"/>
              <w:spacing w:line="360" w:lineRule="auto"/>
              <w:ind w:firstLine="240" w:firstLineChars="10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2</w:t>
            </w:r>
          </w:p>
        </w:tc>
        <w:tc>
          <w:tcPr>
            <w:tcW w:w="6439" w:type="dxa"/>
            <w:tcBorders>
              <w:top w:val="single" w:color="auto" w:sz="4" w:space="0"/>
              <w:left w:val="nil"/>
              <w:bottom w:val="single" w:color="auto" w:sz="4" w:space="0"/>
              <w:right w:val="single" w:color="auto" w:sz="4" w:space="0"/>
            </w:tcBorders>
            <w:vAlign w:val="center"/>
          </w:tcPr>
          <w:p w14:paraId="5293FBEA">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弱电系统设计及消防自动报警和联动</w:t>
            </w:r>
          </w:p>
        </w:tc>
        <w:tc>
          <w:tcPr>
            <w:tcW w:w="1723" w:type="dxa"/>
            <w:tcBorders>
              <w:top w:val="single" w:color="auto" w:sz="4" w:space="0"/>
              <w:left w:val="nil"/>
              <w:bottom w:val="single" w:color="auto" w:sz="4" w:space="0"/>
              <w:right w:val="single" w:color="auto" w:sz="4" w:space="0"/>
            </w:tcBorders>
            <w:vAlign w:val="center"/>
          </w:tcPr>
          <w:p w14:paraId="38B6E4E9">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施工图</w:t>
            </w:r>
            <w:r>
              <w:rPr>
                <w:rFonts w:hint="eastAsia" w:ascii="仿宋" w:hAnsi="仿宋" w:eastAsia="仿宋" w:cs="仿宋"/>
                <w:iCs/>
                <w:color w:val="auto"/>
                <w:kern w:val="0"/>
                <w:sz w:val="24"/>
                <w:szCs w:val="24"/>
                <w:highlight w:val="none"/>
                <w:lang w:val="en-US" w:eastAsia="zh-CN"/>
                <w:woUserID w:val="1"/>
              </w:rPr>
              <w:t>深度</w:t>
            </w:r>
          </w:p>
        </w:tc>
      </w:tr>
      <w:tr w14:paraId="7FF4AD31">
        <w:tblPrEx>
          <w:tblCellMar>
            <w:top w:w="0" w:type="dxa"/>
            <w:left w:w="108" w:type="dxa"/>
            <w:bottom w:w="0" w:type="dxa"/>
            <w:right w:w="108" w:type="dxa"/>
          </w:tblCellMar>
        </w:tblPrEx>
        <w:trPr>
          <w:trHeight w:val="564" w:hRule="atLeast"/>
        </w:trPr>
        <w:tc>
          <w:tcPr>
            <w:tcW w:w="1073" w:type="dxa"/>
            <w:tcBorders>
              <w:top w:val="nil"/>
              <w:left w:val="single" w:color="auto" w:sz="4" w:space="0"/>
              <w:bottom w:val="single" w:color="auto" w:sz="4" w:space="0"/>
              <w:right w:val="single" w:color="auto" w:sz="4" w:space="0"/>
            </w:tcBorders>
            <w:vAlign w:val="center"/>
          </w:tcPr>
          <w:p w14:paraId="3E2ADAD5">
            <w:pPr>
              <w:shd w:val="clear"/>
              <w:spacing w:line="360" w:lineRule="auto"/>
              <w:ind w:firstLine="240" w:firstLineChars="10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3</w:t>
            </w:r>
          </w:p>
        </w:tc>
        <w:tc>
          <w:tcPr>
            <w:tcW w:w="6439" w:type="dxa"/>
            <w:tcBorders>
              <w:top w:val="nil"/>
              <w:left w:val="nil"/>
              <w:bottom w:val="single" w:color="auto" w:sz="4" w:space="0"/>
              <w:right w:val="single" w:color="auto" w:sz="4" w:space="0"/>
            </w:tcBorders>
            <w:vAlign w:val="center"/>
          </w:tcPr>
          <w:p w14:paraId="7F5102F3">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暖通系统设计</w:t>
            </w:r>
          </w:p>
        </w:tc>
        <w:tc>
          <w:tcPr>
            <w:tcW w:w="1723" w:type="dxa"/>
            <w:tcBorders>
              <w:top w:val="nil"/>
              <w:left w:val="nil"/>
              <w:bottom w:val="single" w:color="auto" w:sz="4" w:space="0"/>
              <w:right w:val="single" w:color="auto" w:sz="4" w:space="0"/>
            </w:tcBorders>
            <w:vAlign w:val="center"/>
          </w:tcPr>
          <w:p w14:paraId="2CD829D1">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施工图</w:t>
            </w:r>
            <w:r>
              <w:rPr>
                <w:rFonts w:hint="eastAsia" w:ascii="仿宋" w:hAnsi="仿宋" w:eastAsia="仿宋" w:cs="仿宋"/>
                <w:iCs/>
                <w:color w:val="auto"/>
                <w:kern w:val="0"/>
                <w:sz w:val="24"/>
                <w:szCs w:val="24"/>
                <w:highlight w:val="none"/>
                <w:lang w:val="en-US" w:eastAsia="zh-CN"/>
                <w:woUserID w:val="1"/>
              </w:rPr>
              <w:t>深度</w:t>
            </w:r>
          </w:p>
        </w:tc>
      </w:tr>
      <w:tr w14:paraId="083D1A89">
        <w:tblPrEx>
          <w:tblCellMar>
            <w:top w:w="0" w:type="dxa"/>
            <w:left w:w="108" w:type="dxa"/>
            <w:bottom w:w="0" w:type="dxa"/>
            <w:right w:w="108" w:type="dxa"/>
          </w:tblCellMar>
        </w:tblPrEx>
        <w:trPr>
          <w:trHeight w:val="553" w:hRule="atLeast"/>
        </w:trPr>
        <w:tc>
          <w:tcPr>
            <w:tcW w:w="1073" w:type="dxa"/>
            <w:tcBorders>
              <w:top w:val="nil"/>
              <w:left w:val="single" w:color="auto" w:sz="4" w:space="0"/>
              <w:bottom w:val="single" w:color="auto" w:sz="4" w:space="0"/>
              <w:right w:val="single" w:color="auto" w:sz="4" w:space="0"/>
            </w:tcBorders>
            <w:vAlign w:val="center"/>
          </w:tcPr>
          <w:p w14:paraId="7F8E8637">
            <w:pPr>
              <w:shd w:val="clear"/>
              <w:spacing w:line="360" w:lineRule="auto"/>
              <w:ind w:firstLine="240" w:firstLineChars="10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4</w:t>
            </w:r>
          </w:p>
        </w:tc>
        <w:tc>
          <w:tcPr>
            <w:tcW w:w="6439" w:type="dxa"/>
            <w:tcBorders>
              <w:top w:val="nil"/>
              <w:left w:val="nil"/>
              <w:bottom w:val="single" w:color="auto" w:sz="4" w:space="0"/>
              <w:right w:val="single" w:color="auto" w:sz="4" w:space="0"/>
            </w:tcBorders>
            <w:vAlign w:val="center"/>
          </w:tcPr>
          <w:p w14:paraId="1E5B66E8">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消防系统设计</w:t>
            </w:r>
          </w:p>
        </w:tc>
        <w:tc>
          <w:tcPr>
            <w:tcW w:w="1723" w:type="dxa"/>
            <w:tcBorders>
              <w:top w:val="nil"/>
              <w:left w:val="nil"/>
              <w:bottom w:val="single" w:color="auto" w:sz="4" w:space="0"/>
              <w:right w:val="single" w:color="auto" w:sz="4" w:space="0"/>
            </w:tcBorders>
            <w:vAlign w:val="center"/>
          </w:tcPr>
          <w:p w14:paraId="7ABD5BF2">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施工图</w:t>
            </w:r>
            <w:r>
              <w:rPr>
                <w:rFonts w:hint="eastAsia" w:ascii="仿宋" w:hAnsi="仿宋" w:eastAsia="仿宋" w:cs="仿宋"/>
                <w:iCs/>
                <w:color w:val="auto"/>
                <w:kern w:val="0"/>
                <w:sz w:val="24"/>
                <w:szCs w:val="24"/>
                <w:highlight w:val="none"/>
                <w:lang w:val="en-US" w:eastAsia="zh-CN"/>
                <w:woUserID w:val="1"/>
              </w:rPr>
              <w:t>深度</w:t>
            </w:r>
          </w:p>
        </w:tc>
      </w:tr>
    </w:tbl>
    <w:p w14:paraId="0FC46523">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9</w:t>
      </w:r>
      <w:r>
        <w:rPr>
          <w:rFonts w:hint="eastAsia" w:ascii="仿宋" w:hAnsi="仿宋" w:eastAsia="仿宋" w:cs="仿宋"/>
          <w:iCs/>
          <w:strike w:val="0"/>
          <w:color w:val="auto"/>
          <w:kern w:val="0"/>
          <w:sz w:val="24"/>
          <w:szCs w:val="24"/>
          <w:highlight w:val="none"/>
          <w:woUserID w:val="1"/>
        </w:rPr>
        <w:t>）室内设计单位对建筑布局进行平面功能优化，同时作为设计修改阶段的室内/室外功能、空间顾问。</w:t>
      </w:r>
    </w:p>
    <w:p w14:paraId="51FD6762">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（1</w:t>
      </w:r>
      <w:r>
        <w:rPr>
          <w:rFonts w:hint="eastAsia" w:ascii="仿宋" w:hAnsi="仿宋" w:eastAsia="仿宋" w:cs="仿宋"/>
          <w:iCs/>
          <w:strike w:val="0"/>
          <w:color w:val="auto"/>
          <w:kern w:val="0"/>
          <w:sz w:val="24"/>
          <w:szCs w:val="24"/>
          <w:highlight w:val="none"/>
          <w:lang w:val="en-US" w:eastAsia="zh-CN"/>
          <w:woUserID w:val="1"/>
        </w:rPr>
        <w:t>0</w:t>
      </w:r>
      <w:r>
        <w:rPr>
          <w:rFonts w:hint="eastAsia" w:ascii="仿宋" w:hAnsi="仿宋" w:eastAsia="仿宋" w:cs="仿宋"/>
          <w:iCs/>
          <w:strike w:val="0"/>
          <w:color w:val="auto"/>
          <w:kern w:val="0"/>
          <w:sz w:val="24"/>
          <w:szCs w:val="24"/>
          <w:highlight w:val="none"/>
          <w:woUserID w:val="1"/>
        </w:rPr>
        <w:t>）提供完整的装饰主材的设计选样。</w:t>
      </w:r>
    </w:p>
    <w:p w14:paraId="2C517E0E">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（1</w:t>
      </w:r>
      <w:r>
        <w:rPr>
          <w:rFonts w:hint="eastAsia" w:ascii="仿宋" w:hAnsi="仿宋" w:eastAsia="仿宋" w:cs="仿宋"/>
          <w:iCs/>
          <w:strike w:val="0"/>
          <w:color w:val="auto"/>
          <w:kern w:val="0"/>
          <w:sz w:val="24"/>
          <w:szCs w:val="24"/>
          <w:highlight w:val="none"/>
          <w:lang w:val="en-US" w:eastAsia="zh-CN"/>
          <w:woUserID w:val="1"/>
        </w:rPr>
        <w:t>1</w:t>
      </w:r>
      <w:r>
        <w:rPr>
          <w:rFonts w:hint="eastAsia" w:ascii="仿宋" w:hAnsi="仿宋" w:eastAsia="仿宋" w:cs="仿宋"/>
          <w:iCs/>
          <w:strike w:val="0"/>
          <w:color w:val="auto"/>
          <w:kern w:val="0"/>
          <w:sz w:val="24"/>
          <w:szCs w:val="24"/>
          <w:highlight w:val="none"/>
          <w:woUserID w:val="1"/>
        </w:rPr>
        <w:t>）设计区域的装饰、电气、暖通和消防系统等二次设计协调责任：</w:t>
      </w:r>
    </w:p>
    <w:tbl>
      <w:tblPr>
        <w:tblStyle w:val="23"/>
        <w:tblW w:w="9526" w:type="dxa"/>
        <w:tblInd w:w="108" w:type="dxa"/>
        <w:tblLayout w:type="fixed"/>
        <w:tblCellMar>
          <w:top w:w="0" w:type="dxa"/>
          <w:left w:w="108" w:type="dxa"/>
          <w:bottom w:w="0" w:type="dxa"/>
          <w:right w:w="108" w:type="dxa"/>
        </w:tblCellMar>
      </w:tblPr>
      <w:tblGrid>
        <w:gridCol w:w="738"/>
        <w:gridCol w:w="6451"/>
        <w:gridCol w:w="2337"/>
      </w:tblGrid>
      <w:tr w14:paraId="54F62AF0">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28D5E95F">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序号</w:t>
            </w:r>
          </w:p>
        </w:tc>
        <w:tc>
          <w:tcPr>
            <w:tcW w:w="6451" w:type="dxa"/>
            <w:tcBorders>
              <w:top w:val="single" w:color="auto" w:sz="4" w:space="0"/>
              <w:left w:val="nil"/>
              <w:bottom w:val="single" w:color="auto" w:sz="4" w:space="0"/>
              <w:right w:val="single" w:color="auto" w:sz="4" w:space="0"/>
            </w:tcBorders>
            <w:vAlign w:val="center"/>
          </w:tcPr>
          <w:p w14:paraId="6711B92B">
            <w:pPr>
              <w:shd w:val="clear"/>
              <w:spacing w:line="360" w:lineRule="auto"/>
              <w:ind w:firstLine="2880" w:firstLineChars="120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设计内容</w:t>
            </w:r>
          </w:p>
        </w:tc>
        <w:tc>
          <w:tcPr>
            <w:tcW w:w="2337" w:type="dxa"/>
            <w:tcBorders>
              <w:top w:val="single" w:color="auto" w:sz="4" w:space="0"/>
              <w:left w:val="nil"/>
              <w:bottom w:val="single" w:color="auto" w:sz="4" w:space="0"/>
              <w:right w:val="single" w:color="auto" w:sz="4" w:space="0"/>
            </w:tcBorders>
            <w:vAlign w:val="center"/>
          </w:tcPr>
          <w:p w14:paraId="0A175DCE">
            <w:pPr>
              <w:shd w:val="clear"/>
              <w:spacing w:line="360" w:lineRule="auto"/>
              <w:ind w:firstLine="240" w:firstLineChars="10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设计深度</w:t>
            </w:r>
          </w:p>
        </w:tc>
      </w:tr>
      <w:tr w14:paraId="359581BF">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2CB4979B">
            <w:pPr>
              <w:shd w:val="clear"/>
              <w:spacing w:line="360" w:lineRule="auto"/>
              <w:ind w:firstLine="120" w:firstLineChars="5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1</w:t>
            </w:r>
          </w:p>
        </w:tc>
        <w:tc>
          <w:tcPr>
            <w:tcW w:w="6451" w:type="dxa"/>
            <w:tcBorders>
              <w:top w:val="single" w:color="auto" w:sz="4" w:space="0"/>
              <w:left w:val="single" w:color="auto" w:sz="4" w:space="0"/>
              <w:bottom w:val="single" w:color="auto" w:sz="4" w:space="0"/>
              <w:right w:val="single" w:color="auto" w:sz="4" w:space="0"/>
            </w:tcBorders>
            <w:vAlign w:val="center"/>
          </w:tcPr>
          <w:p w14:paraId="19623251">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全套室内</w:t>
            </w:r>
            <w:r>
              <w:rPr>
                <w:rFonts w:hint="eastAsia" w:ascii="仿宋" w:hAnsi="仿宋" w:eastAsia="仿宋" w:cs="仿宋"/>
                <w:iCs/>
                <w:color w:val="auto"/>
                <w:kern w:val="0"/>
                <w:sz w:val="24"/>
                <w:szCs w:val="24"/>
                <w:highlight w:val="none"/>
                <w:lang w:val="en-US" w:eastAsia="zh-CN"/>
                <w:woUserID w:val="1"/>
              </w:rPr>
              <w:t>室外</w:t>
            </w:r>
            <w:r>
              <w:rPr>
                <w:rFonts w:hint="eastAsia" w:ascii="仿宋" w:hAnsi="仿宋" w:eastAsia="仿宋" w:cs="仿宋"/>
                <w:iCs/>
                <w:color w:val="auto"/>
                <w:kern w:val="0"/>
                <w:sz w:val="24"/>
                <w:szCs w:val="24"/>
                <w:highlight w:val="none"/>
                <w:woUserID w:val="1"/>
              </w:rPr>
              <w:t>装饰设计</w:t>
            </w:r>
          </w:p>
        </w:tc>
        <w:tc>
          <w:tcPr>
            <w:tcW w:w="2337" w:type="dxa"/>
            <w:tcBorders>
              <w:top w:val="single" w:color="auto" w:sz="4" w:space="0"/>
              <w:left w:val="single" w:color="auto" w:sz="4" w:space="0"/>
              <w:bottom w:val="single" w:color="auto" w:sz="4" w:space="0"/>
              <w:right w:val="single" w:color="auto" w:sz="4" w:space="0"/>
            </w:tcBorders>
            <w:vAlign w:val="center"/>
          </w:tcPr>
          <w:p w14:paraId="16B2A23D">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深化施工图　</w:t>
            </w:r>
          </w:p>
        </w:tc>
      </w:tr>
      <w:tr w14:paraId="2553C3F8">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50D096DB">
            <w:pPr>
              <w:shd w:val="clear"/>
              <w:spacing w:line="360" w:lineRule="auto"/>
              <w:ind w:firstLine="120" w:firstLineChars="5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2</w:t>
            </w:r>
          </w:p>
        </w:tc>
        <w:tc>
          <w:tcPr>
            <w:tcW w:w="6451" w:type="dxa"/>
            <w:tcBorders>
              <w:top w:val="single" w:color="auto" w:sz="4" w:space="0"/>
              <w:left w:val="single" w:color="auto" w:sz="4" w:space="0"/>
              <w:bottom w:val="single" w:color="auto" w:sz="4" w:space="0"/>
              <w:right w:val="single" w:color="auto" w:sz="4" w:space="0"/>
            </w:tcBorders>
            <w:vAlign w:val="center"/>
          </w:tcPr>
          <w:p w14:paraId="4DD0BDEB">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供配电系统设计（含配电干线系统及应急照明）</w:t>
            </w:r>
          </w:p>
        </w:tc>
        <w:tc>
          <w:tcPr>
            <w:tcW w:w="2337" w:type="dxa"/>
            <w:tcBorders>
              <w:top w:val="single" w:color="auto" w:sz="4" w:space="0"/>
              <w:left w:val="single" w:color="auto" w:sz="4" w:space="0"/>
              <w:bottom w:val="single" w:color="auto" w:sz="4" w:space="0"/>
              <w:right w:val="single" w:color="auto" w:sz="4" w:space="0"/>
            </w:tcBorders>
            <w:vAlign w:val="center"/>
          </w:tcPr>
          <w:p w14:paraId="45A7E4F0">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深化施工图　</w:t>
            </w:r>
          </w:p>
        </w:tc>
      </w:tr>
      <w:tr w14:paraId="6A69AC66">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76AEF10A">
            <w:pPr>
              <w:shd w:val="clear"/>
              <w:spacing w:line="360" w:lineRule="auto"/>
              <w:ind w:firstLine="120" w:firstLineChars="5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3</w:t>
            </w:r>
          </w:p>
        </w:tc>
        <w:tc>
          <w:tcPr>
            <w:tcW w:w="6451" w:type="dxa"/>
            <w:tcBorders>
              <w:top w:val="single" w:color="auto" w:sz="4" w:space="0"/>
              <w:left w:val="single" w:color="auto" w:sz="4" w:space="0"/>
              <w:bottom w:val="single" w:color="auto" w:sz="4" w:space="0"/>
              <w:right w:val="single" w:color="auto" w:sz="4" w:space="0"/>
            </w:tcBorders>
            <w:vAlign w:val="center"/>
          </w:tcPr>
          <w:p w14:paraId="5B83D05F">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弱电系统设计及消防自动报警和联动</w:t>
            </w:r>
          </w:p>
        </w:tc>
        <w:tc>
          <w:tcPr>
            <w:tcW w:w="2337" w:type="dxa"/>
            <w:tcBorders>
              <w:top w:val="single" w:color="auto" w:sz="4" w:space="0"/>
              <w:left w:val="single" w:color="auto" w:sz="4" w:space="0"/>
              <w:bottom w:val="single" w:color="auto" w:sz="4" w:space="0"/>
              <w:right w:val="single" w:color="auto" w:sz="4" w:space="0"/>
            </w:tcBorders>
            <w:vAlign w:val="center"/>
          </w:tcPr>
          <w:p w14:paraId="26D22042">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深化施工图</w:t>
            </w:r>
          </w:p>
        </w:tc>
      </w:tr>
      <w:tr w14:paraId="1B74EED5">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3CC66F83">
            <w:pPr>
              <w:shd w:val="clear"/>
              <w:spacing w:line="360" w:lineRule="auto"/>
              <w:ind w:firstLine="120" w:firstLineChars="5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4</w:t>
            </w:r>
          </w:p>
        </w:tc>
        <w:tc>
          <w:tcPr>
            <w:tcW w:w="6451" w:type="dxa"/>
            <w:tcBorders>
              <w:top w:val="single" w:color="auto" w:sz="4" w:space="0"/>
              <w:left w:val="single" w:color="auto" w:sz="4" w:space="0"/>
              <w:bottom w:val="single" w:color="auto" w:sz="4" w:space="0"/>
              <w:right w:val="single" w:color="auto" w:sz="4" w:space="0"/>
            </w:tcBorders>
            <w:vAlign w:val="center"/>
          </w:tcPr>
          <w:p w14:paraId="72BCF994">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暖通系统设计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17AC3532">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深化施工图</w:t>
            </w:r>
          </w:p>
        </w:tc>
      </w:tr>
      <w:tr w14:paraId="1441E452">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23538D31">
            <w:pPr>
              <w:shd w:val="clear"/>
              <w:spacing w:line="360" w:lineRule="auto"/>
              <w:ind w:firstLine="120" w:firstLineChars="5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5</w:t>
            </w:r>
          </w:p>
        </w:tc>
        <w:tc>
          <w:tcPr>
            <w:tcW w:w="6451" w:type="dxa"/>
            <w:tcBorders>
              <w:top w:val="single" w:color="auto" w:sz="4" w:space="0"/>
              <w:left w:val="single" w:color="auto" w:sz="4" w:space="0"/>
              <w:bottom w:val="single" w:color="auto" w:sz="4" w:space="0"/>
              <w:right w:val="single" w:color="auto" w:sz="4" w:space="0"/>
            </w:tcBorders>
            <w:vAlign w:val="center"/>
          </w:tcPr>
          <w:p w14:paraId="4717C70D">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给排水系统设计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1F68538F">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深化施工图</w:t>
            </w:r>
          </w:p>
        </w:tc>
      </w:tr>
      <w:tr w14:paraId="2E8A4D96">
        <w:tblPrEx>
          <w:tblCellMar>
            <w:top w:w="0" w:type="dxa"/>
            <w:left w:w="108" w:type="dxa"/>
            <w:bottom w:w="0" w:type="dxa"/>
            <w:right w:w="108" w:type="dxa"/>
          </w:tblCellMar>
        </w:tblPrEx>
        <w:trPr>
          <w:trHeight w:val="352" w:hRule="atLeast"/>
        </w:trPr>
        <w:tc>
          <w:tcPr>
            <w:tcW w:w="738" w:type="dxa"/>
            <w:tcBorders>
              <w:top w:val="single" w:color="auto" w:sz="4" w:space="0"/>
              <w:left w:val="single" w:color="auto" w:sz="4" w:space="0"/>
              <w:bottom w:val="single" w:color="auto" w:sz="4" w:space="0"/>
              <w:right w:val="single" w:color="auto" w:sz="4" w:space="0"/>
            </w:tcBorders>
            <w:vAlign w:val="center"/>
          </w:tcPr>
          <w:p w14:paraId="78B9BF22">
            <w:pPr>
              <w:shd w:val="clear"/>
              <w:spacing w:line="360" w:lineRule="auto"/>
              <w:ind w:firstLine="120" w:firstLineChars="50"/>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6</w:t>
            </w:r>
          </w:p>
        </w:tc>
        <w:tc>
          <w:tcPr>
            <w:tcW w:w="6451" w:type="dxa"/>
            <w:tcBorders>
              <w:top w:val="single" w:color="auto" w:sz="4" w:space="0"/>
              <w:left w:val="single" w:color="auto" w:sz="4" w:space="0"/>
              <w:bottom w:val="single" w:color="auto" w:sz="4" w:space="0"/>
              <w:right w:val="single" w:color="auto" w:sz="4" w:space="0"/>
            </w:tcBorders>
            <w:vAlign w:val="center"/>
          </w:tcPr>
          <w:p w14:paraId="5FC2B491">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智能化系统设计</w:t>
            </w:r>
          </w:p>
        </w:tc>
        <w:tc>
          <w:tcPr>
            <w:tcW w:w="2337" w:type="dxa"/>
            <w:tcBorders>
              <w:top w:val="single" w:color="auto" w:sz="4" w:space="0"/>
              <w:left w:val="single" w:color="auto" w:sz="4" w:space="0"/>
              <w:bottom w:val="single" w:color="auto" w:sz="4" w:space="0"/>
              <w:right w:val="single" w:color="auto" w:sz="4" w:space="0"/>
            </w:tcBorders>
            <w:vAlign w:val="center"/>
          </w:tcPr>
          <w:p w14:paraId="33E82120">
            <w:pPr>
              <w:shd w:val="clear"/>
              <w:spacing w:line="360" w:lineRule="auto"/>
              <w:rPr>
                <w:rFonts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woUserID w:val="1"/>
              </w:rPr>
              <w:t>深化施工图</w:t>
            </w:r>
          </w:p>
        </w:tc>
      </w:tr>
    </w:tbl>
    <w:p w14:paraId="41C3B867">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（1</w:t>
      </w:r>
      <w:r>
        <w:rPr>
          <w:rFonts w:hint="eastAsia" w:ascii="仿宋" w:hAnsi="仿宋" w:eastAsia="仿宋" w:cs="仿宋"/>
          <w:iCs/>
          <w:strike w:val="0"/>
          <w:color w:val="auto"/>
          <w:kern w:val="0"/>
          <w:sz w:val="24"/>
          <w:szCs w:val="24"/>
          <w:highlight w:val="none"/>
          <w:lang w:val="en-US" w:eastAsia="zh-CN"/>
          <w:woUserID w:val="1"/>
        </w:rPr>
        <w:t>2</w:t>
      </w:r>
      <w:r>
        <w:rPr>
          <w:rFonts w:hint="eastAsia" w:ascii="仿宋" w:hAnsi="仿宋" w:eastAsia="仿宋" w:cs="仿宋"/>
          <w:iCs/>
          <w:strike w:val="0"/>
          <w:color w:val="auto"/>
          <w:kern w:val="0"/>
          <w:sz w:val="24"/>
          <w:szCs w:val="24"/>
          <w:highlight w:val="none"/>
          <w:woUserID w:val="1"/>
        </w:rPr>
        <w:t>）设计单位须对施工单位的深化图纸及施工样板进行审查，对最终效果把控及负责，避免对施工进度造成影响与拖延。</w:t>
      </w:r>
    </w:p>
    <w:p w14:paraId="64D26D73">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（1</w:t>
      </w:r>
      <w:r>
        <w:rPr>
          <w:rFonts w:hint="eastAsia" w:ascii="仿宋" w:hAnsi="仿宋" w:eastAsia="仿宋" w:cs="仿宋"/>
          <w:iCs/>
          <w:strike w:val="0"/>
          <w:color w:val="auto"/>
          <w:kern w:val="0"/>
          <w:sz w:val="24"/>
          <w:szCs w:val="24"/>
          <w:highlight w:val="none"/>
          <w:lang w:val="en-US" w:eastAsia="zh-CN"/>
          <w:woUserID w:val="1"/>
        </w:rPr>
        <w:t>3</w:t>
      </w:r>
      <w:r>
        <w:rPr>
          <w:rFonts w:hint="eastAsia" w:ascii="仿宋" w:hAnsi="仿宋" w:eastAsia="仿宋" w:cs="仿宋"/>
          <w:iCs/>
          <w:strike w:val="0"/>
          <w:color w:val="auto"/>
          <w:kern w:val="0"/>
          <w:sz w:val="24"/>
          <w:szCs w:val="24"/>
          <w:highlight w:val="none"/>
          <w:woUserID w:val="1"/>
        </w:rPr>
        <w:t>）设计单位须向施工单位进行施工设计图纸交底资料及答疑；审核及认可现场在施工过程中发生的室内设计变更；参加及配合施工阶段验收和竣工验收。</w:t>
      </w:r>
    </w:p>
    <w:p w14:paraId="7B27A13E">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（1</w:t>
      </w:r>
      <w:r>
        <w:rPr>
          <w:rFonts w:hint="eastAsia" w:ascii="仿宋" w:hAnsi="仿宋" w:eastAsia="仿宋" w:cs="仿宋"/>
          <w:iCs/>
          <w:strike w:val="0"/>
          <w:color w:val="auto"/>
          <w:kern w:val="0"/>
          <w:sz w:val="24"/>
          <w:szCs w:val="24"/>
          <w:highlight w:val="none"/>
          <w:lang w:val="en-US" w:eastAsia="zh-CN"/>
          <w:woUserID w:val="1"/>
        </w:rPr>
        <w:t>4</w:t>
      </w:r>
      <w:r>
        <w:rPr>
          <w:rFonts w:hint="eastAsia" w:ascii="仿宋" w:hAnsi="仿宋" w:eastAsia="仿宋" w:cs="仿宋"/>
          <w:iCs/>
          <w:strike w:val="0"/>
          <w:color w:val="auto"/>
          <w:kern w:val="0"/>
          <w:sz w:val="24"/>
          <w:szCs w:val="24"/>
          <w:highlight w:val="none"/>
          <w:woUserID w:val="1"/>
        </w:rPr>
        <w:t>）设计单位需对施工图深化（施工单位提供的深化设计）、机电设备等专业设计公司承担的工作向</w:t>
      </w:r>
      <w:r>
        <w:rPr>
          <w:rFonts w:hint="eastAsia" w:ascii="仿宋" w:hAnsi="仿宋" w:eastAsia="仿宋" w:cs="仿宋"/>
          <w:iCs/>
          <w:strike w:val="0"/>
          <w:color w:val="auto"/>
          <w:kern w:val="0"/>
          <w:sz w:val="24"/>
          <w:szCs w:val="24"/>
          <w:highlight w:val="none"/>
          <w:lang w:val="en-US" w:eastAsia="zh-CN"/>
          <w:woUserID w:val="1"/>
        </w:rPr>
        <w:t>承包人</w:t>
      </w:r>
      <w:r>
        <w:rPr>
          <w:rFonts w:hint="eastAsia" w:ascii="仿宋" w:hAnsi="仿宋" w:eastAsia="仿宋" w:cs="仿宋"/>
          <w:iCs/>
          <w:strike w:val="0"/>
          <w:color w:val="auto"/>
          <w:kern w:val="0"/>
          <w:sz w:val="24"/>
          <w:szCs w:val="24"/>
          <w:highlight w:val="none"/>
          <w:woUserID w:val="1"/>
        </w:rPr>
        <w:t>提供咨询顾问和审核意见，并根据改动优化室内装饰设计。</w:t>
      </w:r>
    </w:p>
    <w:p w14:paraId="5DECBD31">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（1</w:t>
      </w:r>
      <w:r>
        <w:rPr>
          <w:rFonts w:hint="eastAsia" w:ascii="仿宋" w:hAnsi="仿宋" w:eastAsia="仿宋" w:cs="仿宋"/>
          <w:iCs/>
          <w:strike w:val="0"/>
          <w:color w:val="auto"/>
          <w:kern w:val="0"/>
          <w:sz w:val="24"/>
          <w:szCs w:val="24"/>
          <w:highlight w:val="none"/>
          <w:lang w:val="en-US" w:eastAsia="zh-CN"/>
          <w:woUserID w:val="1"/>
        </w:rPr>
        <w:t>5</w:t>
      </w:r>
      <w:r>
        <w:rPr>
          <w:rFonts w:hint="eastAsia" w:ascii="仿宋" w:hAnsi="仿宋" w:eastAsia="仿宋" w:cs="仿宋"/>
          <w:iCs/>
          <w:strike w:val="0"/>
          <w:color w:val="auto"/>
          <w:kern w:val="0"/>
          <w:sz w:val="24"/>
          <w:szCs w:val="24"/>
          <w:highlight w:val="none"/>
          <w:woUserID w:val="1"/>
        </w:rPr>
        <w:t>）提供设计技术说明文件：室内设计师须为各系统编制技术规范，详细描述系统技术要求，设备技术参数、性能和施工技术要求。该设计技术说明将作为施工招标的文件及施工合同的附件。为合理控制造价，设计单位有义务按业主要求优化方案和材料，并对</w:t>
      </w:r>
      <w:r>
        <w:rPr>
          <w:rFonts w:hint="eastAsia" w:ascii="仿宋" w:hAnsi="仿宋" w:eastAsia="仿宋" w:cs="仿宋"/>
          <w:iCs/>
          <w:strike w:val="0"/>
          <w:color w:val="auto"/>
          <w:kern w:val="0"/>
          <w:sz w:val="24"/>
          <w:szCs w:val="24"/>
          <w:highlight w:val="none"/>
          <w:lang w:val="en-US" w:eastAsia="zh-CN"/>
          <w:woUserID w:val="1"/>
        </w:rPr>
        <w:t>承包人</w:t>
      </w:r>
      <w:r>
        <w:rPr>
          <w:rFonts w:hint="eastAsia" w:ascii="仿宋" w:hAnsi="仿宋" w:eastAsia="仿宋" w:cs="仿宋"/>
          <w:iCs/>
          <w:strike w:val="0"/>
          <w:color w:val="auto"/>
          <w:kern w:val="0"/>
          <w:sz w:val="24"/>
          <w:szCs w:val="24"/>
          <w:highlight w:val="none"/>
          <w:woUserID w:val="1"/>
        </w:rPr>
        <w:t>和施工单位提供的可替换饰品材料和做法予以及时的审核和认可。</w:t>
      </w:r>
    </w:p>
    <w:p w14:paraId="10537168">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16</w:t>
      </w:r>
      <w:r>
        <w:rPr>
          <w:rFonts w:hint="eastAsia" w:ascii="仿宋" w:hAnsi="仿宋" w:eastAsia="仿宋" w:cs="仿宋"/>
          <w:iCs/>
          <w:strike w:val="0"/>
          <w:color w:val="auto"/>
          <w:kern w:val="0"/>
          <w:sz w:val="24"/>
          <w:szCs w:val="24"/>
          <w:highlight w:val="none"/>
          <w:woUserID w:val="1"/>
        </w:rPr>
        <w:t>）负责组织开展专项设计方案协调工作。</w:t>
      </w:r>
    </w:p>
    <w:p w14:paraId="5AD8B566">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17</w:t>
      </w:r>
      <w:r>
        <w:rPr>
          <w:rFonts w:hint="eastAsia" w:ascii="仿宋" w:hAnsi="仿宋" w:eastAsia="仿宋" w:cs="仿宋"/>
          <w:iCs/>
          <w:strike w:val="0"/>
          <w:color w:val="auto"/>
          <w:kern w:val="0"/>
          <w:sz w:val="24"/>
          <w:szCs w:val="24"/>
          <w:highlight w:val="none"/>
          <w:woUserID w:val="1"/>
        </w:rPr>
        <w:t>）编制初步设计概算；编制施工图设计文件；</w:t>
      </w:r>
    </w:p>
    <w:p w14:paraId="56F5CA60">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18</w:t>
      </w:r>
      <w:r>
        <w:rPr>
          <w:rFonts w:hint="eastAsia" w:ascii="仿宋" w:hAnsi="仿宋" w:eastAsia="仿宋" w:cs="仿宋"/>
          <w:iCs/>
          <w:strike w:val="0"/>
          <w:color w:val="auto"/>
          <w:kern w:val="0"/>
          <w:sz w:val="24"/>
          <w:szCs w:val="24"/>
          <w:highlight w:val="none"/>
          <w:woUserID w:val="1"/>
        </w:rPr>
        <w:t>）负责协助发包人组织各项专家评审。</w:t>
      </w:r>
    </w:p>
    <w:p w14:paraId="3CE8423D">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19</w:t>
      </w:r>
      <w:r>
        <w:rPr>
          <w:rFonts w:hint="eastAsia" w:ascii="仿宋" w:hAnsi="仿宋" w:eastAsia="仿宋" w:cs="仿宋"/>
          <w:iCs/>
          <w:strike w:val="0"/>
          <w:color w:val="auto"/>
          <w:kern w:val="0"/>
          <w:sz w:val="24"/>
          <w:szCs w:val="24"/>
          <w:highlight w:val="none"/>
          <w:woUserID w:val="1"/>
        </w:rPr>
        <w:t>）需配合发包人聘用的第三方设计优化单位(如有）开展设计优化及提升工作，对优化单位提出的优化提升意见进行调整修改。对优化意见存有异议的，需有充分的论证说明，且不得以“经验”、“习惯做法”、“内部标准”等理由拒绝修改。</w:t>
      </w:r>
    </w:p>
    <w:p w14:paraId="14950DED">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20</w:t>
      </w:r>
      <w:r>
        <w:rPr>
          <w:rFonts w:hint="eastAsia" w:ascii="仿宋" w:hAnsi="仿宋" w:eastAsia="仿宋" w:cs="仿宋"/>
          <w:iCs/>
          <w:strike w:val="0"/>
          <w:color w:val="auto"/>
          <w:kern w:val="0"/>
          <w:sz w:val="24"/>
          <w:szCs w:val="24"/>
          <w:highlight w:val="none"/>
          <w:woUserID w:val="1"/>
        </w:rPr>
        <w:t>）除按合同约定的时间和要求向发包人提交设计成果文件外，还应承担工程施工过程直至竣工验收的设计服务（包含设计变更）等工作，保证设计变更满足施工进度要求。</w:t>
      </w:r>
    </w:p>
    <w:p w14:paraId="1029BC7E">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21</w:t>
      </w:r>
      <w:r>
        <w:rPr>
          <w:rFonts w:hint="eastAsia" w:ascii="仿宋" w:hAnsi="仿宋" w:eastAsia="仿宋" w:cs="仿宋"/>
          <w:iCs/>
          <w:strike w:val="0"/>
          <w:color w:val="auto"/>
          <w:kern w:val="0"/>
          <w:sz w:val="24"/>
          <w:szCs w:val="24"/>
          <w:highlight w:val="none"/>
          <w:woUserID w:val="1"/>
        </w:rPr>
        <w:t>）负责设备、大宗材料采购时采购清单、技术参数等审核工作，还包括各阶段方案比选、技术选型比选的投资分析、施工阶段的设计变更造价变化分析等。</w:t>
      </w:r>
    </w:p>
    <w:p w14:paraId="488310BF">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22</w:t>
      </w:r>
      <w:r>
        <w:rPr>
          <w:rFonts w:hint="eastAsia" w:ascii="仿宋" w:hAnsi="仿宋" w:eastAsia="仿宋" w:cs="仿宋"/>
          <w:iCs/>
          <w:strike w:val="0"/>
          <w:color w:val="auto"/>
          <w:kern w:val="0"/>
          <w:sz w:val="24"/>
          <w:szCs w:val="24"/>
          <w:highlight w:val="none"/>
          <w:woUserID w:val="1"/>
        </w:rPr>
        <w:t>）设计单位需严格按照发包人的要求，及时、准确地准备项目汇报材料，包括但不限于项目进度报告、技术方案说明、成本分析数据及相关图纸资料，并确保材料的完整性、规范性和专业性，以满足发包人汇报需求。同时，设计单位应积极配合发包人对材料的修改和调整，确保汇报工作顺利进行。</w:t>
      </w:r>
    </w:p>
    <w:p w14:paraId="43EF23DF">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23</w:t>
      </w:r>
      <w:r>
        <w:rPr>
          <w:rFonts w:hint="eastAsia" w:ascii="仿宋" w:hAnsi="仿宋" w:eastAsia="仿宋" w:cs="仿宋"/>
          <w:iCs/>
          <w:strike w:val="0"/>
          <w:color w:val="auto"/>
          <w:kern w:val="0"/>
          <w:sz w:val="24"/>
          <w:szCs w:val="24"/>
          <w:highlight w:val="none"/>
          <w:woUserID w:val="1"/>
        </w:rPr>
        <w:t>）配合项目竣工图编制、签审盖章工作。</w:t>
      </w:r>
    </w:p>
    <w:p w14:paraId="24F3438B">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24</w:t>
      </w:r>
      <w:r>
        <w:rPr>
          <w:rFonts w:hint="eastAsia" w:ascii="仿宋" w:hAnsi="仿宋" w:eastAsia="仿宋" w:cs="仿宋"/>
          <w:iCs/>
          <w:strike w:val="0"/>
          <w:color w:val="auto"/>
          <w:kern w:val="0"/>
          <w:sz w:val="24"/>
          <w:szCs w:val="24"/>
          <w:highlight w:val="none"/>
          <w:woUserID w:val="1"/>
        </w:rPr>
        <w:t>）如发包人在设计过程中提出需要配合的条件，其中包括组织设计说明会、交底答疑会，设计单位必须在规定的时间内，向发包人反馈有关信息，如遇不明确的问题，应向建设方或建设方指定人员进行咨询。</w:t>
      </w:r>
    </w:p>
    <w:p w14:paraId="3274A91C">
      <w:pPr>
        <w:shd w:val="clear"/>
        <w:spacing w:line="360" w:lineRule="auto"/>
        <w:ind w:firstLine="480" w:firstLineChars="200"/>
        <w:rPr>
          <w:rFonts w:hint="eastAsia" w:ascii="仿宋" w:hAnsi="仿宋" w:eastAsia="仿宋" w:cs="仿宋"/>
          <w:iCs/>
          <w:strike w:val="0"/>
          <w:color w:val="auto"/>
          <w:kern w:val="0"/>
          <w:sz w:val="24"/>
          <w:szCs w:val="24"/>
          <w:highlight w:val="none"/>
          <w:woUserID w:val="1"/>
        </w:rPr>
      </w:pPr>
      <w:r>
        <w:rPr>
          <w:rFonts w:hint="eastAsia" w:ascii="仿宋" w:hAnsi="仿宋" w:eastAsia="仿宋" w:cs="仿宋"/>
          <w:iCs/>
          <w:strike w:val="0"/>
          <w:color w:val="auto"/>
          <w:kern w:val="0"/>
          <w:sz w:val="24"/>
          <w:szCs w:val="24"/>
          <w:highlight w:val="none"/>
          <w:woUserID w:val="1"/>
        </w:rPr>
        <w:t>（</w:t>
      </w:r>
      <w:r>
        <w:rPr>
          <w:rFonts w:hint="eastAsia" w:ascii="仿宋" w:hAnsi="仿宋" w:eastAsia="仿宋" w:cs="仿宋"/>
          <w:iCs/>
          <w:strike w:val="0"/>
          <w:color w:val="auto"/>
          <w:kern w:val="0"/>
          <w:sz w:val="24"/>
          <w:szCs w:val="24"/>
          <w:highlight w:val="none"/>
          <w:lang w:val="en-US" w:eastAsia="zh-CN"/>
          <w:woUserID w:val="1"/>
        </w:rPr>
        <w:t>25</w:t>
      </w:r>
      <w:r>
        <w:rPr>
          <w:rFonts w:hint="eastAsia" w:ascii="仿宋" w:hAnsi="仿宋" w:eastAsia="仿宋" w:cs="仿宋"/>
          <w:iCs/>
          <w:strike w:val="0"/>
          <w:color w:val="auto"/>
          <w:kern w:val="0"/>
          <w:sz w:val="24"/>
          <w:szCs w:val="24"/>
          <w:highlight w:val="none"/>
          <w:woUserID w:val="1"/>
        </w:rPr>
        <w:t>）提交成果必须为中文设计文件，或中英文的设计文件。设计文件必须以中文为准，英文为辅。</w:t>
      </w:r>
    </w:p>
    <w:p w14:paraId="64B06CD8">
      <w:pPr>
        <w:shd w:val="clear"/>
        <w:spacing w:line="360" w:lineRule="auto"/>
        <w:ind w:firstLine="480" w:firstLineChars="200"/>
        <w:rPr>
          <w:rFonts w:ascii="仿宋" w:hAnsi="仿宋" w:eastAsia="仿宋" w:cs="仿宋"/>
          <w:iCs/>
          <w:strike w:val="0"/>
          <w:color w:val="auto"/>
          <w:kern w:val="0"/>
          <w:sz w:val="24"/>
          <w:szCs w:val="24"/>
          <w:highlight w:val="none"/>
        </w:rPr>
      </w:pPr>
      <w:r>
        <w:rPr>
          <w:rFonts w:hint="eastAsia" w:ascii="仿宋" w:hAnsi="仿宋" w:eastAsia="仿宋" w:cs="仿宋"/>
          <w:iCs/>
          <w:strike w:val="0"/>
          <w:color w:val="auto"/>
          <w:kern w:val="0"/>
          <w:sz w:val="24"/>
          <w:szCs w:val="24"/>
          <w:highlight w:val="none"/>
        </w:rPr>
        <w:t>2.1.2施工部分（包括但不限于以下内容）：</w:t>
      </w:r>
    </w:p>
    <w:p w14:paraId="66EAFD07">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根据项目相关资料及施工图纸，承担本项目实施范围内的工程施工、竣工验收、交付使用及工程质量保修等各项工作，包括但不限于：</w:t>
      </w:r>
    </w:p>
    <w:p w14:paraId="4DD0DA83">
      <w:pPr>
        <w:numPr>
          <w:ilvl w:val="-1"/>
          <w:numId w:val="0"/>
        </w:numPr>
        <w:shd w:val="clear"/>
        <w:spacing w:line="360" w:lineRule="auto"/>
        <w:ind w:firstLine="480" w:firstLineChars="200"/>
        <w:rPr>
          <w:rFonts w:hint="eastAsia" w:ascii="仿宋" w:hAnsi="仿宋" w:eastAsia="仿宋" w:cs="仿宋"/>
          <w:bCs/>
          <w:snapToGrid w:val="0"/>
          <w:color w:val="auto"/>
          <w:kern w:val="0"/>
          <w:sz w:val="24"/>
          <w:highlight w:val="none"/>
          <w:lang w:eastAsia="zh-CN"/>
          <w:woUserID w:val="1"/>
        </w:rPr>
      </w:pP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lang w:val="en-US" w:eastAsia="zh-CN"/>
          <w:woUserID w:val="1"/>
        </w:rPr>
        <w:t>1</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woUserID w:val="1"/>
        </w:rPr>
        <w:t>负责本合同范围内所有施工工作，包括但不限于以下工作：一楼室内展厅（含装修、安装工程、沙盘、展陈物料、设备及安装数字内容策划及制作等）、建筑外立面</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lang w:val="en-US" w:eastAsia="zh-CN"/>
        </w:rPr>
        <w:t>含旧围墙拆除新建、外立面修补改造等）</w:t>
      </w:r>
      <w:r>
        <w:rPr>
          <w:rFonts w:hint="eastAsia" w:ascii="仿宋" w:hAnsi="仿宋" w:eastAsia="仿宋" w:cs="仿宋"/>
          <w:bCs/>
          <w:snapToGrid w:val="0"/>
          <w:color w:val="auto"/>
          <w:kern w:val="0"/>
          <w:sz w:val="24"/>
          <w:highlight w:val="none"/>
          <w:woUserID w:val="1"/>
        </w:rPr>
        <w:t>及室外广场（含停车场、绿化等）</w:t>
      </w:r>
      <w:r>
        <w:rPr>
          <w:rFonts w:hint="eastAsia" w:ascii="仿宋" w:hAnsi="仿宋" w:eastAsia="仿宋" w:cs="仿宋"/>
          <w:bCs/>
          <w:snapToGrid w:val="0"/>
          <w:color w:val="auto"/>
          <w:kern w:val="0"/>
          <w:sz w:val="24"/>
          <w:highlight w:val="none"/>
          <w:lang w:val="en-US" w:eastAsia="zh-CN"/>
          <w:woUserID w:val="1"/>
        </w:rPr>
        <w:t>的改造</w:t>
      </w:r>
      <w:r>
        <w:rPr>
          <w:rFonts w:hint="eastAsia" w:ascii="仿宋" w:hAnsi="仿宋" w:eastAsia="仿宋" w:cs="仿宋"/>
          <w:bCs/>
          <w:snapToGrid w:val="0"/>
          <w:color w:val="auto"/>
          <w:kern w:val="0"/>
          <w:sz w:val="24"/>
          <w:highlight w:val="none"/>
          <w:woUserID w:val="1"/>
        </w:rPr>
        <w:t>、智能化、</w:t>
      </w:r>
      <w:r>
        <w:rPr>
          <w:rFonts w:hint="eastAsia" w:ascii="仿宋" w:hAnsi="仿宋" w:eastAsia="仿宋" w:cs="仿宋"/>
          <w:iCs/>
          <w:color w:val="auto"/>
          <w:kern w:val="0"/>
          <w:sz w:val="24"/>
          <w:szCs w:val="24"/>
          <w:highlight w:val="none"/>
          <w:woUserID w:val="1"/>
        </w:rPr>
        <w:t>临（永）水临（永）电</w:t>
      </w:r>
      <w:r>
        <w:rPr>
          <w:rFonts w:hint="eastAsia" w:ascii="仿宋" w:hAnsi="仿宋" w:eastAsia="仿宋" w:cs="仿宋"/>
          <w:bCs/>
          <w:snapToGrid w:val="0"/>
          <w:color w:val="auto"/>
          <w:kern w:val="0"/>
          <w:sz w:val="24"/>
          <w:highlight w:val="none"/>
          <w:woUserID w:val="1"/>
        </w:rPr>
        <w:t>及施工图范围内规定的其他工作内容。并完成以上工作内容的验收等，直至投入使用为止。除由发包人缴交的行政管理费用外，费用在投标下浮率中综合考虑，发包人不再另行计量支付。具体包括但不限于</w:t>
      </w:r>
      <w:r>
        <w:rPr>
          <w:rFonts w:hint="eastAsia" w:ascii="仿宋" w:hAnsi="仿宋" w:eastAsia="仿宋" w:cs="仿宋"/>
          <w:bCs/>
          <w:snapToGrid w:val="0"/>
          <w:color w:val="auto"/>
          <w:kern w:val="0"/>
          <w:sz w:val="24"/>
          <w:highlight w:val="none"/>
          <w:lang w:eastAsia="zh-CN"/>
          <w:woUserID w:val="1"/>
        </w:rPr>
        <w:t>：</w:t>
      </w:r>
    </w:p>
    <w:p w14:paraId="0F18C93B">
      <w:pPr>
        <w:numPr>
          <w:ilvl w:val="0"/>
          <w:numId w:val="2"/>
        </w:numPr>
        <w:shd w:val="clear"/>
        <w:spacing w:line="360" w:lineRule="auto"/>
        <w:ind w:firstLine="480" w:firstLineChars="200"/>
        <w:rPr>
          <w:rFonts w:hint="eastAsia" w:ascii="仿宋" w:hAnsi="仿宋" w:eastAsia="仿宋" w:cs="仿宋"/>
          <w:iCs/>
          <w:color w:val="auto"/>
          <w:kern w:val="0"/>
          <w:sz w:val="24"/>
          <w:szCs w:val="24"/>
          <w:highlight w:val="none"/>
          <w:lang w:val="en-US" w:eastAsia="zh-CN"/>
          <w:woUserID w:val="1"/>
        </w:rPr>
      </w:pPr>
      <w:r>
        <w:rPr>
          <w:rFonts w:hint="eastAsia" w:ascii="仿宋" w:hAnsi="仿宋" w:eastAsia="仿宋" w:cs="仿宋"/>
          <w:iCs/>
          <w:color w:val="auto"/>
          <w:kern w:val="0"/>
          <w:sz w:val="24"/>
          <w:szCs w:val="24"/>
          <w:highlight w:val="none"/>
          <w:woUserID w:val="1"/>
        </w:rPr>
        <w:t>一楼室内展厅</w:t>
      </w:r>
      <w:r>
        <w:rPr>
          <w:rFonts w:hint="eastAsia" w:ascii="仿宋" w:hAnsi="仿宋" w:eastAsia="仿宋" w:cs="仿宋"/>
          <w:iCs/>
          <w:color w:val="auto"/>
          <w:kern w:val="0"/>
          <w:sz w:val="24"/>
          <w:szCs w:val="24"/>
          <w:highlight w:val="none"/>
          <w:lang w:val="en-US" w:eastAsia="zh-CN"/>
          <w:woUserID w:val="1"/>
        </w:rPr>
        <w:t>展厅：</w:t>
      </w:r>
    </w:p>
    <w:p w14:paraId="308F4DBC">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a.</w:t>
      </w:r>
      <w:r>
        <w:rPr>
          <w:rFonts w:hint="default" w:ascii="仿宋" w:hAnsi="仿宋" w:eastAsia="仿宋" w:cs="仿宋"/>
          <w:iCs/>
          <w:color w:val="auto"/>
          <w:kern w:val="0"/>
          <w:sz w:val="24"/>
          <w:szCs w:val="24"/>
          <w:highlight w:val="none"/>
          <w:woUserID w:val="1"/>
        </w:rPr>
        <w:t> 基础工程：地面找平/自流平处理、墙面基层修补（挂网防裂）、顶面吊顶龙骨搭建（轻钢龙骨为主，适配消防/通风管线）</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363D0347">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b</w:t>
      </w:r>
      <w:r>
        <w:rPr>
          <w:rFonts w:hint="default" w:ascii="仿宋" w:hAnsi="仿宋" w:eastAsia="仿宋" w:cs="仿宋"/>
          <w:iCs/>
          <w:color w:val="auto"/>
          <w:kern w:val="0"/>
          <w:sz w:val="24"/>
          <w:szCs w:val="24"/>
          <w:highlight w:val="none"/>
          <w:woUserID w:val="1"/>
        </w:rPr>
        <w:t>. 水电工程：预埋照明/插座/设备供电线路（穿管保护），预留展品电源接口（含弱电：网络/HDMI/音响）；布设保洁用水点、应急排水口，做好防渗漏处理</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1CC1484E">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c</w:t>
      </w:r>
      <w:r>
        <w:rPr>
          <w:rFonts w:hint="default" w:ascii="仿宋" w:hAnsi="仿宋" w:eastAsia="仿宋" w:cs="仿宋"/>
          <w:iCs/>
          <w:color w:val="auto"/>
          <w:kern w:val="0"/>
          <w:sz w:val="24"/>
          <w:szCs w:val="24"/>
          <w:highlight w:val="none"/>
          <w:woUserID w:val="1"/>
        </w:rPr>
        <w:t>. 装饰工程：墙面饰面（乳胶漆/壁纸/木饰面板/展墙展板）、地面铺装（地毯/地板/石材/地胶）、顶面封板（石膏板/铝扣板）及造型装饰，展具（展柜/展台/展架）定制安装</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04CAD202">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d</w:t>
      </w:r>
      <w:r>
        <w:rPr>
          <w:rFonts w:hint="default" w:ascii="仿宋" w:hAnsi="仿宋" w:eastAsia="仿宋" w:cs="仿宋"/>
          <w:iCs/>
          <w:color w:val="auto"/>
          <w:kern w:val="0"/>
          <w:sz w:val="24"/>
          <w:szCs w:val="24"/>
          <w:highlight w:val="none"/>
          <w:woUserID w:val="1"/>
        </w:rPr>
        <w:t>. 功能配套：照明系统（主照明+重点照明+氛围灯）、空调通风（适配展厅人流密度）、消防改造（烟感/喷淋/应急通道）、安防监控与门禁安装</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444DC07C">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e</w:t>
      </w:r>
      <w:r>
        <w:rPr>
          <w:rFonts w:hint="default" w:ascii="仿宋" w:hAnsi="仿宋" w:eastAsia="仿宋" w:cs="仿宋"/>
          <w:iCs/>
          <w:color w:val="auto"/>
          <w:kern w:val="0"/>
          <w:sz w:val="24"/>
          <w:szCs w:val="24"/>
          <w:highlight w:val="none"/>
          <w:woUserID w:val="1"/>
        </w:rPr>
        <w:t>. </w:t>
      </w:r>
      <w:r>
        <w:rPr>
          <w:rFonts w:hint="eastAsia" w:ascii="仿宋" w:hAnsi="仿宋" w:eastAsia="仿宋" w:cs="仿宋"/>
          <w:bCs/>
          <w:snapToGrid w:val="0"/>
          <w:color w:val="auto"/>
          <w:kern w:val="0"/>
          <w:sz w:val="24"/>
          <w:highlight w:val="none"/>
          <w:woUserID w:val="1"/>
        </w:rPr>
        <w:t>沙盘、展陈物料、设备</w:t>
      </w:r>
      <w:r>
        <w:rPr>
          <w:rFonts w:hint="eastAsia" w:ascii="仿宋" w:hAnsi="仿宋" w:eastAsia="仿宋" w:cs="仿宋"/>
          <w:bCs/>
          <w:snapToGrid w:val="0"/>
          <w:color w:val="auto"/>
          <w:kern w:val="0"/>
          <w:sz w:val="24"/>
          <w:highlight w:val="none"/>
          <w:lang w:val="en-US" w:eastAsia="zh-CN"/>
          <w:woUserID w:val="1"/>
        </w:rPr>
        <w:t>等采购及安装</w:t>
      </w:r>
      <w:r>
        <w:rPr>
          <w:rFonts w:hint="eastAsia" w:ascii="仿宋" w:hAnsi="仿宋" w:eastAsia="仿宋" w:cs="仿宋"/>
          <w:iCs/>
          <w:color w:val="auto"/>
          <w:kern w:val="0"/>
          <w:sz w:val="24"/>
          <w:szCs w:val="24"/>
          <w:highlight w:val="none"/>
          <w:lang w:val="en-US" w:eastAsia="zh-CN"/>
          <w:woUserID w:val="1"/>
        </w:rPr>
        <w:t>。</w:t>
      </w:r>
    </w:p>
    <w:p w14:paraId="4D143CAB">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lang w:eastAsia="zh-CN"/>
          <w:woUserID w:val="1"/>
        </w:rPr>
      </w:pPr>
      <w:r>
        <w:rPr>
          <w:rFonts w:hint="eastAsia" w:ascii="仿宋" w:hAnsi="仿宋" w:eastAsia="仿宋" w:cs="仿宋"/>
          <w:iCs/>
          <w:color w:val="auto"/>
          <w:kern w:val="0"/>
          <w:sz w:val="24"/>
          <w:szCs w:val="24"/>
          <w:highlight w:val="none"/>
          <w:lang w:val="en-US" w:eastAsia="zh-CN"/>
          <w:woUserID w:val="1"/>
        </w:rPr>
        <w:t>f</w:t>
      </w:r>
      <w:r>
        <w:rPr>
          <w:rFonts w:hint="default" w:ascii="仿宋" w:hAnsi="仿宋" w:eastAsia="仿宋" w:cs="仿宋"/>
          <w:iCs/>
          <w:color w:val="auto"/>
          <w:kern w:val="0"/>
          <w:sz w:val="24"/>
          <w:szCs w:val="24"/>
          <w:highlight w:val="none"/>
          <w:woUserID w:val="1"/>
        </w:rPr>
        <w:t>. </w:t>
      </w:r>
      <w:r>
        <w:rPr>
          <w:rFonts w:hint="eastAsia" w:ascii="仿宋" w:hAnsi="仿宋" w:eastAsia="仿宋" w:cs="仿宋"/>
          <w:bCs/>
          <w:snapToGrid w:val="0"/>
          <w:color w:val="auto"/>
          <w:kern w:val="0"/>
          <w:sz w:val="24"/>
          <w:highlight w:val="none"/>
          <w:woUserID w:val="1"/>
        </w:rPr>
        <w:t>数字内容策划及制作</w:t>
      </w:r>
      <w:r>
        <w:rPr>
          <w:rFonts w:hint="eastAsia" w:ascii="仿宋" w:hAnsi="仿宋" w:eastAsia="仿宋" w:cs="仿宋"/>
          <w:bCs/>
          <w:snapToGrid w:val="0"/>
          <w:color w:val="auto"/>
          <w:kern w:val="0"/>
          <w:sz w:val="24"/>
          <w:highlight w:val="none"/>
          <w:lang w:eastAsia="zh-CN"/>
          <w:woUserID w:val="1"/>
        </w:rPr>
        <w:t>。</w:t>
      </w:r>
    </w:p>
    <w:p w14:paraId="57B60DAF">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g</w:t>
      </w:r>
      <w:r>
        <w:rPr>
          <w:rFonts w:hint="default" w:ascii="仿宋" w:hAnsi="仿宋" w:eastAsia="仿宋" w:cs="仿宋"/>
          <w:iCs/>
          <w:color w:val="auto"/>
          <w:kern w:val="0"/>
          <w:sz w:val="24"/>
          <w:szCs w:val="24"/>
          <w:highlight w:val="none"/>
          <w:woUserID w:val="1"/>
        </w:rPr>
        <w:t>. 收尾工程：细节收口（阴阳角处理/缝隙填补）、清洁保洁、功能调试（水电/照明/设备运行）、消防与安全验收</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5FAC0987">
      <w:pPr>
        <w:numPr>
          <w:ilvl w:val="0"/>
          <w:numId w:val="2"/>
        </w:numPr>
        <w:shd w:val="clear"/>
        <w:spacing w:line="360" w:lineRule="auto"/>
        <w:ind w:firstLine="480" w:firstLineChars="200"/>
        <w:rPr>
          <w:rFonts w:hint="eastAsia" w:ascii="仿宋" w:hAnsi="仿宋" w:eastAsia="仿宋" w:cs="仿宋"/>
          <w:iCs/>
          <w:color w:val="auto"/>
          <w:kern w:val="0"/>
          <w:sz w:val="24"/>
          <w:szCs w:val="24"/>
          <w:highlight w:val="none"/>
          <w:lang w:val="en-US" w:eastAsia="zh-CN"/>
          <w:woUserID w:val="1"/>
        </w:rPr>
      </w:pPr>
      <w:r>
        <w:rPr>
          <w:rFonts w:hint="eastAsia" w:ascii="仿宋" w:hAnsi="仿宋" w:eastAsia="仿宋" w:cs="仿宋"/>
          <w:iCs/>
          <w:color w:val="auto"/>
          <w:kern w:val="0"/>
          <w:sz w:val="24"/>
          <w:szCs w:val="24"/>
          <w:highlight w:val="none"/>
          <w:lang w:val="en-US" w:eastAsia="zh-CN"/>
          <w:woUserID w:val="1"/>
        </w:rPr>
        <w:t>建筑外立面：</w:t>
      </w:r>
    </w:p>
    <w:p w14:paraId="07C9AC98">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a</w:t>
      </w:r>
      <w:r>
        <w:rPr>
          <w:rFonts w:hint="eastAsia" w:ascii="仿宋" w:hAnsi="仿宋" w:eastAsia="仿宋" w:cs="仿宋"/>
          <w:iCs/>
          <w:color w:val="auto"/>
          <w:kern w:val="0"/>
          <w:sz w:val="24"/>
          <w:szCs w:val="24"/>
          <w:highlight w:val="none"/>
          <w:woUserID w:val="1"/>
        </w:rPr>
        <w:t>. 基层处理：墙面基层找平、修补裂缝（挂网防裂），金属框架/钢结构除锈防腐</w:t>
      </w:r>
      <w:r>
        <w:rPr>
          <w:rFonts w:hint="eastAsia" w:ascii="仿宋" w:hAnsi="仿宋" w:eastAsia="仿宋" w:cs="仿宋"/>
          <w:iCs/>
          <w:color w:val="auto"/>
          <w:kern w:val="0"/>
          <w:sz w:val="24"/>
          <w:szCs w:val="24"/>
          <w:highlight w:val="none"/>
          <w:lang w:val="en-US" w:eastAsia="zh-CN"/>
          <w:woUserID w:val="1"/>
        </w:rPr>
        <w:t>等</w:t>
      </w:r>
      <w:r>
        <w:rPr>
          <w:rFonts w:hint="eastAsia" w:ascii="仿宋" w:hAnsi="仿宋" w:eastAsia="仿宋" w:cs="仿宋"/>
          <w:iCs/>
          <w:color w:val="auto"/>
          <w:kern w:val="0"/>
          <w:sz w:val="24"/>
          <w:szCs w:val="24"/>
          <w:highlight w:val="none"/>
          <w:woUserID w:val="1"/>
        </w:rPr>
        <w:t>，确保基层牢固平整。</w:t>
      </w:r>
    </w:p>
    <w:p w14:paraId="11928043">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b</w:t>
      </w:r>
      <w:r>
        <w:rPr>
          <w:rFonts w:hint="eastAsia" w:ascii="仿宋" w:hAnsi="仿宋" w:eastAsia="仿宋" w:cs="仿宋"/>
          <w:iCs/>
          <w:color w:val="auto"/>
          <w:kern w:val="0"/>
          <w:sz w:val="24"/>
          <w:szCs w:val="24"/>
          <w:highlight w:val="none"/>
          <w:woUserID w:val="1"/>
        </w:rPr>
        <w:t>. 主体装饰：按设计方案施工（石材干挂/玻璃幕墙/铝塑板/真石漆/文化砖），或临时展厅的彩钢板/喷绘布封装，保证饰面平整、接缝严密。</w:t>
      </w:r>
    </w:p>
    <w:p w14:paraId="7B535EC2">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c</w:t>
      </w:r>
      <w:r>
        <w:rPr>
          <w:rFonts w:hint="eastAsia" w:ascii="仿宋" w:hAnsi="仿宋" w:eastAsia="仿宋" w:cs="仿宋"/>
          <w:iCs/>
          <w:color w:val="auto"/>
          <w:kern w:val="0"/>
          <w:sz w:val="24"/>
          <w:szCs w:val="24"/>
          <w:highlight w:val="none"/>
          <w:woUserID w:val="1"/>
        </w:rPr>
        <w:t>. 门窗与入口：安装展示门（玻璃门/旋转门/定制门）、采光窗（密封防水），打造入口雨棚/门头造型，配套门禁与防撞设施。</w:t>
      </w:r>
    </w:p>
    <w:p w14:paraId="484A55F1">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d</w:t>
      </w:r>
      <w:r>
        <w:rPr>
          <w:rFonts w:hint="eastAsia" w:ascii="仿宋" w:hAnsi="仿宋" w:eastAsia="仿宋" w:cs="仿宋"/>
          <w:iCs/>
          <w:color w:val="auto"/>
          <w:kern w:val="0"/>
          <w:sz w:val="24"/>
          <w:szCs w:val="24"/>
          <w:highlight w:val="none"/>
          <w:woUserID w:val="1"/>
        </w:rPr>
        <w:t>. 标识与照明：安装展厅名称标识、导视牌（夜间发光款优先），布设外墙氛围灯、洗墙灯、轮廓灯，预留广告位电源接口</w:t>
      </w:r>
      <w:r>
        <w:rPr>
          <w:rFonts w:hint="eastAsia" w:ascii="仿宋" w:hAnsi="仿宋" w:eastAsia="仿宋" w:cs="仿宋"/>
          <w:iCs/>
          <w:color w:val="auto"/>
          <w:kern w:val="0"/>
          <w:sz w:val="24"/>
          <w:szCs w:val="24"/>
          <w:highlight w:val="none"/>
          <w:lang w:val="en-US" w:eastAsia="zh-CN"/>
          <w:woUserID w:val="1"/>
        </w:rPr>
        <w:t>等</w:t>
      </w:r>
      <w:r>
        <w:rPr>
          <w:rFonts w:hint="eastAsia" w:ascii="仿宋" w:hAnsi="仿宋" w:eastAsia="仿宋" w:cs="仿宋"/>
          <w:iCs/>
          <w:color w:val="auto"/>
          <w:kern w:val="0"/>
          <w:sz w:val="24"/>
          <w:szCs w:val="24"/>
          <w:highlight w:val="none"/>
          <w:woUserID w:val="1"/>
        </w:rPr>
        <w:t>。</w:t>
      </w:r>
    </w:p>
    <w:p w14:paraId="6027D548">
      <w:pPr>
        <w:numPr>
          <w:ilvl w:val="-1"/>
          <w:numId w:val="0"/>
        </w:numPr>
        <w:shd w:val="clear"/>
        <w:spacing w:line="360" w:lineRule="auto"/>
        <w:ind w:firstLine="480" w:firstLineChars="200"/>
        <w:rPr>
          <w:rFonts w:hint="eastAsia"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e</w:t>
      </w:r>
      <w:r>
        <w:rPr>
          <w:rFonts w:hint="eastAsia" w:ascii="仿宋" w:hAnsi="仿宋" w:eastAsia="仿宋" w:cs="仿宋"/>
          <w:iCs/>
          <w:color w:val="auto"/>
          <w:kern w:val="0"/>
          <w:sz w:val="24"/>
          <w:szCs w:val="24"/>
          <w:highlight w:val="none"/>
          <w:woUserID w:val="1"/>
        </w:rPr>
        <w:t>. 防水与细节：门窗收口打胶密封、墙面做防水涂层，处理阴阳角、伸缩缝，确保排水顺畅（避免积水），符合防风抗震要求。</w:t>
      </w:r>
    </w:p>
    <w:p w14:paraId="224E49BB">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lang w:val="en-US"/>
          <w:woUserID w:val="1"/>
        </w:rPr>
      </w:pPr>
      <w:r>
        <w:rPr>
          <w:rFonts w:hint="eastAsia" w:ascii="仿宋" w:hAnsi="仿宋" w:eastAsia="仿宋" w:cs="仿宋"/>
          <w:iCs/>
          <w:color w:val="auto"/>
          <w:kern w:val="0"/>
          <w:sz w:val="24"/>
          <w:szCs w:val="24"/>
          <w:highlight w:val="none"/>
          <w:lang w:val="en-US" w:eastAsia="zh-CN"/>
          <w:woUserID w:val="1"/>
        </w:rPr>
        <w:t>3）室外停车场：</w:t>
      </w:r>
    </w:p>
    <w:p w14:paraId="6DEFDCAB">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a</w:t>
      </w:r>
      <w:r>
        <w:rPr>
          <w:rFonts w:hint="default" w:ascii="仿宋" w:hAnsi="仿宋" w:eastAsia="仿宋" w:cs="仿宋"/>
          <w:iCs/>
          <w:color w:val="auto"/>
          <w:kern w:val="0"/>
          <w:sz w:val="24"/>
          <w:szCs w:val="24"/>
          <w:highlight w:val="none"/>
          <w:woUserID w:val="1"/>
        </w:rPr>
        <w:t>. 基础工程：场地清表（移除杂物/杂草）、土方开挖与平整</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30083769">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b</w:t>
      </w:r>
      <w:r>
        <w:rPr>
          <w:rFonts w:hint="default" w:ascii="仿宋" w:hAnsi="仿宋" w:eastAsia="仿宋" w:cs="仿宋"/>
          <w:iCs/>
          <w:color w:val="auto"/>
          <w:kern w:val="0"/>
          <w:sz w:val="24"/>
          <w:szCs w:val="24"/>
          <w:highlight w:val="none"/>
          <w:woUserID w:val="1"/>
        </w:rPr>
        <w:t>. 面层施工：按需求选材质——沥青路面</w:t>
      </w:r>
      <w:r>
        <w:rPr>
          <w:rFonts w:hint="eastAsia" w:ascii="仿宋" w:hAnsi="仿宋" w:eastAsia="仿宋" w:cs="仿宋"/>
          <w:iCs/>
          <w:color w:val="auto"/>
          <w:kern w:val="0"/>
          <w:sz w:val="24"/>
          <w:szCs w:val="24"/>
          <w:highlight w:val="none"/>
          <w:lang w:val="en-US" w:eastAsia="zh-CN"/>
          <w:woUserID w:val="1"/>
        </w:rPr>
        <w:t>或</w:t>
      </w:r>
      <w:r>
        <w:rPr>
          <w:rFonts w:hint="default" w:ascii="仿宋" w:hAnsi="仿宋" w:eastAsia="仿宋" w:cs="仿宋"/>
          <w:iCs/>
          <w:color w:val="auto"/>
          <w:kern w:val="0"/>
          <w:sz w:val="24"/>
          <w:szCs w:val="24"/>
          <w:highlight w:val="none"/>
          <w:woUserID w:val="1"/>
        </w:rPr>
        <w:t>混凝土路面</w:t>
      </w:r>
      <w:r>
        <w:rPr>
          <w:rFonts w:hint="eastAsia" w:ascii="仿宋" w:hAnsi="仿宋" w:eastAsia="仿宋" w:cs="仿宋"/>
          <w:iCs/>
          <w:color w:val="auto"/>
          <w:kern w:val="0"/>
          <w:sz w:val="24"/>
          <w:szCs w:val="24"/>
          <w:highlight w:val="none"/>
          <w:lang w:val="en-US" w:eastAsia="zh-CN"/>
          <w:woUserID w:val="1"/>
        </w:rPr>
        <w:t>或</w:t>
      </w:r>
      <w:r>
        <w:rPr>
          <w:rFonts w:hint="default" w:ascii="仿宋" w:hAnsi="仿宋" w:eastAsia="仿宋" w:cs="仿宋"/>
          <w:iCs/>
          <w:color w:val="auto"/>
          <w:kern w:val="0"/>
          <w:sz w:val="24"/>
          <w:szCs w:val="24"/>
          <w:highlight w:val="none"/>
          <w:woUserID w:val="1"/>
        </w:rPr>
        <w:t>植草砖/透水砖（适配生态需求，预留排水间隙）。</w:t>
      </w:r>
    </w:p>
    <w:p w14:paraId="422133C7">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c</w:t>
      </w:r>
      <w:r>
        <w:rPr>
          <w:rFonts w:hint="default" w:ascii="仿宋" w:hAnsi="仿宋" w:eastAsia="仿宋" w:cs="仿宋"/>
          <w:iCs/>
          <w:color w:val="auto"/>
          <w:kern w:val="0"/>
          <w:sz w:val="24"/>
          <w:szCs w:val="24"/>
          <w:highlight w:val="none"/>
          <w:woUserID w:val="1"/>
        </w:rPr>
        <w:t>. 功能配套：划设停车位线、导向箭头、禁停区（热熔反光漆），安装车位锁（可选）、减速带、反光镜；布设照明路灯、消防通道标识</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65C4B2D0">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d</w:t>
      </w:r>
      <w:r>
        <w:rPr>
          <w:rFonts w:hint="default" w:ascii="仿宋" w:hAnsi="仿宋" w:eastAsia="仿宋" w:cs="仿宋"/>
          <w:iCs/>
          <w:color w:val="auto"/>
          <w:kern w:val="0"/>
          <w:sz w:val="24"/>
          <w:szCs w:val="24"/>
          <w:highlight w:val="none"/>
          <w:woUserID w:val="1"/>
        </w:rPr>
        <w:t>. 排水系统：设置横坡引流，搭配雨水口+排水沟（明沟/暗沟），接入市政排水管网，避免场地积水。</w:t>
      </w:r>
    </w:p>
    <w:p w14:paraId="645E5AF1">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eastAsia="zh-CN"/>
          <w:woUserID w:val="1"/>
        </w:rPr>
        <w:t>e</w:t>
      </w:r>
      <w:r>
        <w:rPr>
          <w:rFonts w:hint="default" w:ascii="仿宋" w:hAnsi="仿宋" w:eastAsia="仿宋" w:cs="仿宋"/>
          <w:iCs/>
          <w:color w:val="auto"/>
          <w:kern w:val="0"/>
          <w:sz w:val="24"/>
          <w:szCs w:val="24"/>
          <w:highlight w:val="none"/>
          <w:woUserID w:val="1"/>
        </w:rPr>
        <w:t>. 附属设施：搭建入口岗亭、道闸系统（含车牌识别），无障碍通道，种植绿化隔离带，完善消防栓预留接口</w:t>
      </w:r>
      <w:r>
        <w:rPr>
          <w:rFonts w:hint="eastAsia" w:ascii="仿宋" w:hAnsi="仿宋" w:eastAsia="仿宋" w:cs="仿宋"/>
          <w:iCs/>
          <w:color w:val="auto"/>
          <w:kern w:val="0"/>
          <w:sz w:val="24"/>
          <w:szCs w:val="24"/>
          <w:highlight w:val="none"/>
          <w:lang w:val="en-US" w:eastAsia="zh-CN"/>
          <w:woUserID w:val="1"/>
        </w:rPr>
        <w:t>等</w:t>
      </w:r>
      <w:r>
        <w:rPr>
          <w:rFonts w:hint="default" w:ascii="仿宋" w:hAnsi="仿宋" w:eastAsia="仿宋" w:cs="仿宋"/>
          <w:iCs/>
          <w:color w:val="auto"/>
          <w:kern w:val="0"/>
          <w:sz w:val="24"/>
          <w:szCs w:val="24"/>
          <w:highlight w:val="none"/>
          <w:woUserID w:val="1"/>
        </w:rPr>
        <w:t>。</w:t>
      </w:r>
    </w:p>
    <w:p w14:paraId="647836E8">
      <w:pPr>
        <w:numPr>
          <w:ilvl w:val="-1"/>
          <w:numId w:val="0"/>
        </w:numPr>
        <w:shd w:val="clear"/>
        <w:spacing w:line="360" w:lineRule="auto"/>
        <w:ind w:firstLine="480" w:firstLineChars="200"/>
        <w:rPr>
          <w:rFonts w:hint="default" w:ascii="仿宋" w:hAnsi="仿宋" w:eastAsia="仿宋" w:cs="仿宋"/>
          <w:iCs/>
          <w:color w:val="auto"/>
          <w:kern w:val="0"/>
          <w:sz w:val="24"/>
          <w:szCs w:val="24"/>
          <w:highlight w:val="none"/>
          <w:woUserID w:val="1"/>
        </w:rPr>
      </w:pPr>
      <w:r>
        <w:rPr>
          <w:rFonts w:hint="eastAsia" w:ascii="仿宋" w:hAnsi="仿宋" w:eastAsia="仿宋" w:cs="仿宋"/>
          <w:iCs/>
          <w:color w:val="auto"/>
          <w:kern w:val="0"/>
          <w:sz w:val="24"/>
          <w:szCs w:val="24"/>
          <w:highlight w:val="none"/>
          <w:lang w:val="en-US" w:eastAsia="zh-CN"/>
          <w:woUserID w:val="1"/>
        </w:rPr>
        <w:t>f.外水外电工程：保证展厅及其配套工程的用水用电。</w:t>
      </w:r>
    </w:p>
    <w:p w14:paraId="2359A009">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2</w:t>
      </w:r>
      <w:r>
        <w:rPr>
          <w:rFonts w:hint="eastAsia" w:ascii="仿宋" w:hAnsi="仿宋" w:eastAsia="仿宋" w:cs="仿宋"/>
          <w:bCs/>
          <w:snapToGrid w:val="0"/>
          <w:color w:val="auto"/>
          <w:kern w:val="0"/>
          <w:sz w:val="24"/>
          <w:highlight w:val="none"/>
          <w:woUserID w:val="1"/>
        </w:rPr>
        <w:t>）负责本工程范围内施工管理配合服务，对本工程范围内发包人另行发包的其他工程提供总承包管理、配合服务工作，负责缴纳施工用电、施工用水至竣工验收移交发包人期间的费用；负责交付前的开荒保洁工作。上述所有工作产生的费用在投标下浮率中综合考虑，发包人不再另行计量支付。</w:t>
      </w:r>
    </w:p>
    <w:p w14:paraId="4F75D9F6">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3</w:t>
      </w:r>
      <w:r>
        <w:rPr>
          <w:rFonts w:hint="eastAsia" w:ascii="仿宋" w:hAnsi="仿宋" w:eastAsia="仿宋" w:cs="仿宋"/>
          <w:bCs/>
          <w:snapToGrid w:val="0"/>
          <w:color w:val="auto"/>
          <w:kern w:val="0"/>
          <w:sz w:val="24"/>
          <w:highlight w:val="none"/>
          <w:woUserID w:val="1"/>
        </w:rPr>
        <w:t>）组织本项目的整体竣工验收及备案</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lang w:val="en-US" w:eastAsia="zh-CN"/>
          <w:woUserID w:val="1"/>
        </w:rPr>
        <w:t>如有）</w:t>
      </w:r>
      <w:r>
        <w:rPr>
          <w:rFonts w:hint="eastAsia" w:ascii="仿宋" w:hAnsi="仿宋" w:eastAsia="仿宋" w:cs="仿宋"/>
          <w:bCs/>
          <w:snapToGrid w:val="0"/>
          <w:color w:val="auto"/>
          <w:kern w:val="0"/>
          <w:sz w:val="24"/>
          <w:highlight w:val="none"/>
          <w:woUserID w:val="1"/>
        </w:rPr>
        <w:t>和整体工程资料汇总及整理归档工作。</w:t>
      </w:r>
    </w:p>
    <w:p w14:paraId="281B494A">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4</w:t>
      </w:r>
      <w:r>
        <w:rPr>
          <w:rFonts w:hint="eastAsia" w:ascii="仿宋" w:hAnsi="仿宋" w:eastAsia="仿宋" w:cs="仿宋"/>
          <w:bCs/>
          <w:snapToGrid w:val="0"/>
          <w:color w:val="auto"/>
          <w:kern w:val="0"/>
          <w:sz w:val="24"/>
          <w:highlight w:val="none"/>
          <w:woUserID w:val="1"/>
        </w:rPr>
        <w:t>）负责协调施工过程中的相关职能部门及周边居民，包括且不限于街道居委、公安派出所、交通部门、质安监、建管、城管等。上述所有工作产生的费用在投标下浮率中综合考虑，发包人不再另行计量支付。</w:t>
      </w:r>
    </w:p>
    <w:p w14:paraId="70F4BA14">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5</w:t>
      </w:r>
      <w:r>
        <w:rPr>
          <w:rFonts w:hint="eastAsia" w:ascii="仿宋" w:hAnsi="仿宋" w:eastAsia="仿宋" w:cs="仿宋"/>
          <w:bCs/>
          <w:snapToGrid w:val="0"/>
          <w:color w:val="auto"/>
          <w:kern w:val="0"/>
          <w:sz w:val="24"/>
          <w:highlight w:val="none"/>
          <w:woUserID w:val="1"/>
        </w:rPr>
        <w:t>）拆除工程：施工前进行场内的清表（若有，杂草及灌木等的清理及外运）、场内旧混凝土地面破除及原地面施工道路砼、原基础结构设施、排水管道及管沟拆除、原地块围网、围墙拆除等，以上所有费用均已包含在投标报价综合考虑中，不再另外开项支付。</w:t>
      </w:r>
    </w:p>
    <w:p w14:paraId="2595AA96">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6</w:t>
      </w:r>
      <w:r>
        <w:rPr>
          <w:rFonts w:hint="eastAsia" w:ascii="仿宋" w:hAnsi="仿宋" w:eastAsia="仿宋" w:cs="仿宋"/>
          <w:bCs/>
          <w:snapToGrid w:val="0"/>
          <w:color w:val="auto"/>
          <w:kern w:val="0"/>
          <w:sz w:val="24"/>
          <w:highlight w:val="none"/>
          <w:woUserID w:val="1"/>
        </w:rPr>
        <w:t>）排水工程：区域内提前降排水措施；临时排水管网，包括但不限于污水和雨水管道及其附件、检查井、雨水口、沉淀池及边沟淤泥清疏等排水设施，包括办理开挖许可、施工排水许可证。以上所有费用均已包含在投标报价综合考虑中，不再另外开项支付。承包人须考虑从开工至完工移交前，采取一切措施保证排水的及时性，由于排水不及时引起的浸泡等产生的工程质量、安全问题造成的经济及工期损失均由承包人承担。</w:t>
      </w:r>
    </w:p>
    <w:p w14:paraId="5FCC8A38">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7</w:t>
      </w:r>
      <w:r>
        <w:rPr>
          <w:rFonts w:hint="eastAsia" w:ascii="仿宋" w:hAnsi="仿宋" w:eastAsia="仿宋" w:cs="仿宋"/>
          <w:bCs/>
          <w:snapToGrid w:val="0"/>
          <w:color w:val="auto"/>
          <w:kern w:val="0"/>
          <w:sz w:val="24"/>
          <w:highlight w:val="none"/>
          <w:woUserID w:val="1"/>
        </w:rPr>
        <w:t>）整个施工过程中若发包人提供临水、临电接驳点，承包人负责施工场地用电及所需电缆、灯具安装、施工用水及所需管道敷设等。根据现场条件如无法及时提供临水、临电接驳等服务，承包人需根据施工需要自行解决临时用水用电（含临时发电机发电、施工场地用电及所需电缆、灯具安装、施工用水及所需管道敷设等）。以上所有费用均已包含在投标报价综合考虑中，不再另外开项支付。</w:t>
      </w:r>
    </w:p>
    <w:p w14:paraId="53206F26">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8</w:t>
      </w:r>
      <w:r>
        <w:rPr>
          <w:rFonts w:hint="eastAsia" w:ascii="仿宋" w:hAnsi="仿宋" w:eastAsia="仿宋" w:cs="仿宋"/>
          <w:bCs/>
          <w:snapToGrid w:val="0"/>
          <w:color w:val="auto"/>
          <w:kern w:val="0"/>
          <w:sz w:val="24"/>
          <w:highlight w:val="none"/>
          <w:woUserID w:val="1"/>
        </w:rPr>
        <w:t>）用地红线内施工现场不提供项目部建设及宿舍等临时设施搭设场地，承包人需于现场附近租赁，自行解决项目部（包括但不限于：办公场所、工人宿舍等一切涉及本项目建设使用临时设施）建设及围蔽（含建设用地租赁费用）；并自行解决管理人员及工人的住宿问题；自行考虑住宿的地点及往来交通。承包人负责项目部建设，项目部建设方案须征得发包人同意后方可实施。以上所有费用均已包含在投标报价综合考虑中，不再另外开项支付。</w:t>
      </w:r>
    </w:p>
    <w:p w14:paraId="74DF2B93">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9</w:t>
      </w:r>
      <w:r>
        <w:rPr>
          <w:rFonts w:hint="eastAsia" w:ascii="仿宋" w:hAnsi="仿宋" w:eastAsia="仿宋" w:cs="仿宋"/>
          <w:bCs/>
          <w:snapToGrid w:val="0"/>
          <w:color w:val="auto"/>
          <w:kern w:val="0"/>
          <w:sz w:val="24"/>
          <w:highlight w:val="none"/>
          <w:woUserID w:val="1"/>
        </w:rPr>
        <w:t>）承包人需委托有资质的专业机构对本改造工程范围内构筑物进行施工前、后结构安全鉴定</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woUserID w:val="1"/>
        </w:rPr>
        <w:t>施工过程中需避免对周边楼房或楼房地基造成破坏，必要时前置进行房屋安全鉴定，如果施工导致周边楼房出现沉降开裂甚至更严重问题，引起投诉抗议，承包人须对周边楼房进行修补、对居民安抚补偿提供临迁费、安置房等措施。如果出现由于居民投诉抗议导致项目被罚款甚至停工影响施工进度，相关损失由承包人承担。以上产生的所有费用均已包含在投标报价综合考虑中，不再另外开项支付。“</w:t>
      </w:r>
    </w:p>
    <w:p w14:paraId="44570AC4">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0</w:t>
      </w:r>
      <w:r>
        <w:rPr>
          <w:rFonts w:hint="eastAsia" w:ascii="仿宋" w:hAnsi="仿宋" w:eastAsia="仿宋" w:cs="仿宋"/>
          <w:bCs/>
          <w:snapToGrid w:val="0"/>
          <w:color w:val="auto"/>
          <w:kern w:val="0"/>
          <w:sz w:val="24"/>
          <w:highlight w:val="none"/>
          <w:woUserID w:val="1"/>
        </w:rPr>
        <w:t>）负责施工图预算编制、设计变更、设计变更造价分析、签证预算编制、竣工结算等造价文件的编制工作，配合相关部门结（决）算审计。</w:t>
      </w:r>
    </w:p>
    <w:p w14:paraId="1857C27A">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1</w:t>
      </w:r>
      <w:r>
        <w:rPr>
          <w:rFonts w:hint="eastAsia" w:ascii="仿宋" w:hAnsi="仿宋" w:eastAsia="仿宋" w:cs="仿宋"/>
          <w:bCs/>
          <w:snapToGrid w:val="0"/>
          <w:color w:val="auto"/>
          <w:kern w:val="0"/>
          <w:sz w:val="24"/>
          <w:highlight w:val="none"/>
          <w:woUserID w:val="1"/>
        </w:rPr>
        <w:t>）负责配合办理或代为办理工程开工及验收所需的各项报监、报验手续，包括但不限于：办理施工许可证（或临时施工许可证）、报监手续、缴交劳动保证金手续（如有）、施工合同备案手续、施工占道手续、余泥排放证、树木砍伐证及相关树木保护/迁移手续、排污手续、交通疏解手续（含行政主管部门批复）、给水接驳（永久用水接驳耗水费包含在合同总价中）、水质检测、排水许可证、夜间施工许可、施工噪声排污许可、临时排水许可、建筑废弃物处置核准、排水排污设施接驳许可、水电气等专业报装、分部分项工程验收、环保验收、消防验收、人防验收、卫生验收、防雷验收、永久排水许可证、节能验收、质量验收、规划验收、永久用水验收及通水、永久路口开设验收、燃气验收及通气、办理公安门牌、制作安装主体工程竣工验收牌、竣工验收</w:t>
      </w:r>
      <w:r>
        <w:rPr>
          <w:rFonts w:hint="eastAsia" w:ascii="仿宋" w:hAnsi="仿宋" w:eastAsia="仿宋" w:cs="仿宋"/>
          <w:bCs/>
          <w:snapToGrid w:val="0"/>
          <w:color w:val="auto"/>
          <w:kern w:val="0"/>
          <w:sz w:val="24"/>
          <w:highlight w:val="none"/>
          <w:lang w:val="en-US" w:eastAsia="zh-CN"/>
          <w:woUserID w:val="1"/>
        </w:rPr>
        <w:t>及</w:t>
      </w:r>
      <w:r>
        <w:rPr>
          <w:rFonts w:hint="eastAsia" w:ascii="仿宋" w:hAnsi="仿宋" w:eastAsia="仿宋" w:cs="仿宋"/>
          <w:bCs/>
          <w:snapToGrid w:val="0"/>
          <w:color w:val="auto"/>
          <w:kern w:val="0"/>
          <w:sz w:val="24"/>
          <w:highlight w:val="none"/>
          <w:woUserID w:val="1"/>
        </w:rPr>
        <w:t>备案</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lang w:val="en-US" w:eastAsia="zh-CN"/>
          <w:woUserID w:val="1"/>
        </w:rPr>
        <w:t>如有）</w:t>
      </w:r>
      <w:r>
        <w:rPr>
          <w:rFonts w:hint="eastAsia" w:ascii="仿宋" w:hAnsi="仿宋" w:eastAsia="仿宋" w:cs="仿宋"/>
          <w:bCs/>
          <w:snapToGrid w:val="0"/>
          <w:color w:val="auto"/>
          <w:kern w:val="0"/>
          <w:sz w:val="24"/>
          <w:highlight w:val="none"/>
          <w:woUserID w:val="1"/>
        </w:rPr>
        <w:t>等工作，并支付办理上述工作中应由承包人承担的费用，以上所有费用均已包含在投标报价综合考虑中，不再另外开项支付。</w:t>
      </w:r>
    </w:p>
    <w:p w14:paraId="46570C8F">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2</w:t>
      </w:r>
      <w:r>
        <w:rPr>
          <w:rFonts w:hint="eastAsia" w:ascii="仿宋" w:hAnsi="仿宋" w:eastAsia="仿宋" w:cs="仿宋"/>
          <w:bCs/>
          <w:snapToGrid w:val="0"/>
          <w:color w:val="auto"/>
          <w:kern w:val="0"/>
          <w:sz w:val="24"/>
          <w:highlight w:val="none"/>
          <w:woUserID w:val="1"/>
        </w:rPr>
        <w:t>）完成按有关规定应由承包人负责的检测、监测工作，及配合发包人委托的第三方检测、监测工作；为发包人委托的第三方单位提供至现场工作点的场地、道路、吊装设备、水、电等条件，以上所有费用均已包含在投标报价综合考虑中，不再另外开项支付。若因超前施工产生的扩大检测费用，由承包人承担。</w:t>
      </w:r>
    </w:p>
    <w:p w14:paraId="6056DE36">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3</w:t>
      </w:r>
      <w:r>
        <w:rPr>
          <w:rFonts w:hint="eastAsia" w:ascii="仿宋" w:hAnsi="仿宋" w:eastAsia="仿宋" w:cs="仿宋"/>
          <w:bCs/>
          <w:snapToGrid w:val="0"/>
          <w:color w:val="auto"/>
          <w:kern w:val="0"/>
          <w:sz w:val="24"/>
          <w:highlight w:val="none"/>
          <w:woUserID w:val="1"/>
        </w:rPr>
        <w:t>）负责施工期间至移交前的场地管理、保安、保洁、防噪音、防扬尘及绿化养护等管理工作；施工过程中不同施工阶段，均应做到工完场清，达到发包人、监理人的文明施工要求，交付时达到精保洁标准（精保洁以发包人及接收人的要求及次数为准）；负责设置卫生垃圾池和建筑垃圾外运工作；负责设置施工污水收集过滤系统，保证污水排放不得影响周边环境；本工程所有建筑垃圾等承包人必须自行联系政府规定合法弃土地点，从工地清运出去，不论距离远近和运输过程中发生的环保费、城市卫生费等一切开支已包含在本项目合同价款中，并需做到满足项目要求、工完场清,以上所有费用均已包含在投标报价综合考虑中，不再另外开项支付。</w:t>
      </w:r>
    </w:p>
    <w:p w14:paraId="6211AA8D">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4</w:t>
      </w:r>
      <w:r>
        <w:rPr>
          <w:rFonts w:hint="eastAsia" w:ascii="仿宋" w:hAnsi="仿宋" w:eastAsia="仿宋" w:cs="仿宋"/>
          <w:bCs/>
          <w:snapToGrid w:val="0"/>
          <w:color w:val="auto"/>
          <w:kern w:val="0"/>
          <w:sz w:val="24"/>
          <w:highlight w:val="none"/>
          <w:woUserID w:val="1"/>
        </w:rPr>
        <w:t>）余泥渣土运输与排放费用，承包人须根据政府主管部门及相关政策要求、招标文件、现场条件、发包人提供的资料等，充分考虑实际所需的投入，含超前施工相关的公关、协调、沟通费用，并在投标报价中综合考虑。承包人须严格按政府主管部门及相关政策要求执行，发包人不接受承包人以此为理由的任何增加费用要求。</w:t>
      </w:r>
    </w:p>
    <w:p w14:paraId="51B3E807">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5</w:t>
      </w:r>
      <w:r>
        <w:rPr>
          <w:rFonts w:hint="eastAsia" w:ascii="仿宋" w:hAnsi="仿宋" w:eastAsia="仿宋" w:cs="仿宋"/>
          <w:bCs/>
          <w:snapToGrid w:val="0"/>
          <w:color w:val="auto"/>
          <w:kern w:val="0"/>
          <w:sz w:val="24"/>
          <w:highlight w:val="none"/>
          <w:woUserID w:val="1"/>
        </w:rPr>
        <w:t>）负责或配合做好开工、迎检、观摩、应急演练、竣工、移交、政府重大活动及日常接待等仪式或活动的筹备工作，以上所有费用均已包含在投标报价综合考虑中，不再另外开项支付。</w:t>
      </w:r>
    </w:p>
    <w:p w14:paraId="38FB5E0F">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（1</w:t>
      </w:r>
      <w:r>
        <w:rPr>
          <w:rFonts w:hint="eastAsia" w:ascii="仿宋" w:hAnsi="仿宋" w:eastAsia="仿宋" w:cs="仿宋"/>
          <w:bCs/>
          <w:snapToGrid w:val="0"/>
          <w:color w:val="auto"/>
          <w:kern w:val="0"/>
          <w:sz w:val="24"/>
          <w:highlight w:val="none"/>
          <w:lang w:val="en-US" w:eastAsia="zh-CN"/>
          <w:woUserID w:val="1"/>
        </w:rPr>
        <w:t>6</w:t>
      </w:r>
      <w:r>
        <w:rPr>
          <w:rFonts w:hint="eastAsia" w:ascii="仿宋" w:hAnsi="仿宋" w:eastAsia="仿宋" w:cs="仿宋"/>
          <w:bCs/>
          <w:snapToGrid w:val="0"/>
          <w:color w:val="auto"/>
          <w:kern w:val="0"/>
          <w:sz w:val="24"/>
          <w:highlight w:val="none"/>
          <w:woUserID w:val="1"/>
        </w:rPr>
        <w:t>）项目施工范围为避免非法堆填等突发情况发生；本合同下全部工程移交前的成品保护和照管工作（含机电设备（包括智能化设备）检测、登记、运行、维护、耗材、水电气等费用）。以上所有费用均已包含在投标报价综合考虑中，不再另外开项支付。</w:t>
      </w:r>
    </w:p>
    <w:p w14:paraId="7E2DEF36">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17</w:t>
      </w:r>
      <w:r>
        <w:rPr>
          <w:rFonts w:hint="eastAsia" w:ascii="仿宋" w:hAnsi="仿宋" w:eastAsia="仿宋" w:cs="仿宋"/>
          <w:bCs/>
          <w:snapToGrid w:val="0"/>
          <w:color w:val="auto"/>
          <w:kern w:val="0"/>
          <w:sz w:val="24"/>
          <w:highlight w:val="none"/>
          <w:woUserID w:val="1"/>
        </w:rPr>
        <w:t>）协助组织本项目的整体竣工验收及备案</w:t>
      </w:r>
      <w:r>
        <w:rPr>
          <w:rFonts w:hint="eastAsia" w:ascii="仿宋" w:hAnsi="仿宋" w:eastAsia="仿宋" w:cs="仿宋"/>
          <w:bCs/>
          <w:snapToGrid w:val="0"/>
          <w:color w:val="auto"/>
          <w:kern w:val="0"/>
          <w:sz w:val="24"/>
          <w:highlight w:val="none"/>
          <w:lang w:eastAsia="zh-CN"/>
          <w:woUserID w:val="1"/>
        </w:rPr>
        <w:t>（</w:t>
      </w:r>
      <w:r>
        <w:rPr>
          <w:rFonts w:hint="eastAsia" w:ascii="仿宋" w:hAnsi="仿宋" w:eastAsia="仿宋" w:cs="仿宋"/>
          <w:bCs/>
          <w:snapToGrid w:val="0"/>
          <w:color w:val="auto"/>
          <w:kern w:val="0"/>
          <w:sz w:val="24"/>
          <w:highlight w:val="none"/>
          <w:lang w:val="en-US" w:eastAsia="zh-CN"/>
          <w:woUserID w:val="1"/>
        </w:rPr>
        <w:t>如有）</w:t>
      </w:r>
      <w:r>
        <w:rPr>
          <w:rFonts w:hint="eastAsia" w:ascii="仿宋" w:hAnsi="仿宋" w:eastAsia="仿宋" w:cs="仿宋"/>
          <w:bCs/>
          <w:snapToGrid w:val="0"/>
          <w:color w:val="auto"/>
          <w:kern w:val="0"/>
          <w:sz w:val="24"/>
          <w:highlight w:val="none"/>
          <w:woUserID w:val="1"/>
        </w:rPr>
        <w:t>、负责整体工程资料汇总及档案整理归档工作、负责规划验收电子报批文件的办理。包括结算资料整理汇总、竣工图签审及竣工图编制；在本工程范围内工程资料正式移交给发包人及相关建设主管部门之前所产生的所有费用均已包含在投标报价综合考虑中，不再另外开项支付。</w:t>
      </w:r>
    </w:p>
    <w:p w14:paraId="085EA83B">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18</w:t>
      </w:r>
      <w:r>
        <w:rPr>
          <w:rFonts w:hint="eastAsia" w:ascii="仿宋" w:hAnsi="仿宋" w:eastAsia="仿宋" w:cs="仿宋"/>
          <w:bCs/>
          <w:snapToGrid w:val="0"/>
          <w:color w:val="auto"/>
          <w:kern w:val="0"/>
          <w:sz w:val="24"/>
          <w:highlight w:val="none"/>
          <w:woUserID w:val="1"/>
        </w:rPr>
        <w:t>）负责协调施工过程中的相关职能部门及周边居民，包括且不限于：街道居委、公安派出所、交通部门、质安监、住建、城管、劳动监察、检测等。</w:t>
      </w:r>
    </w:p>
    <w:p w14:paraId="6188C31A">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19</w:t>
      </w:r>
      <w:r>
        <w:rPr>
          <w:rFonts w:hint="eastAsia" w:ascii="仿宋" w:hAnsi="仿宋" w:eastAsia="仿宋" w:cs="仿宋"/>
          <w:bCs/>
          <w:snapToGrid w:val="0"/>
          <w:color w:val="auto"/>
          <w:kern w:val="0"/>
          <w:sz w:val="24"/>
          <w:highlight w:val="none"/>
          <w:woUserID w:val="1"/>
        </w:rPr>
        <w:t>）负责施工管理配合，配合发包人完成管线迁移工作，对由发包人另行发包的其他工程提供配合工作，包括但不限于提供场地、临时用水、临时用电和使用临时设施的配合工作。</w:t>
      </w:r>
    </w:p>
    <w:p w14:paraId="0F7F982A">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20</w:t>
      </w:r>
      <w:r>
        <w:rPr>
          <w:rFonts w:hint="eastAsia" w:ascii="仿宋" w:hAnsi="仿宋" w:eastAsia="仿宋" w:cs="仿宋"/>
          <w:bCs/>
          <w:snapToGrid w:val="0"/>
          <w:color w:val="auto"/>
          <w:kern w:val="0"/>
          <w:sz w:val="24"/>
          <w:highlight w:val="none"/>
          <w:woUserID w:val="1"/>
        </w:rPr>
        <w:t>）负责根据广州市住房和城乡建设局关于建设工程现场视频监控管理办法的规定，完成工程现场视频监控系统的方案（设计）报批、施工、维护等；</w:t>
      </w:r>
    </w:p>
    <w:p w14:paraId="378423CB">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2</w:t>
      </w:r>
      <w:r>
        <w:rPr>
          <w:rFonts w:hint="eastAsia" w:ascii="仿宋" w:hAnsi="仿宋" w:eastAsia="仿宋" w:cs="仿宋"/>
          <w:bCs/>
          <w:snapToGrid w:val="0"/>
          <w:color w:val="auto"/>
          <w:kern w:val="0"/>
          <w:sz w:val="24"/>
          <w:highlight w:val="none"/>
          <w:woUserID w:val="1"/>
        </w:rPr>
        <w:t>1）负责完成的二次深化设计内容包括（但不限于</w:t>
      </w:r>
      <w:r>
        <w:rPr>
          <w:rFonts w:hint="eastAsia" w:ascii="仿宋" w:hAnsi="仿宋" w:eastAsia="仿宋" w:cs="仿宋"/>
          <w:bCs/>
          <w:snapToGrid w:val="0"/>
          <w:color w:val="auto"/>
          <w:kern w:val="0"/>
          <w:sz w:val="24"/>
          <w:highlight w:val="none"/>
          <w:lang w:val="en-US" w:eastAsia="zh-CN"/>
          <w:woUserID w:val="1"/>
        </w:rPr>
        <w:t>机电安装、装饰面层排版</w:t>
      </w:r>
      <w:r>
        <w:rPr>
          <w:rFonts w:hint="eastAsia" w:ascii="仿宋" w:hAnsi="仿宋" w:eastAsia="仿宋" w:cs="仿宋"/>
          <w:bCs/>
          <w:snapToGrid w:val="0"/>
          <w:color w:val="auto"/>
          <w:kern w:val="0"/>
          <w:sz w:val="24"/>
          <w:highlight w:val="none"/>
          <w:woUserID w:val="1"/>
        </w:rPr>
        <w:t>等）所有需二次深化设计的图纸。该部分费用已含在合同总价中，发包人不再另行计费。施工图二次深化时，乙方应满足甲方的使用要求，在不降低功能和保证安全的前提下，按不突破深化前该部分施工图计费总造价原则进行二次深化设计，否则增加的费用由承包人自行承担。</w:t>
      </w:r>
    </w:p>
    <w:p w14:paraId="76C0146E">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22</w:t>
      </w:r>
      <w:r>
        <w:rPr>
          <w:rFonts w:hint="eastAsia" w:ascii="仿宋" w:hAnsi="仿宋" w:eastAsia="仿宋" w:cs="仿宋"/>
          <w:bCs/>
          <w:snapToGrid w:val="0"/>
          <w:color w:val="auto"/>
          <w:kern w:val="0"/>
          <w:sz w:val="24"/>
          <w:highlight w:val="none"/>
          <w:woUserID w:val="1"/>
        </w:rPr>
        <w:t>）发包人有权要求施工使用爬架，铝模，相关费用在合同总价中综合考虑。</w:t>
      </w:r>
    </w:p>
    <w:p w14:paraId="35E1D587">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23</w:t>
      </w:r>
      <w:r>
        <w:rPr>
          <w:rFonts w:hint="eastAsia" w:ascii="仿宋" w:hAnsi="仿宋" w:eastAsia="仿宋" w:cs="仿宋"/>
          <w:bCs/>
          <w:snapToGrid w:val="0"/>
          <w:color w:val="auto"/>
          <w:kern w:val="0"/>
          <w:sz w:val="24"/>
          <w:highlight w:val="none"/>
          <w:woUserID w:val="1"/>
        </w:rPr>
        <w:t>）按照《广州市住房和城乡建设局关于推进建筑施工设备更新工作的通知》(穗建筑[2024]539号)要求实施建筑施工设备更新工作，各项内容应该符合要求。</w:t>
      </w:r>
    </w:p>
    <w:p w14:paraId="29054D4C">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（2</w:t>
      </w:r>
      <w:r>
        <w:rPr>
          <w:rFonts w:hint="eastAsia" w:ascii="仿宋" w:hAnsi="仿宋" w:eastAsia="仿宋" w:cs="仿宋"/>
          <w:bCs/>
          <w:snapToGrid w:val="0"/>
          <w:color w:val="auto"/>
          <w:kern w:val="0"/>
          <w:sz w:val="24"/>
          <w:highlight w:val="none"/>
          <w:lang w:val="en-US" w:eastAsia="zh-CN"/>
          <w:woUserID w:val="1"/>
        </w:rPr>
        <w:t>4</w:t>
      </w:r>
      <w:r>
        <w:rPr>
          <w:rFonts w:hint="eastAsia" w:ascii="仿宋" w:hAnsi="仿宋" w:eastAsia="仿宋" w:cs="仿宋"/>
          <w:bCs/>
          <w:snapToGrid w:val="0"/>
          <w:color w:val="auto"/>
          <w:kern w:val="0"/>
          <w:sz w:val="24"/>
          <w:highlight w:val="none"/>
          <w:woUserID w:val="1"/>
        </w:rPr>
        <w:t>）为贯彻绿色发展理念，助力建筑业高质量发展，承包人应承诺推进氢燃料电池汽车作为混凝土搅拌车和建筑废弃物运输车在本项目的投入使用，投入比例需≥50%（即：投入的氢燃料电池汽车/投入的总车辆数≥50%），如有政策更新，按最新文件执行。经核查，如承包人未按上述要求执行，每发现一次按一般违约标准进行处罚。额外造成甲方损失或被相关主管部门通报的，承包人应积极整改并承担发包人损失。如承包人不予整改或整改不力，承包人除补偿发包人损失外，还应承担严重违约责任。</w:t>
      </w:r>
    </w:p>
    <w:p w14:paraId="0C55B651">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w:t>
      </w:r>
      <w:r>
        <w:rPr>
          <w:rFonts w:hint="eastAsia" w:ascii="仿宋" w:hAnsi="仿宋" w:eastAsia="仿宋" w:cs="仿宋"/>
          <w:bCs/>
          <w:snapToGrid w:val="0"/>
          <w:color w:val="auto"/>
          <w:kern w:val="0"/>
          <w:sz w:val="24"/>
          <w:highlight w:val="none"/>
          <w:lang w:val="en-US" w:eastAsia="zh-CN"/>
          <w:woUserID w:val="1"/>
        </w:rPr>
        <w:t>25</w:t>
      </w:r>
      <w:r>
        <w:rPr>
          <w:rFonts w:hint="eastAsia" w:ascii="仿宋" w:hAnsi="仿宋" w:eastAsia="仿宋" w:cs="仿宋"/>
          <w:bCs/>
          <w:snapToGrid w:val="0"/>
          <w:color w:val="auto"/>
          <w:kern w:val="0"/>
          <w:sz w:val="24"/>
          <w:highlight w:val="none"/>
          <w:woUserID w:val="1"/>
        </w:rPr>
        <w:t>）其他施工工作。</w:t>
      </w:r>
    </w:p>
    <w:p w14:paraId="32B4A0C8">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发包人有权根据工程实际情况，对承包范围和工程内容进行适当调整，并按合同约定处理，承包人必须无条件服从。</w:t>
      </w:r>
    </w:p>
    <w:p w14:paraId="6B3ADBB8">
      <w:pPr>
        <w:shd w:val="clear"/>
        <w:spacing w:line="360" w:lineRule="auto"/>
        <w:ind w:firstLine="480" w:firstLineChars="200"/>
        <w:rPr>
          <w:rFonts w:hint="eastAsia" w:ascii="仿宋" w:hAnsi="仿宋" w:eastAsia="仿宋" w:cs="仿宋"/>
          <w:bCs/>
          <w:snapToGrid w:val="0"/>
          <w:color w:val="auto"/>
          <w:kern w:val="0"/>
          <w:sz w:val="24"/>
          <w:highlight w:val="none"/>
          <w:woUserID w:val="1"/>
        </w:rPr>
      </w:pPr>
      <w:r>
        <w:rPr>
          <w:rFonts w:hint="eastAsia" w:ascii="仿宋" w:hAnsi="仿宋" w:eastAsia="仿宋" w:cs="仿宋"/>
          <w:bCs/>
          <w:snapToGrid w:val="0"/>
          <w:color w:val="auto"/>
          <w:kern w:val="0"/>
          <w:sz w:val="24"/>
          <w:highlight w:val="none"/>
          <w:woUserID w:val="1"/>
        </w:rPr>
        <w:t>注：如承包人不具备项目中各专业部分的相应资质，承包人应在征得发包人同意后把相关专业分包给具备相应资质的设计或施工单位并签订分包合同。</w:t>
      </w:r>
    </w:p>
    <w:p w14:paraId="2BB10549">
      <w:pPr>
        <w:shd w:val="clea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2.2承包方式：</w:t>
      </w:r>
    </w:p>
    <w:p w14:paraId="53C10CF5">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2.2.1承包人根据招标文件、合同文件、有关资料及说明等对本项目实施设计施工总承包（EPC）。</w:t>
      </w:r>
    </w:p>
    <w:p w14:paraId="5A9D5DC6">
      <w:pPr>
        <w:widowControl/>
        <w:shd w:val="clear" w:color="auto"/>
        <w:spacing w:line="360" w:lineRule="auto"/>
        <w:ind w:firstLine="48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承包人根据招标文件、合同文件、有关资料及说明等对本项目实施设计施工总承包：包设计，包施工[包括但不限于包临时设施、包施工期间用水用电费用、包材料、包施工、包质量、包工期、包联合调试、包实测实量、包绿色施工安全防护、包建筑垃圾清理及外运、包成品保护、包调试与检测、配合第三方检测及监测、包试运行、包税费、包保险、包通水、包通电、包竣工图编制、包验收合格、包结算、包培训、包质保期内工程质量保修、包现场组织和协调、包移交、包创优工程（如有）的组织实施工作和资料整理、包竣工验收及备案资料</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lang w:val="en-US" w:eastAsia="zh-CN"/>
        </w:rPr>
        <w:t>如有）</w:t>
      </w:r>
      <w:r>
        <w:rPr>
          <w:rFonts w:hint="eastAsia" w:ascii="仿宋" w:hAnsi="仿宋" w:eastAsia="仿宋" w:cs="仿宋"/>
          <w:bCs/>
          <w:snapToGrid w:val="0"/>
          <w:color w:val="auto"/>
          <w:kern w:val="0"/>
          <w:sz w:val="24"/>
          <w:szCs w:val="22"/>
          <w:highlight w:val="none"/>
        </w:rPr>
        <w:t>、包配合整体竣工验收（含相关工程资料收集整理）、包因验收（报价范围内）不能通过所需要发生的整改费用（非因分包人原因导致除外）等]，</w:t>
      </w:r>
      <w:r>
        <w:rPr>
          <w:rFonts w:hint="eastAsia" w:ascii="仿宋" w:hAnsi="仿宋" w:eastAsia="仿宋" w:cs="仿宋"/>
          <w:bCs/>
          <w:snapToGrid w:val="0"/>
          <w:color w:val="auto"/>
          <w:kern w:val="0"/>
          <w:sz w:val="24"/>
          <w:szCs w:val="22"/>
          <w:highlight w:val="none"/>
          <w:lang w:eastAsia="zh-CN"/>
        </w:rPr>
        <w:t>包括</w:t>
      </w:r>
      <w:r>
        <w:rPr>
          <w:rFonts w:hint="eastAsia" w:ascii="仿宋" w:hAnsi="仿宋" w:eastAsia="仿宋" w:cs="仿宋"/>
          <w:bCs/>
          <w:snapToGrid w:val="0"/>
          <w:color w:val="auto"/>
          <w:kern w:val="0"/>
          <w:sz w:val="24"/>
          <w:szCs w:val="22"/>
          <w:highlight w:val="none"/>
        </w:rPr>
        <w:t>控制投资及其它相关服务内容等。</w:t>
      </w:r>
    </w:p>
    <w:p w14:paraId="6AD3811D">
      <w:pPr>
        <w:widowControl/>
        <w:numPr>
          <w:ilvl w:val="0"/>
          <w:numId w:val="0"/>
        </w:num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（1）设计部分：</w:t>
      </w:r>
      <w:r>
        <w:rPr>
          <w:rFonts w:hint="eastAsia" w:ascii="仿宋" w:hAnsi="仿宋" w:eastAsia="仿宋" w:cs="仿宋"/>
          <w:b w:val="0"/>
          <w:bCs/>
          <w:snapToGrid w:val="0"/>
          <w:color w:val="auto"/>
          <w:kern w:val="0"/>
          <w:sz w:val="24"/>
          <w:szCs w:val="22"/>
          <w:highlight w:val="none"/>
          <w:lang w:val="en-US" w:eastAsia="zh-CN"/>
        </w:rPr>
        <w:t>详见本合同协议书第</w:t>
      </w:r>
      <w:r>
        <w:rPr>
          <w:rFonts w:hint="eastAsia" w:ascii="仿宋" w:hAnsi="仿宋" w:eastAsia="仿宋" w:cs="仿宋"/>
          <w:b w:val="0"/>
          <w:bCs/>
          <w:snapToGrid w:val="0"/>
          <w:color w:val="auto"/>
          <w:kern w:val="0"/>
          <w:sz w:val="24"/>
          <w:szCs w:val="22"/>
          <w:highlight w:val="none"/>
          <w:lang w:val="en-US" w:eastAsia="zh-CN"/>
          <w:woUserID w:val="1"/>
        </w:rPr>
        <w:t>3</w:t>
      </w:r>
      <w:r>
        <w:rPr>
          <w:rFonts w:hint="eastAsia" w:ascii="仿宋" w:hAnsi="仿宋" w:eastAsia="仿宋" w:cs="仿宋"/>
          <w:b w:val="0"/>
          <w:bCs/>
          <w:snapToGrid w:val="0"/>
          <w:color w:val="auto"/>
          <w:kern w:val="0"/>
          <w:sz w:val="24"/>
          <w:szCs w:val="22"/>
          <w:highlight w:val="none"/>
          <w:lang w:val="en-US" w:eastAsia="zh"/>
          <w:woUserID w:val="1"/>
        </w:rPr>
        <w:t>.</w:t>
      </w:r>
      <w:r>
        <w:rPr>
          <w:rFonts w:hint="eastAsia" w:ascii="仿宋" w:hAnsi="仿宋" w:eastAsia="仿宋" w:cs="仿宋"/>
          <w:b w:val="0"/>
          <w:bCs/>
          <w:snapToGrid w:val="0"/>
          <w:color w:val="auto"/>
          <w:kern w:val="0"/>
          <w:sz w:val="24"/>
          <w:szCs w:val="22"/>
          <w:highlight w:val="none"/>
          <w:lang w:val="en-US" w:eastAsia="zh-CN"/>
          <w:woUserID w:val="1"/>
        </w:rPr>
        <w:t>3</w:t>
      </w:r>
      <w:r>
        <w:rPr>
          <w:rFonts w:hint="eastAsia" w:ascii="仿宋" w:hAnsi="仿宋" w:eastAsia="仿宋" w:cs="仿宋"/>
          <w:b w:val="0"/>
          <w:bCs/>
          <w:snapToGrid w:val="0"/>
          <w:color w:val="auto"/>
          <w:kern w:val="0"/>
          <w:sz w:val="24"/>
          <w:szCs w:val="22"/>
          <w:highlight w:val="none"/>
          <w:lang w:val="en-US" w:eastAsia="zh"/>
          <w:woUserID w:val="1"/>
        </w:rPr>
        <w:t>.1</w:t>
      </w:r>
      <w:r>
        <w:rPr>
          <w:rFonts w:hint="eastAsia" w:ascii="仿宋" w:hAnsi="仿宋" w:eastAsia="仿宋" w:cs="仿宋"/>
          <w:b w:val="0"/>
          <w:bCs/>
          <w:snapToGrid w:val="0"/>
          <w:color w:val="auto"/>
          <w:kern w:val="0"/>
          <w:sz w:val="24"/>
          <w:highlight w:val="none"/>
          <w:lang w:val="en-US" w:eastAsia="zh-CN"/>
        </w:rPr>
        <w:t>条</w:t>
      </w:r>
      <w:r>
        <w:rPr>
          <w:rFonts w:hint="eastAsia" w:ascii="仿宋" w:hAnsi="仿宋" w:eastAsia="仿宋" w:cs="仿宋"/>
          <w:b w:val="0"/>
          <w:bCs/>
          <w:snapToGrid w:val="0"/>
          <w:color w:val="auto"/>
          <w:kern w:val="0"/>
          <w:sz w:val="24"/>
          <w:szCs w:val="22"/>
          <w:highlight w:val="none"/>
        </w:rPr>
        <w:t>。</w:t>
      </w:r>
    </w:p>
    <w:p w14:paraId="108FF6F6">
      <w:pPr>
        <w:widowControl/>
        <w:numPr>
          <w:ilvl w:val="-1"/>
          <w:numId w:val="0"/>
        </w:numPr>
        <w:shd w:val="clear" w:color="auto"/>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rPr>
      </w:pPr>
      <w:r>
        <w:rPr>
          <w:rFonts w:hint="eastAsia" w:ascii="仿宋" w:hAnsi="仿宋" w:eastAsia="仿宋" w:cs="仿宋"/>
          <w:color w:val="auto"/>
          <w:sz w:val="24"/>
          <w:szCs w:val="24"/>
          <w:highlight w:val="none"/>
        </w:rPr>
        <w:t>（2）</w:t>
      </w:r>
      <w:r>
        <w:rPr>
          <w:rFonts w:hint="eastAsia" w:ascii="仿宋" w:hAnsi="仿宋" w:eastAsia="仿宋" w:cs="仿宋"/>
          <w:bCs/>
          <w:snapToGrid w:val="0"/>
          <w:color w:val="auto"/>
          <w:kern w:val="0"/>
          <w:sz w:val="24"/>
          <w:szCs w:val="22"/>
          <w:highlight w:val="none"/>
        </w:rPr>
        <w:t>施工部分：</w:t>
      </w:r>
      <w:r>
        <w:rPr>
          <w:rFonts w:hint="eastAsia" w:ascii="仿宋" w:hAnsi="仿宋" w:eastAsia="仿宋" w:cs="仿宋"/>
          <w:b w:val="0"/>
          <w:bCs/>
          <w:snapToGrid w:val="0"/>
          <w:color w:val="auto"/>
          <w:kern w:val="0"/>
          <w:sz w:val="24"/>
          <w:szCs w:val="22"/>
          <w:highlight w:val="none"/>
          <w:lang w:val="en-US" w:eastAsia="zh-CN"/>
        </w:rPr>
        <w:t>详见本合同协议书第</w:t>
      </w:r>
      <w:r>
        <w:rPr>
          <w:rFonts w:hint="eastAsia" w:ascii="仿宋" w:hAnsi="仿宋" w:eastAsia="仿宋" w:cs="仿宋"/>
          <w:b w:val="0"/>
          <w:bCs/>
          <w:snapToGrid w:val="0"/>
          <w:color w:val="auto"/>
          <w:kern w:val="0"/>
          <w:sz w:val="24"/>
          <w:szCs w:val="22"/>
          <w:highlight w:val="none"/>
          <w:lang w:val="en-US" w:eastAsia="zh-CN"/>
          <w:woUserID w:val="1"/>
        </w:rPr>
        <w:t>3</w:t>
      </w:r>
      <w:r>
        <w:rPr>
          <w:rFonts w:hint="eastAsia" w:ascii="仿宋" w:hAnsi="仿宋" w:eastAsia="仿宋" w:cs="仿宋"/>
          <w:b w:val="0"/>
          <w:bCs/>
          <w:snapToGrid w:val="0"/>
          <w:color w:val="auto"/>
          <w:kern w:val="0"/>
          <w:sz w:val="24"/>
          <w:szCs w:val="22"/>
          <w:highlight w:val="none"/>
          <w:lang w:val="en-US" w:eastAsia="zh"/>
          <w:woUserID w:val="1"/>
        </w:rPr>
        <w:t>.</w:t>
      </w:r>
      <w:r>
        <w:rPr>
          <w:rFonts w:hint="eastAsia" w:ascii="仿宋" w:hAnsi="仿宋" w:eastAsia="仿宋" w:cs="仿宋"/>
          <w:b w:val="0"/>
          <w:bCs/>
          <w:snapToGrid w:val="0"/>
          <w:color w:val="auto"/>
          <w:kern w:val="0"/>
          <w:sz w:val="24"/>
          <w:szCs w:val="22"/>
          <w:highlight w:val="none"/>
          <w:lang w:val="en-US" w:eastAsia="zh-CN"/>
          <w:woUserID w:val="1"/>
        </w:rPr>
        <w:t>3</w:t>
      </w:r>
      <w:r>
        <w:rPr>
          <w:rFonts w:hint="eastAsia" w:ascii="仿宋" w:hAnsi="仿宋" w:eastAsia="仿宋" w:cs="仿宋"/>
          <w:b w:val="0"/>
          <w:bCs/>
          <w:snapToGrid w:val="0"/>
          <w:color w:val="auto"/>
          <w:kern w:val="0"/>
          <w:sz w:val="24"/>
          <w:szCs w:val="22"/>
          <w:highlight w:val="none"/>
          <w:lang w:val="en-US" w:eastAsia="zh"/>
          <w:woUserID w:val="1"/>
        </w:rPr>
        <w:t>.2</w:t>
      </w:r>
      <w:r>
        <w:rPr>
          <w:rFonts w:hint="eastAsia" w:ascii="仿宋" w:hAnsi="仿宋" w:eastAsia="仿宋" w:cs="仿宋"/>
          <w:b w:val="0"/>
          <w:bCs/>
          <w:snapToGrid w:val="0"/>
          <w:color w:val="auto"/>
          <w:kern w:val="0"/>
          <w:sz w:val="24"/>
          <w:szCs w:val="22"/>
          <w:highlight w:val="none"/>
          <w:lang w:val="en-US" w:eastAsia="zh-CN"/>
          <w:woUserID w:val="1"/>
        </w:rPr>
        <w:t>、3.3.3</w:t>
      </w:r>
      <w:r>
        <w:rPr>
          <w:rFonts w:hint="eastAsia" w:ascii="仿宋" w:hAnsi="仿宋" w:eastAsia="仿宋" w:cs="仿宋"/>
          <w:b w:val="0"/>
          <w:bCs/>
          <w:snapToGrid w:val="0"/>
          <w:color w:val="auto"/>
          <w:kern w:val="0"/>
          <w:sz w:val="24"/>
          <w:highlight w:val="none"/>
          <w:lang w:val="en-US" w:eastAsia="zh-CN"/>
        </w:rPr>
        <w:t>条</w:t>
      </w:r>
      <w:r>
        <w:rPr>
          <w:rFonts w:hint="eastAsia" w:ascii="仿宋" w:hAnsi="仿宋" w:eastAsia="仿宋" w:cs="仿宋"/>
          <w:b w:val="0"/>
          <w:bCs/>
          <w:snapToGrid w:val="0"/>
          <w:color w:val="auto"/>
          <w:kern w:val="0"/>
          <w:sz w:val="24"/>
          <w:szCs w:val="22"/>
          <w:highlight w:val="none"/>
        </w:rPr>
        <w:t>。</w:t>
      </w:r>
    </w:p>
    <w:p w14:paraId="68955EBF">
      <w:pPr>
        <w:shd w:val="clear"/>
        <w:adjustRightInd/>
        <w:snapToGrid/>
        <w:spacing w:line="360" w:lineRule="auto"/>
        <w:ind w:right="0"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2.2.2本项目严禁转包或违法分包，否则严格按照合同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条款第</w:t>
      </w:r>
      <w:r>
        <w:rPr>
          <w:rFonts w:hint="eastAsia"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.2.3（11）款执行</w:t>
      </w:r>
      <w:r>
        <w:rPr>
          <w:rFonts w:hint="eastAsia" w:ascii="仿宋" w:hAnsi="仿宋" w:eastAsia="仿宋" w:cs="仿宋"/>
          <w:bCs/>
          <w:snapToGrid w:val="0"/>
          <w:color w:val="auto"/>
          <w:kern w:val="0"/>
          <w:sz w:val="24"/>
          <w:highlight w:val="none"/>
        </w:rPr>
        <w:t>。凡违反以下情形之一，均视为违法分包：</w:t>
      </w:r>
    </w:p>
    <w:p w14:paraId="27B1542C">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（1）主体工程分包；</w:t>
      </w:r>
    </w:p>
    <w:p w14:paraId="59AB8E9C">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2</w:t>
      </w:r>
      <w:r>
        <w:rPr>
          <w:rFonts w:hint="eastAsia" w:ascii="仿宋" w:hAnsi="仿宋" w:eastAsia="仿宋" w:cs="仿宋"/>
          <w:bCs/>
          <w:snapToGrid w:val="0"/>
          <w:color w:val="auto"/>
          <w:kern w:val="0"/>
          <w:sz w:val="24"/>
          <w:highlight w:val="none"/>
        </w:rPr>
        <w:t>）分包单位再次分包；</w:t>
      </w:r>
    </w:p>
    <w:p w14:paraId="43179613">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3</w:t>
      </w:r>
      <w:r>
        <w:rPr>
          <w:rFonts w:hint="eastAsia" w:ascii="仿宋" w:hAnsi="仿宋" w:eastAsia="仿宋" w:cs="仿宋"/>
          <w:bCs/>
          <w:snapToGrid w:val="0"/>
          <w:color w:val="auto"/>
          <w:kern w:val="0"/>
          <w:sz w:val="24"/>
          <w:highlight w:val="none"/>
        </w:rPr>
        <w:t>）分包未经发包人审查批准。</w:t>
      </w:r>
    </w:p>
    <w:p w14:paraId="03F13E59">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2.3投资控制</w:t>
      </w:r>
    </w:p>
    <w:p w14:paraId="1EACCCEA">
      <w:pPr>
        <w:shd w:val="clear"/>
        <w:adjustRightInd w:val="0"/>
        <w:snapToGrid w:val="0"/>
        <w:spacing w:line="360" w:lineRule="auto"/>
        <w:ind w:right="1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.3.1</w:t>
      </w:r>
      <w:r>
        <w:rPr>
          <w:rFonts w:hint="eastAsia" w:ascii="仿宋" w:hAnsi="仿宋" w:eastAsia="仿宋" w:cs="仿宋"/>
          <w:color w:val="auto"/>
          <w:sz w:val="24"/>
          <w:highlight w:val="none"/>
          <w:woUserID w:val="1"/>
        </w:rPr>
        <w:t>、本工程</w:t>
      </w:r>
      <w:r>
        <w:rPr>
          <w:rFonts w:hint="eastAsia" w:ascii="仿宋" w:hAnsi="仿宋" w:eastAsia="仿宋" w:cs="仿宋"/>
          <w:color w:val="auto"/>
          <w:sz w:val="24"/>
          <w:highlight w:val="none"/>
          <w:lang w:val="en-US" w:eastAsia="zh-CN"/>
          <w:woUserID w:val="1"/>
        </w:rPr>
        <w:t>主体装修改造工程</w:t>
      </w:r>
      <w:r>
        <w:rPr>
          <w:rFonts w:hint="eastAsia" w:ascii="仿宋" w:hAnsi="仿宋" w:eastAsia="仿宋" w:cs="仿宋"/>
          <w:color w:val="auto"/>
          <w:sz w:val="24"/>
          <w:highlight w:val="none"/>
          <w:woUserID w:val="1"/>
        </w:rPr>
        <w:t>设计限额为</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u w:val="single"/>
          <w:lang w:val="en-US" w:eastAsia="zh-CN"/>
          <w:woUserID w:val="1"/>
        </w:rPr>
        <w:t>425.27</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woUserID w:val="1"/>
        </w:rPr>
        <w:t>万元（含税），</w:t>
      </w:r>
      <w:r>
        <w:rPr>
          <w:rFonts w:hint="eastAsia" w:ascii="仿宋" w:hAnsi="仿宋" w:eastAsia="仿宋" w:cs="仿宋"/>
          <w:color w:val="auto"/>
          <w:sz w:val="24"/>
          <w:highlight w:val="none"/>
          <w:lang w:val="en-US" w:eastAsia="zh-CN"/>
          <w:woUserID w:val="1"/>
        </w:rPr>
        <w:t>展陈物料、设备及数字内容策划及制作工程设计限额为</w:t>
      </w:r>
      <w:r>
        <w:rPr>
          <w:rFonts w:hint="eastAsia" w:ascii="仿宋" w:hAnsi="仿宋" w:eastAsia="仿宋" w:cs="仿宋"/>
          <w:color w:val="auto"/>
          <w:sz w:val="24"/>
          <w:highlight w:val="none"/>
          <w:u w:val="single"/>
          <w:lang w:val="en-US" w:eastAsia="zh-CN"/>
          <w:woUserID w:val="1"/>
        </w:rPr>
        <w:t>189.00</w:t>
      </w:r>
      <w:r>
        <w:rPr>
          <w:rFonts w:hint="eastAsia" w:ascii="仿宋" w:hAnsi="仿宋" w:eastAsia="仿宋" w:cs="仿宋"/>
          <w:color w:val="auto"/>
          <w:sz w:val="24"/>
          <w:highlight w:val="none"/>
          <w:lang w:val="en-US" w:eastAsia="zh-CN"/>
          <w:woUserID w:val="1"/>
        </w:rPr>
        <w:t>万元（含税）、</w:t>
      </w:r>
      <w:r>
        <w:rPr>
          <w:rFonts w:hint="eastAsia" w:ascii="仿宋" w:hAnsi="仿宋" w:eastAsia="仿宋" w:cs="仿宋"/>
          <w:color w:val="auto"/>
          <w:sz w:val="24"/>
          <w:highlight w:val="none"/>
          <w:woUserID w:val="1"/>
        </w:rPr>
        <w:t>设计费用限额</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u w:val="single"/>
          <w:lang w:val="en-US" w:eastAsia="zh-CN"/>
          <w:woUserID w:val="1"/>
        </w:rPr>
        <w:t xml:space="preserve">  16.41</w:t>
      </w:r>
      <w:r>
        <w:rPr>
          <w:rFonts w:hint="eastAsia" w:ascii="仿宋" w:hAnsi="仿宋" w:eastAsia="仿宋" w:cs="仿宋"/>
          <w:color w:val="auto"/>
          <w:sz w:val="24"/>
          <w:highlight w:val="none"/>
          <w:u w:val="single"/>
          <w:woUserID w:val="1"/>
        </w:rPr>
        <w:t xml:space="preserve"> </w:t>
      </w:r>
      <w:r>
        <w:rPr>
          <w:rFonts w:hint="eastAsia" w:ascii="仿宋" w:hAnsi="仿宋" w:eastAsia="仿宋" w:cs="仿宋"/>
          <w:color w:val="auto"/>
          <w:sz w:val="24"/>
          <w:highlight w:val="none"/>
          <w:woUserID w:val="1"/>
        </w:rPr>
        <w:t>万元</w:t>
      </w:r>
      <w:r>
        <w:rPr>
          <w:rFonts w:hint="eastAsia" w:ascii="仿宋" w:hAnsi="仿宋" w:eastAsia="仿宋" w:cs="仿宋"/>
          <w:color w:val="auto"/>
          <w:sz w:val="24"/>
          <w:highlight w:val="none"/>
          <w:lang w:val="en-US" w:eastAsia="zh-CN"/>
          <w:woUserID w:val="1"/>
        </w:rPr>
        <w:t>（含税）</w:t>
      </w:r>
      <w:r>
        <w:rPr>
          <w:rFonts w:hint="eastAsia" w:ascii="仿宋" w:hAnsi="仿宋" w:eastAsia="仿宋" w:cs="仿宋"/>
          <w:color w:val="auto"/>
          <w:sz w:val="24"/>
          <w:highlight w:val="none"/>
          <w:woUserID w:val="1"/>
        </w:rPr>
        <w:t>。具体限额以甲方另行发出的文件为准。应按照甲方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14:paraId="73172C72">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rPr>
      </w:pPr>
      <w:r>
        <w:rPr>
          <w:rFonts w:ascii="仿宋" w:hAnsi="仿宋" w:eastAsia="仿宋" w:cs="仿宋"/>
          <w:bCs/>
          <w:snapToGrid w:val="0"/>
          <w:color w:val="auto"/>
          <w:kern w:val="0"/>
          <w:sz w:val="24"/>
          <w:szCs w:val="22"/>
          <w:highlight w:val="none"/>
        </w:rPr>
        <w:t>2.3.</w:t>
      </w:r>
      <w:r>
        <w:rPr>
          <w:rFonts w:hint="eastAsia" w:ascii="仿宋" w:hAnsi="仿宋" w:eastAsia="仿宋" w:cs="仿宋"/>
          <w:bCs/>
          <w:snapToGrid w:val="0"/>
          <w:color w:val="auto"/>
          <w:kern w:val="0"/>
          <w:sz w:val="24"/>
          <w:szCs w:val="22"/>
          <w:highlight w:val="none"/>
          <w:lang w:val="en-US" w:eastAsia="zh-CN"/>
        </w:rPr>
        <w:t>2</w:t>
      </w:r>
      <w:r>
        <w:rPr>
          <w:rFonts w:hint="eastAsia" w:ascii="仿宋" w:hAnsi="仿宋" w:eastAsia="仿宋" w:cs="仿宋"/>
          <w:bCs/>
          <w:snapToGrid w:val="0"/>
          <w:color w:val="auto"/>
          <w:kern w:val="0"/>
          <w:sz w:val="24"/>
          <w:szCs w:val="22"/>
          <w:highlight w:val="none"/>
        </w:rPr>
        <w:t>本工程实行限额设计和施工；严格控制投资目标，最终结算价不超过</w:t>
      </w:r>
      <w:r>
        <w:rPr>
          <w:rFonts w:hint="eastAsia" w:ascii="仿宋" w:hAnsi="仿宋" w:eastAsia="仿宋" w:cs="仿宋"/>
          <w:bCs/>
          <w:snapToGrid w:val="0"/>
          <w:color w:val="auto"/>
          <w:kern w:val="0"/>
          <w:sz w:val="24"/>
          <w:szCs w:val="22"/>
          <w:highlight w:val="none"/>
          <w:lang w:val="en-US" w:eastAsia="zh-CN"/>
        </w:rPr>
        <w:t>上述约定限额</w:t>
      </w:r>
      <w:r>
        <w:rPr>
          <w:rFonts w:hint="eastAsia" w:ascii="仿宋" w:hAnsi="仿宋" w:eastAsia="仿宋" w:cs="仿宋"/>
          <w:bCs/>
          <w:snapToGrid w:val="0"/>
          <w:color w:val="auto"/>
          <w:kern w:val="0"/>
          <w:sz w:val="24"/>
          <w:szCs w:val="22"/>
          <w:highlight w:val="none"/>
        </w:rPr>
        <w:t>，超出部分由承包人自行承担。承包人应确</w:t>
      </w:r>
      <w:r>
        <w:rPr>
          <w:rFonts w:hint="eastAsia" w:ascii="仿宋" w:hAnsi="仿宋" w:eastAsia="仿宋" w:cs="仿宋"/>
          <w:bCs/>
          <w:snapToGrid w:val="0"/>
          <w:color w:val="auto"/>
          <w:kern w:val="0"/>
          <w:sz w:val="24"/>
          <w:szCs w:val="22"/>
          <w:highlight w:val="none"/>
          <w:lang w:val="en-US" w:eastAsia="zh-CN"/>
        </w:rPr>
        <w:t>保</w:t>
      </w:r>
      <w:r>
        <w:rPr>
          <w:rFonts w:hint="eastAsia" w:ascii="仿宋" w:hAnsi="仿宋" w:eastAsia="仿宋" w:cs="仿宋"/>
          <w:bCs/>
          <w:snapToGrid w:val="0"/>
          <w:color w:val="auto"/>
          <w:kern w:val="0"/>
          <w:sz w:val="24"/>
          <w:szCs w:val="22"/>
          <w:highlight w:val="none"/>
        </w:rPr>
        <w:t>工程设计</w:t>
      </w:r>
      <w:r>
        <w:rPr>
          <w:rFonts w:hint="eastAsia" w:ascii="仿宋" w:hAnsi="仿宋" w:eastAsia="仿宋" w:cs="仿宋"/>
          <w:bCs/>
          <w:snapToGrid w:val="0"/>
          <w:color w:val="auto"/>
          <w:kern w:val="0"/>
          <w:sz w:val="24"/>
          <w:szCs w:val="22"/>
          <w:highlight w:val="none"/>
          <w:lang w:eastAsia="zh"/>
          <w:woUserID w:val="1"/>
        </w:rPr>
        <w:t>符合</w:t>
      </w:r>
      <w:r>
        <w:rPr>
          <w:rFonts w:hint="eastAsia" w:ascii="仿宋" w:hAnsi="仿宋" w:eastAsia="仿宋" w:cs="仿宋"/>
          <w:bCs/>
          <w:snapToGrid w:val="0"/>
          <w:color w:val="auto"/>
          <w:kern w:val="0"/>
          <w:sz w:val="24"/>
          <w:szCs w:val="22"/>
          <w:highlight w:val="none"/>
        </w:rPr>
        <w:t>招标人提供的限额设计指标和具体控制措施要求，做好投资控制工作。</w:t>
      </w:r>
    </w:p>
    <w:p w14:paraId="1D38FE91">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2.3.3方案设计、初步设计、施工图设计按基本建设流程执行并报发包人审核、审批后，由承包人编制项目相应的概算和预算，并配合概算和预算的第三方审核。</w:t>
      </w:r>
    </w:p>
    <w:p w14:paraId="34C87CF2">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2.3.4概算编制依据</w:t>
      </w:r>
    </w:p>
    <w:p w14:paraId="67598D3B">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项目概算的建安工程费按施工图预算深度编制，编制完整项目概算报监理、建设管理单位（如有）、第三方造价咨询单位（如有）审核后，送发包人及财政评审中心审批确认后，出具概算审核报告。</w:t>
      </w:r>
    </w:p>
    <w:p w14:paraId="01958BA2">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2.3.4.1设计费：本合同的相关约定；《2002年勘察设计收费标准》；招标文件；投标文件，其他相关规范和标准。</w:t>
      </w:r>
    </w:p>
    <w:p w14:paraId="7F039D4E">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2.3.4.2概算建安工程费：</w:t>
      </w:r>
    </w:p>
    <w:p w14:paraId="06441B94">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（1）工程项目概算建安工程费造价的计算原则为：采用清单计价方式，计价依据执行《建设工程工程量清单计价标准》（GB/T 50500-2024）、《房屋建筑与装饰工程工程量计算标准》（GB/T 50854-2024）、《广东省建设工程计价依据（2018）》。上述定额有修订或新版时，按其规定执行；工程项目概算建安工程费编制时当上述定额子目有缺项则参考其他相关定额子目编制补充定额子目。</w:t>
      </w:r>
    </w:p>
    <w:p w14:paraId="230EE081">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2）人、材、机价格，套用初步设计通过行业主管部门批复或专家评审完成时（以最后时间优先）广州市建设工程造价管理站发布的《广州地区建设工程常用材料税前综合价格》。《广州地区建设工程常用材料税前综合价格》缺项部分可以参考《广州地区建设工程材料（设备）厂商价格信息》及结合市场价（就低原则计取），其中厂商价格土建工程、园建工程、市政工程下浮10%，机电安装工程下浮20%，市场询价原则上应在就近工程所在地询价，询价文件应提供3~5家供应商的报价，并且盖有供应商的公章，且单价必须明确是否包税、包运、包安装等影响单价的关键内容，经监理、第三方造价咨询单位、发包人审批确认后执行；最终结算价格以财政评审中心审核为准。</w:t>
      </w:r>
    </w:p>
    <w:p w14:paraId="6BA48932">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2.3.</w:t>
      </w:r>
      <w:r>
        <w:rPr>
          <w:rFonts w:hint="eastAsia" w:ascii="仿宋" w:hAnsi="仿宋" w:eastAsia="仿宋" w:cs="仿宋"/>
          <w:bCs/>
          <w:snapToGrid w:val="0"/>
          <w:color w:val="auto"/>
          <w:kern w:val="0"/>
          <w:sz w:val="24"/>
          <w:szCs w:val="22"/>
          <w:highlight w:val="none"/>
          <w:lang w:val="en-US" w:eastAsia="zh-CN"/>
          <w:woUserID w:val="1"/>
        </w:rPr>
        <w:t>5</w:t>
      </w:r>
      <w:r>
        <w:rPr>
          <w:rFonts w:hint="eastAsia" w:ascii="仿宋" w:hAnsi="仿宋" w:eastAsia="仿宋" w:cs="仿宋"/>
          <w:bCs/>
          <w:snapToGrid w:val="0"/>
          <w:color w:val="auto"/>
          <w:kern w:val="0"/>
          <w:sz w:val="24"/>
          <w:szCs w:val="22"/>
          <w:highlight w:val="none"/>
          <w:lang w:val="en-US" w:eastAsia="zh"/>
          <w:woUserID w:val="1"/>
        </w:rPr>
        <w:t>施工图预算编制</w:t>
      </w:r>
    </w:p>
    <w:p w14:paraId="365BAA68">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以经最终审批通过的项目概算及合同协议书第3.3.2款</w:t>
      </w:r>
      <w:r>
        <w:rPr>
          <w:rFonts w:hint="eastAsia" w:ascii="仿宋" w:hAnsi="仿宋" w:eastAsia="仿宋" w:cs="仿宋"/>
          <w:bCs/>
          <w:snapToGrid w:val="0"/>
          <w:color w:val="auto"/>
          <w:kern w:val="0"/>
          <w:sz w:val="24"/>
          <w:szCs w:val="22"/>
          <w:highlight w:val="none"/>
          <w:lang w:val="en-US" w:eastAsia="zh-CN"/>
          <w:woUserID w:val="1"/>
        </w:rPr>
        <w:t>、第3.3.3款</w:t>
      </w:r>
      <w:r>
        <w:rPr>
          <w:rFonts w:hint="eastAsia" w:ascii="仿宋" w:hAnsi="仿宋" w:eastAsia="仿宋" w:cs="仿宋"/>
          <w:bCs/>
          <w:snapToGrid w:val="0"/>
          <w:color w:val="auto"/>
          <w:kern w:val="0"/>
          <w:sz w:val="24"/>
          <w:szCs w:val="22"/>
          <w:highlight w:val="none"/>
          <w:lang w:val="en-US" w:eastAsia="zh"/>
          <w:woUserID w:val="1"/>
        </w:rPr>
        <w:t>的约定为依据，编制施工图预算，并按程序审批通过后，依据审定的预算、按本合同约定的计价方式签订本合同补充协议。</w:t>
      </w:r>
    </w:p>
    <w:p w14:paraId="2845104B">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2.3.</w:t>
      </w:r>
      <w:r>
        <w:rPr>
          <w:rFonts w:hint="eastAsia" w:ascii="仿宋" w:hAnsi="仿宋" w:eastAsia="仿宋" w:cs="仿宋"/>
          <w:bCs/>
          <w:snapToGrid w:val="0"/>
          <w:color w:val="auto"/>
          <w:kern w:val="0"/>
          <w:sz w:val="24"/>
          <w:szCs w:val="22"/>
          <w:highlight w:val="none"/>
          <w:lang w:val="en-US" w:eastAsia="zh-CN"/>
          <w:woUserID w:val="1"/>
        </w:rPr>
        <w:t>5</w:t>
      </w:r>
      <w:r>
        <w:rPr>
          <w:rFonts w:hint="eastAsia" w:ascii="仿宋" w:hAnsi="仿宋" w:eastAsia="仿宋" w:cs="仿宋"/>
          <w:bCs/>
          <w:snapToGrid w:val="0"/>
          <w:color w:val="auto"/>
          <w:kern w:val="0"/>
          <w:sz w:val="24"/>
          <w:szCs w:val="22"/>
          <w:highlight w:val="none"/>
          <w:lang w:val="en-US" w:eastAsia="zh"/>
          <w:woUserID w:val="1"/>
        </w:rPr>
        <w:t>.1施工图预算文件：施工图预算文件由工程总承包单位编制，经监理、建设管理单位、第三方造价咨询单位（如需）及发包人审核并按程序审批定案。施工图预算中的建安费不得超过已审批概算对应的建安工程费。</w:t>
      </w:r>
    </w:p>
    <w:p w14:paraId="59247A12">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2.3.</w:t>
      </w:r>
      <w:r>
        <w:rPr>
          <w:rFonts w:hint="eastAsia" w:ascii="仿宋" w:hAnsi="仿宋" w:eastAsia="仿宋" w:cs="仿宋"/>
          <w:bCs/>
          <w:snapToGrid w:val="0"/>
          <w:color w:val="auto"/>
          <w:kern w:val="0"/>
          <w:sz w:val="24"/>
          <w:szCs w:val="22"/>
          <w:highlight w:val="none"/>
          <w:lang w:val="en-US" w:eastAsia="zh-CN"/>
          <w:woUserID w:val="1"/>
        </w:rPr>
        <w:t>5</w:t>
      </w:r>
      <w:r>
        <w:rPr>
          <w:rFonts w:hint="eastAsia" w:ascii="仿宋" w:hAnsi="仿宋" w:eastAsia="仿宋" w:cs="仿宋"/>
          <w:bCs/>
          <w:snapToGrid w:val="0"/>
          <w:color w:val="auto"/>
          <w:kern w:val="0"/>
          <w:sz w:val="24"/>
          <w:szCs w:val="22"/>
          <w:highlight w:val="none"/>
          <w:lang w:val="en-US" w:eastAsia="zh"/>
          <w:woUserID w:val="1"/>
        </w:rPr>
        <w:t>.2 施工图预算编制依据：</w:t>
      </w:r>
    </w:p>
    <w:p w14:paraId="17285D09">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（1）工程项目施工图预算造价的计算原则为：参照</w:t>
      </w:r>
      <w:r>
        <w:rPr>
          <w:rFonts w:hint="eastAsia" w:ascii="仿宋" w:hAnsi="仿宋" w:eastAsia="仿宋" w:cs="仿宋"/>
          <w:bCs/>
          <w:snapToGrid w:val="0"/>
          <w:color w:val="auto"/>
          <w:kern w:val="0"/>
          <w:sz w:val="24"/>
          <w:szCs w:val="22"/>
          <w:highlight w:val="none"/>
          <w:lang w:val="en-US" w:eastAsia="zh-CN"/>
          <w:woUserID w:val="1"/>
        </w:rPr>
        <w:t>合同</w:t>
      </w:r>
      <w:r>
        <w:rPr>
          <w:rFonts w:hint="eastAsia" w:ascii="仿宋" w:hAnsi="仿宋" w:eastAsia="仿宋" w:cs="仿宋"/>
          <w:bCs/>
          <w:snapToGrid w:val="0"/>
          <w:color w:val="auto"/>
          <w:kern w:val="0"/>
          <w:sz w:val="24"/>
          <w:szCs w:val="22"/>
          <w:highlight w:val="none"/>
          <w:lang w:val="en-US" w:eastAsia="zh"/>
          <w:woUserID w:val="1"/>
        </w:rPr>
        <w:t>协议书第</w:t>
      </w:r>
      <w:r>
        <w:rPr>
          <w:rFonts w:hint="eastAsia" w:ascii="仿宋" w:hAnsi="仿宋" w:eastAsia="仿宋" w:cs="仿宋"/>
          <w:bCs/>
          <w:snapToGrid w:val="0"/>
          <w:color w:val="auto"/>
          <w:kern w:val="0"/>
          <w:sz w:val="24"/>
          <w:szCs w:val="22"/>
          <w:highlight w:val="none"/>
          <w:lang w:val="en-US" w:eastAsia="zh-CN"/>
          <w:woUserID w:val="1"/>
        </w:rPr>
        <w:t>2.3.4.2款</w:t>
      </w:r>
      <w:r>
        <w:rPr>
          <w:rFonts w:hint="eastAsia" w:ascii="仿宋" w:hAnsi="仿宋" w:eastAsia="仿宋" w:cs="仿宋"/>
          <w:bCs/>
          <w:snapToGrid w:val="0"/>
          <w:color w:val="auto"/>
          <w:kern w:val="0"/>
          <w:sz w:val="24"/>
          <w:szCs w:val="22"/>
          <w:highlight w:val="none"/>
          <w:lang w:val="en-US" w:eastAsia="zh"/>
          <w:woUserID w:val="1"/>
        </w:rPr>
        <w:t>第（1）点</w:t>
      </w:r>
      <w:r>
        <w:rPr>
          <w:rFonts w:hint="eastAsia" w:ascii="仿宋" w:hAnsi="仿宋" w:eastAsia="仿宋" w:cs="仿宋"/>
          <w:bCs/>
          <w:snapToGrid w:val="0"/>
          <w:color w:val="auto"/>
          <w:kern w:val="0"/>
          <w:sz w:val="24"/>
          <w:szCs w:val="22"/>
          <w:highlight w:val="none"/>
          <w:lang w:val="en-US" w:eastAsia="zh-CN"/>
          <w:woUserID w:val="1"/>
        </w:rPr>
        <w:t>执行</w:t>
      </w:r>
      <w:r>
        <w:rPr>
          <w:rFonts w:hint="eastAsia" w:ascii="仿宋" w:hAnsi="仿宋" w:eastAsia="仿宋" w:cs="仿宋"/>
          <w:bCs/>
          <w:snapToGrid w:val="0"/>
          <w:color w:val="auto"/>
          <w:kern w:val="0"/>
          <w:sz w:val="24"/>
          <w:szCs w:val="22"/>
          <w:highlight w:val="none"/>
          <w:lang w:val="en-US" w:eastAsia="zh"/>
          <w:woUserID w:val="1"/>
        </w:rPr>
        <w:t>。</w:t>
      </w:r>
    </w:p>
    <w:p w14:paraId="70DD6476">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(2)人、材、机价格：参照</w:t>
      </w:r>
      <w:r>
        <w:rPr>
          <w:rFonts w:hint="eastAsia" w:ascii="仿宋" w:hAnsi="仿宋" w:eastAsia="仿宋" w:cs="仿宋"/>
          <w:bCs/>
          <w:snapToGrid w:val="0"/>
          <w:color w:val="auto"/>
          <w:kern w:val="0"/>
          <w:sz w:val="24"/>
          <w:szCs w:val="22"/>
          <w:highlight w:val="none"/>
          <w:lang w:val="en-US" w:eastAsia="zh-CN"/>
          <w:woUserID w:val="1"/>
        </w:rPr>
        <w:t>合同</w:t>
      </w:r>
      <w:r>
        <w:rPr>
          <w:rFonts w:hint="eastAsia" w:ascii="仿宋" w:hAnsi="仿宋" w:eastAsia="仿宋" w:cs="仿宋"/>
          <w:bCs/>
          <w:snapToGrid w:val="0"/>
          <w:color w:val="auto"/>
          <w:kern w:val="0"/>
          <w:sz w:val="24"/>
          <w:szCs w:val="22"/>
          <w:highlight w:val="none"/>
          <w:lang w:val="en-US" w:eastAsia="zh"/>
          <w:woUserID w:val="1"/>
        </w:rPr>
        <w:t>协议书第</w:t>
      </w:r>
      <w:r>
        <w:rPr>
          <w:rFonts w:hint="eastAsia" w:ascii="仿宋" w:hAnsi="仿宋" w:eastAsia="仿宋" w:cs="仿宋"/>
          <w:bCs/>
          <w:snapToGrid w:val="0"/>
          <w:color w:val="auto"/>
          <w:kern w:val="0"/>
          <w:sz w:val="24"/>
          <w:szCs w:val="22"/>
          <w:highlight w:val="none"/>
          <w:lang w:val="en-US" w:eastAsia="zh-CN"/>
          <w:woUserID w:val="1"/>
        </w:rPr>
        <w:t>2.3.4.2款</w:t>
      </w:r>
      <w:r>
        <w:rPr>
          <w:rFonts w:hint="eastAsia" w:ascii="仿宋" w:hAnsi="仿宋" w:eastAsia="仿宋" w:cs="仿宋"/>
          <w:bCs/>
          <w:snapToGrid w:val="0"/>
          <w:color w:val="auto"/>
          <w:kern w:val="0"/>
          <w:sz w:val="24"/>
          <w:szCs w:val="22"/>
          <w:highlight w:val="none"/>
          <w:lang w:val="en-US" w:eastAsia="zh"/>
          <w:woUserID w:val="1"/>
        </w:rPr>
        <w:t>第（2）点</w:t>
      </w:r>
      <w:r>
        <w:rPr>
          <w:rFonts w:hint="eastAsia" w:ascii="仿宋" w:hAnsi="仿宋" w:eastAsia="仿宋" w:cs="仿宋"/>
          <w:bCs/>
          <w:snapToGrid w:val="0"/>
          <w:color w:val="auto"/>
          <w:kern w:val="0"/>
          <w:sz w:val="24"/>
          <w:szCs w:val="22"/>
          <w:highlight w:val="none"/>
          <w:lang w:val="en-US" w:eastAsia="zh-CN"/>
          <w:woUserID w:val="1"/>
        </w:rPr>
        <w:t>执行</w:t>
      </w:r>
      <w:r>
        <w:rPr>
          <w:rFonts w:hint="eastAsia" w:ascii="仿宋" w:hAnsi="仿宋" w:eastAsia="仿宋" w:cs="仿宋"/>
          <w:bCs/>
          <w:snapToGrid w:val="0"/>
          <w:color w:val="auto"/>
          <w:kern w:val="0"/>
          <w:sz w:val="24"/>
          <w:szCs w:val="22"/>
          <w:highlight w:val="none"/>
          <w:lang w:val="en-US" w:eastAsia="zh"/>
          <w:woUserID w:val="1"/>
        </w:rPr>
        <w:t>。</w:t>
      </w:r>
    </w:p>
    <w:p w14:paraId="1D04A0BE">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w:t>
      </w:r>
      <w:r>
        <w:rPr>
          <w:rFonts w:hint="eastAsia" w:ascii="仿宋" w:hAnsi="仿宋" w:eastAsia="仿宋" w:cs="仿宋"/>
          <w:bCs/>
          <w:snapToGrid w:val="0"/>
          <w:color w:val="auto"/>
          <w:kern w:val="0"/>
          <w:sz w:val="24"/>
          <w:szCs w:val="22"/>
          <w:highlight w:val="none"/>
          <w:lang w:val="en-US" w:eastAsia="zh-CN"/>
          <w:woUserID w:val="1"/>
        </w:rPr>
        <w:t>6</w:t>
      </w:r>
      <w:r>
        <w:rPr>
          <w:rFonts w:hint="eastAsia" w:ascii="仿宋" w:hAnsi="仿宋" w:eastAsia="仿宋" w:cs="仿宋"/>
          <w:bCs/>
          <w:snapToGrid w:val="0"/>
          <w:color w:val="auto"/>
          <w:kern w:val="0"/>
          <w:sz w:val="24"/>
          <w:szCs w:val="22"/>
          <w:highlight w:val="none"/>
          <w:lang w:val="en-US" w:eastAsia="zh"/>
          <w:woUserID w:val="1"/>
        </w:rPr>
        <w:t xml:space="preserve"> 投资控制原则</w:t>
      </w:r>
    </w:p>
    <w:p w14:paraId="06EA2663">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w:t>
      </w:r>
      <w:r>
        <w:rPr>
          <w:rFonts w:hint="eastAsia" w:ascii="仿宋" w:hAnsi="仿宋" w:eastAsia="仿宋" w:cs="仿宋"/>
          <w:bCs/>
          <w:snapToGrid w:val="0"/>
          <w:color w:val="auto"/>
          <w:kern w:val="0"/>
          <w:sz w:val="24"/>
          <w:szCs w:val="22"/>
          <w:highlight w:val="none"/>
          <w:lang w:val="en-US" w:eastAsia="zh-CN"/>
          <w:woUserID w:val="1"/>
        </w:rPr>
        <w:t>6</w:t>
      </w:r>
      <w:r>
        <w:rPr>
          <w:rFonts w:hint="eastAsia" w:ascii="仿宋" w:hAnsi="仿宋" w:eastAsia="仿宋" w:cs="仿宋"/>
          <w:bCs/>
          <w:snapToGrid w:val="0"/>
          <w:color w:val="auto"/>
          <w:kern w:val="0"/>
          <w:sz w:val="24"/>
          <w:szCs w:val="22"/>
          <w:highlight w:val="none"/>
          <w:lang w:val="en-US" w:eastAsia="zh"/>
          <w:woUserID w:val="1"/>
        </w:rPr>
        <w:t>.1本工程实行全过程限额设计和施工，承包人须严格将项目投资控制在目标以内。</w:t>
      </w:r>
    </w:p>
    <w:p w14:paraId="6757B141">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w:t>
      </w:r>
      <w:r>
        <w:rPr>
          <w:rFonts w:hint="eastAsia" w:ascii="仿宋" w:hAnsi="仿宋" w:eastAsia="仿宋" w:cs="仿宋"/>
          <w:bCs/>
          <w:snapToGrid w:val="0"/>
          <w:color w:val="auto"/>
          <w:kern w:val="0"/>
          <w:sz w:val="24"/>
          <w:szCs w:val="22"/>
          <w:highlight w:val="none"/>
          <w:lang w:val="en-US" w:eastAsia="zh-CN"/>
          <w:woUserID w:val="1"/>
        </w:rPr>
        <w:t>6</w:t>
      </w:r>
      <w:r>
        <w:rPr>
          <w:rFonts w:hint="eastAsia" w:ascii="仿宋" w:hAnsi="仿宋" w:eastAsia="仿宋" w:cs="仿宋"/>
          <w:bCs/>
          <w:snapToGrid w:val="0"/>
          <w:color w:val="auto"/>
          <w:kern w:val="0"/>
          <w:sz w:val="24"/>
          <w:szCs w:val="22"/>
          <w:highlight w:val="none"/>
          <w:lang w:val="en-US" w:eastAsia="zh"/>
          <w:woUserID w:val="1"/>
        </w:rPr>
        <w:t>.2过程控制</w:t>
      </w:r>
    </w:p>
    <w:p w14:paraId="16D32A04">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（1）本工程实行全过程限额设计；严格控制每阶段投资目标，承包人应根据发包人设计限额标准制定各阶段、各专业工程限额设计指标和具体控制措施，做好投资控制工作。合同签订之日起</w:t>
      </w:r>
      <w:r>
        <w:rPr>
          <w:rFonts w:hint="eastAsia" w:ascii="仿宋" w:hAnsi="仿宋" w:eastAsia="仿宋" w:cs="仿宋"/>
          <w:bCs/>
          <w:snapToGrid w:val="0"/>
          <w:color w:val="auto"/>
          <w:kern w:val="0"/>
          <w:sz w:val="24"/>
          <w:szCs w:val="22"/>
          <w:highlight w:val="none"/>
          <w:lang w:val="en-US" w:eastAsia="zh-CN"/>
          <w:woUserID w:val="1"/>
        </w:rPr>
        <w:t>7</w:t>
      </w:r>
      <w:r>
        <w:rPr>
          <w:rFonts w:hint="eastAsia" w:ascii="仿宋" w:hAnsi="仿宋" w:eastAsia="仿宋" w:cs="仿宋"/>
          <w:bCs/>
          <w:snapToGrid w:val="0"/>
          <w:color w:val="auto"/>
          <w:kern w:val="0"/>
          <w:sz w:val="24"/>
          <w:szCs w:val="22"/>
          <w:highlight w:val="none"/>
          <w:lang w:val="en-US" w:eastAsia="zh"/>
          <w:woUserID w:val="1"/>
        </w:rPr>
        <w:t>天内，承包人应制定限额设计工作方案，统筹分解限额设计指标，包括一级指标（按单位工程划分）、二级指标（按分部工程划分）、三级指标（按分项工程划分），确保设计人员有效开展限额设计及设计优化工作。限额设计方案报发包人批准后执行，批准后如承包人需调整的，需书面报发包人审批。</w:t>
      </w:r>
    </w:p>
    <w:p w14:paraId="5CFC25FE">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2）施工图设计阶段，应结合设计任务书、项目管理要求中的主要设计指标开展设计工作，确保工程预算能满足甲方对工程投资的控制要求。如各单体、各专业的设计预算超出相应限额设计指标的，启动预警机制，允许承包人在满足或优于设计任务书、确保建筑功能且不突破建筑安装工程费设计限额总体造价指标的前提下，经发包人书面同意，调整各单体、各专业的限额设计指标。</w:t>
      </w:r>
    </w:p>
    <w:p w14:paraId="45A6FC3E">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3）本工程设计预算须分单体、分专业进行编制。设计预算须结合设计进度分阶段提供（承包人提供施工图时须同步提交设计预算），以便于复核限额设计落实情况，必要时及时进行设计优化，确保不突破限额才能报施工图审查。</w:t>
      </w:r>
    </w:p>
    <w:p w14:paraId="5DCBF718">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
          <w:woUserID w:val="1"/>
        </w:rPr>
        <w:t>（4）施工图审查合格并进入施工阶段，允许承包人在满足或优于设计任务书、确保建筑功能且不突破建筑安装工程费设计限额总体造价指标的前提下，调整各单体、各专业之间的限额设计指标，但须报发包人审批同意；承包人设计缺陷等原因造成工程变更的，承包人自行承担工程变更造成的额外费用损失。</w:t>
      </w:r>
    </w:p>
    <w:p w14:paraId="3C67957E">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CN"/>
          <w:woUserID w:val="1"/>
        </w:rPr>
        <w:t>2.7</w:t>
      </w:r>
      <w:r>
        <w:rPr>
          <w:rFonts w:hint="eastAsia" w:ascii="仿宋" w:hAnsi="仿宋" w:eastAsia="仿宋" w:cs="仿宋"/>
          <w:bCs/>
          <w:snapToGrid w:val="0"/>
          <w:color w:val="auto"/>
          <w:kern w:val="0"/>
          <w:sz w:val="24"/>
          <w:szCs w:val="22"/>
          <w:highlight w:val="none"/>
          <w:lang w:val="en-US" w:eastAsia="zh"/>
          <w:woUserID w:val="1"/>
        </w:rPr>
        <w:t xml:space="preserve"> 承包人承诺在不降低设计任务书、初步设计文件、材料设备技术需求书中的主要设计指标（改造范围、面积等）、材料设备品牌档次的前提下进行施工图设计。</w:t>
      </w:r>
    </w:p>
    <w:p w14:paraId="467C5E04">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CN"/>
          <w:woUserID w:val="1"/>
        </w:rPr>
        <w:t>2.8</w:t>
      </w:r>
      <w:r>
        <w:rPr>
          <w:rFonts w:hint="eastAsia" w:ascii="仿宋" w:hAnsi="仿宋" w:eastAsia="仿宋" w:cs="仿宋"/>
          <w:bCs/>
          <w:snapToGrid w:val="0"/>
          <w:color w:val="auto"/>
          <w:kern w:val="0"/>
          <w:sz w:val="24"/>
          <w:szCs w:val="22"/>
          <w:highlight w:val="none"/>
          <w:lang w:val="en-US" w:eastAsia="zh"/>
          <w:woUserID w:val="1"/>
        </w:rPr>
        <w:t xml:space="preserve"> 承包人施工方应在概算批复后20天内完成预算编制并送发包人，由发包人委托监理单位、第三方造价咨询单位（如有）、建设管理单位审核（15天内出审核初稿），承包人对各审核单位的审核意见应在3天内核对、回复、确认；因承包人预算送审延迟或对数时间延误，导致工程款不能及时支付等后果由承包人承担，承包人不得因此延误工程施工；承包人不同意各审核单位审核意见，在预算审定前工程进度款暂按各审核单位的审核初稿出具的预算数额计付。发包人有权停止支付承包人未确认部分预算所对应的工程进度款，合同节点不得延后，如违约按合同违约条款处罚。</w:t>
      </w:r>
    </w:p>
    <w:p w14:paraId="2B44B6DB">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CN"/>
          <w:woUserID w:val="1"/>
        </w:rPr>
        <w:t>2.9</w:t>
      </w:r>
      <w:r>
        <w:rPr>
          <w:rFonts w:hint="eastAsia" w:ascii="仿宋" w:hAnsi="仿宋" w:eastAsia="仿宋" w:cs="仿宋"/>
          <w:bCs/>
          <w:snapToGrid w:val="0"/>
          <w:color w:val="auto"/>
          <w:kern w:val="0"/>
          <w:sz w:val="24"/>
          <w:szCs w:val="22"/>
          <w:highlight w:val="none"/>
          <w:lang w:val="en-US" w:eastAsia="zh"/>
          <w:woUserID w:val="1"/>
        </w:rPr>
        <w:t xml:space="preserve"> 在合同执行期内因施工条件、施工环境、气候等自然条件（不可抗力除外）、技术经济条件（如资源、劳力、交通条件等）等因素导致调整及发生的施工费用，以上费用在投标报价综合考虑中，不再另外开项支付。</w:t>
      </w:r>
    </w:p>
    <w:p w14:paraId="0BD1BBA7">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CN"/>
          <w:woUserID w:val="1"/>
        </w:rPr>
        <w:t>2.10</w:t>
      </w:r>
      <w:r>
        <w:rPr>
          <w:rFonts w:hint="eastAsia" w:ascii="仿宋" w:hAnsi="仿宋" w:eastAsia="仿宋" w:cs="仿宋"/>
          <w:bCs/>
          <w:snapToGrid w:val="0"/>
          <w:color w:val="auto"/>
          <w:kern w:val="0"/>
          <w:sz w:val="24"/>
          <w:szCs w:val="22"/>
          <w:highlight w:val="none"/>
          <w:lang w:val="en-US" w:eastAsia="zh"/>
          <w:woUserID w:val="1"/>
        </w:rPr>
        <w:t>发包人根据工程实施情况，有权对本工程的实施范围和内容进行调整，承包人必须无条件服从。减小实施范围、减少实施内容的，甲方不补偿承包人任何费用，承包人无异议。承包人未经发包人书面同意不得擅自变更工程实施范围和内容。</w:t>
      </w:r>
    </w:p>
    <w:p w14:paraId="665CB383">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CN"/>
          <w:woUserID w:val="1"/>
        </w:rPr>
        <w:t>2.11</w:t>
      </w:r>
      <w:r>
        <w:rPr>
          <w:rFonts w:hint="eastAsia" w:ascii="仿宋" w:hAnsi="仿宋" w:eastAsia="仿宋" w:cs="仿宋"/>
          <w:bCs/>
          <w:snapToGrid w:val="0"/>
          <w:color w:val="auto"/>
          <w:kern w:val="0"/>
          <w:sz w:val="24"/>
          <w:szCs w:val="22"/>
          <w:highlight w:val="none"/>
          <w:lang w:val="en-US" w:eastAsia="zh"/>
          <w:woUserID w:val="1"/>
        </w:rPr>
        <w:t>承包人应尽一切可行办法积极完成合同约定的全部工作内容，由于承包人自身原因（包括但不限于内部管理不善、未履行限额设计等）导致合同范围内产生额外增加的费用由承包人负责，由此造成损失的（包括但不限于工期延误、工程质量问题、安全问题等），发包人有权向承包人追偿。</w:t>
      </w:r>
    </w:p>
    <w:p w14:paraId="213BF16D">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lang w:val="en-US" w:eastAsia="zh"/>
          <w:woUserID w:val="1"/>
        </w:rPr>
      </w:pPr>
      <w:r>
        <w:rPr>
          <w:rFonts w:hint="eastAsia" w:ascii="仿宋" w:hAnsi="仿宋" w:eastAsia="仿宋" w:cs="仿宋"/>
          <w:bCs/>
          <w:snapToGrid w:val="0"/>
          <w:color w:val="auto"/>
          <w:kern w:val="0"/>
          <w:sz w:val="24"/>
          <w:szCs w:val="22"/>
          <w:highlight w:val="none"/>
          <w:lang w:val="en-US" w:eastAsia="zh-CN"/>
          <w:woUserID w:val="1"/>
        </w:rPr>
        <w:t>2.12</w:t>
      </w:r>
      <w:r>
        <w:rPr>
          <w:rFonts w:hint="eastAsia" w:ascii="仿宋" w:hAnsi="仿宋" w:eastAsia="仿宋" w:cs="仿宋"/>
          <w:bCs/>
          <w:snapToGrid w:val="0"/>
          <w:color w:val="auto"/>
          <w:kern w:val="0"/>
          <w:sz w:val="24"/>
          <w:szCs w:val="22"/>
          <w:highlight w:val="none"/>
          <w:lang w:val="en-US" w:eastAsia="zh"/>
          <w:woUserID w:val="1"/>
        </w:rPr>
        <w:t xml:space="preserve"> 其他投资控制要求详见合同</w:t>
      </w:r>
      <w:r>
        <w:rPr>
          <w:rFonts w:hint="eastAsia" w:ascii="仿宋" w:hAnsi="仿宋" w:eastAsia="仿宋" w:cs="仿宋"/>
          <w:bCs/>
          <w:snapToGrid w:val="0"/>
          <w:color w:val="auto"/>
          <w:kern w:val="0"/>
          <w:sz w:val="24"/>
          <w:szCs w:val="22"/>
          <w:highlight w:val="none"/>
          <w:lang w:val="en-US" w:eastAsia="zh-CN"/>
          <w:woUserID w:val="1"/>
        </w:rPr>
        <w:t>专用</w:t>
      </w:r>
      <w:r>
        <w:rPr>
          <w:rFonts w:hint="eastAsia" w:ascii="仿宋" w:hAnsi="仿宋" w:eastAsia="仿宋" w:cs="仿宋"/>
          <w:bCs/>
          <w:snapToGrid w:val="0"/>
          <w:color w:val="auto"/>
          <w:kern w:val="0"/>
          <w:sz w:val="24"/>
          <w:szCs w:val="22"/>
          <w:highlight w:val="none"/>
          <w:lang w:val="en-US" w:eastAsia="zh"/>
          <w:woUserID w:val="1"/>
        </w:rPr>
        <w:t>条款约定。</w:t>
      </w:r>
    </w:p>
    <w:p w14:paraId="35960E1D">
      <w:pPr>
        <w:widowControl/>
        <w:numPr>
          <w:ilvl w:val="0"/>
          <w:numId w:val="3"/>
        </w:numPr>
        <w:shd w:val="clear"/>
        <w:tabs>
          <w:tab w:val="left" w:pos="5475"/>
        </w:tabs>
        <w:adjustRightInd/>
        <w:snapToGrid/>
        <w:spacing w:line="360" w:lineRule="auto"/>
        <w:ind w:right="0" w:firstLine="482" w:firstLineChars="200"/>
        <w:jc w:val="left"/>
        <w:rPr>
          <w:rFonts w:hint="eastAsia" w:ascii="仿宋" w:hAnsi="仿宋" w:eastAsia="仿宋" w:cs="仿宋"/>
          <w:b/>
          <w:bCs/>
          <w:snapToGrid w:val="0"/>
          <w:color w:val="auto"/>
          <w:kern w:val="0"/>
          <w:sz w:val="24"/>
          <w:szCs w:val="20"/>
          <w:highlight w:val="none"/>
        </w:rPr>
      </w:pPr>
      <w:r>
        <w:rPr>
          <w:rFonts w:hint="eastAsia" w:ascii="仿宋" w:hAnsi="仿宋" w:eastAsia="仿宋" w:cs="仿宋"/>
          <w:b/>
          <w:bCs/>
          <w:snapToGrid w:val="0"/>
          <w:color w:val="auto"/>
          <w:kern w:val="0"/>
          <w:sz w:val="24"/>
          <w:szCs w:val="20"/>
          <w:highlight w:val="none"/>
          <w:lang w:eastAsia="zh-CN"/>
        </w:rPr>
        <w:t>签约合同价与合同价格形式</w:t>
      </w:r>
    </w:p>
    <w:p w14:paraId="605CF7B3">
      <w:pPr>
        <w:widowControl/>
        <w:shd w:val="clear" w:color="auto"/>
        <w:spacing w:line="360" w:lineRule="auto"/>
        <w:ind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.1</w:t>
      </w:r>
      <w:r>
        <w:rPr>
          <w:rFonts w:hint="eastAsia" w:ascii="仿宋" w:hAnsi="仿宋" w:eastAsia="仿宋" w:cs="仿宋"/>
          <w:bCs/>
          <w:snapToGrid w:val="0"/>
          <w:color w:val="auto"/>
          <w:kern w:val="0"/>
          <w:sz w:val="24"/>
          <w:szCs w:val="22"/>
          <w:highlight w:val="none"/>
          <w:lang w:eastAsia="zh-CN"/>
        </w:rPr>
        <w:t>签约合同价（含税）：人民币（大写）</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元整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元）。其中：</w:t>
      </w:r>
    </w:p>
    <w:p w14:paraId="043C6351">
      <w:pPr>
        <w:widowControl/>
        <w:shd w:val="clear" w:color="auto"/>
        <w:spacing w:line="360" w:lineRule="auto"/>
        <w:ind w:left="0" w:leftChars="0"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.1</w:t>
      </w:r>
      <w:r>
        <w:rPr>
          <w:rFonts w:hint="eastAsia" w:ascii="仿宋" w:hAnsi="仿宋" w:eastAsia="仿宋" w:cs="仿宋"/>
          <w:bCs/>
          <w:snapToGrid w:val="0"/>
          <w:color w:val="auto"/>
          <w:kern w:val="0"/>
          <w:sz w:val="24"/>
          <w:szCs w:val="22"/>
          <w:highlight w:val="none"/>
          <w:lang w:val="en-US" w:eastAsia="zh-CN"/>
        </w:rPr>
        <w:t>.1</w:t>
      </w:r>
      <w:r>
        <w:rPr>
          <w:rFonts w:hint="eastAsia" w:ascii="仿宋" w:hAnsi="仿宋" w:eastAsia="仿宋" w:cs="仿宋"/>
          <w:bCs/>
          <w:snapToGrid w:val="0"/>
          <w:color w:val="auto"/>
          <w:kern w:val="0"/>
          <w:sz w:val="24"/>
          <w:szCs w:val="22"/>
          <w:highlight w:val="none"/>
          <w:lang w:eastAsia="zh-CN"/>
        </w:rPr>
        <w:t xml:space="preserve"> ☑工程设计费（含税）：</w:t>
      </w:r>
    </w:p>
    <w:p w14:paraId="6CCFF9CD">
      <w:pPr>
        <w:widowControl/>
        <w:shd w:val="clear" w:color="auto"/>
        <w:spacing w:line="360" w:lineRule="auto"/>
        <w:ind w:firstLine="480" w:firstLineChars="200"/>
        <w:rPr>
          <w:rFonts w:hint="default"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none"/>
          <w:lang w:eastAsia="zh-CN"/>
        </w:rPr>
        <w:t xml:space="preserve">元整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元），不含税价为</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元，税率为</w:t>
      </w:r>
      <w:r>
        <w:rPr>
          <w:rFonts w:hint="eastAsia" w:ascii="仿宋" w:hAnsi="仿宋" w:eastAsia="仿宋" w:cs="仿宋"/>
          <w:bCs/>
          <w:snapToGrid w:val="0"/>
          <w:color w:val="auto"/>
          <w:kern w:val="0"/>
          <w:sz w:val="24"/>
          <w:szCs w:val="22"/>
          <w:highlight w:val="none"/>
          <w:u w:val="single"/>
          <w:lang w:eastAsia="zh-CN"/>
        </w:rPr>
        <w:t xml:space="preserve"> 6  </w:t>
      </w:r>
      <w:r>
        <w:rPr>
          <w:rFonts w:hint="eastAsia" w:ascii="仿宋" w:hAnsi="仿宋" w:eastAsia="仿宋" w:cs="仿宋"/>
          <w:bCs/>
          <w:snapToGrid w:val="0"/>
          <w:color w:val="auto"/>
          <w:kern w:val="0"/>
          <w:sz w:val="24"/>
          <w:szCs w:val="22"/>
          <w:highlight w:val="none"/>
          <w:lang w:eastAsia="zh-CN"/>
        </w:rPr>
        <w:t>%，税金为</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元；合同约定下浮率为</w:t>
      </w:r>
      <w:r>
        <w:rPr>
          <w:rFonts w:hint="eastAsia" w:ascii="仿宋" w:hAnsi="仿宋" w:eastAsia="仿宋" w:cs="仿宋"/>
          <w:bCs/>
          <w:snapToGrid w:val="0"/>
          <w:color w:val="auto"/>
          <w:kern w:val="0"/>
          <w:sz w:val="24"/>
          <w:szCs w:val="22"/>
          <w:highlight w:val="none"/>
          <w:u w:val="single"/>
          <w:lang w:val="en-US" w:eastAsia="zh-CN"/>
        </w:rPr>
        <w:t xml:space="preserve">  35 </w:t>
      </w:r>
      <w:r>
        <w:rPr>
          <w:rFonts w:hint="eastAsia" w:ascii="仿宋" w:hAnsi="仿宋" w:eastAsia="仿宋" w:cs="仿宋"/>
          <w:bCs/>
          <w:snapToGrid w:val="0"/>
          <w:color w:val="auto"/>
          <w:kern w:val="0"/>
          <w:sz w:val="24"/>
          <w:szCs w:val="22"/>
          <w:highlight w:val="none"/>
          <w:lang w:eastAsia="zh-CN"/>
        </w:rPr>
        <w:t>% 、中标下浮率</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中标下浮率及合同约定下浮率是指计算经审定概算相应费用采用的下浮率，用于后续补充协议价款、结算价款的计算）。本项目工程基本设计费计取中标下浮率及合同约定下浮率，专业工程设计费只计取中标下浮率。</w:t>
      </w:r>
      <w:r>
        <w:rPr>
          <w:rFonts w:hint="eastAsia" w:ascii="仿宋" w:hAnsi="仿宋" w:eastAsia="仿宋" w:cs="仿宋"/>
          <w:bCs/>
          <w:snapToGrid w:val="0"/>
          <w:color w:val="auto"/>
          <w:kern w:val="0"/>
          <w:sz w:val="24"/>
          <w:szCs w:val="22"/>
          <w:highlight w:val="none"/>
          <w:lang w:val="en-US" w:eastAsia="zh-CN"/>
        </w:rPr>
        <w:t>设计费组成明细如下：</w:t>
      </w:r>
    </w:p>
    <w:tbl>
      <w:tblPr>
        <w:tblStyle w:val="23"/>
        <w:tblW w:w="0" w:type="auto"/>
        <w:jc w:val="center"/>
        <w:tblLayout w:type="fixed"/>
        <w:tblCellMar>
          <w:top w:w="0" w:type="dxa"/>
          <w:left w:w="0" w:type="dxa"/>
          <w:bottom w:w="0" w:type="dxa"/>
          <w:right w:w="0" w:type="dxa"/>
        </w:tblCellMar>
      </w:tblPr>
      <w:tblGrid>
        <w:gridCol w:w="768"/>
        <w:gridCol w:w="1912"/>
        <w:gridCol w:w="1343"/>
        <w:gridCol w:w="1332"/>
        <w:gridCol w:w="3567"/>
      </w:tblGrid>
      <w:tr w14:paraId="4129083A">
        <w:tblPrEx>
          <w:tblCellMar>
            <w:top w:w="0" w:type="dxa"/>
            <w:left w:w="0" w:type="dxa"/>
            <w:bottom w:w="0" w:type="dxa"/>
            <w:right w:w="0" w:type="dxa"/>
          </w:tblCellMar>
        </w:tblPrEx>
        <w:trPr>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14:paraId="7AE7BF12">
            <w:pPr>
              <w:shd w:val="clear"/>
              <w:spacing w:line="360" w:lineRule="auto"/>
              <w:ind w:firstLine="0" w:firstLineChars="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序号</w:t>
            </w:r>
          </w:p>
        </w:tc>
        <w:tc>
          <w:tcPr>
            <w:tcW w:w="1912" w:type="dxa"/>
            <w:tcBorders>
              <w:top w:val="single" w:color="auto" w:sz="8" w:space="0"/>
              <w:left w:val="nil"/>
              <w:bottom w:val="single" w:color="auto" w:sz="8" w:space="0"/>
              <w:right w:val="single" w:color="auto" w:sz="8" w:space="0"/>
            </w:tcBorders>
            <w:noWrap w:val="0"/>
            <w:vAlign w:val="center"/>
          </w:tcPr>
          <w:p w14:paraId="7F62D6B9">
            <w:pPr>
              <w:shd w:val="clear"/>
              <w:spacing w:line="360" w:lineRule="auto"/>
              <w:ind w:firstLine="480" w:firstLineChars="20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内容</w:t>
            </w:r>
          </w:p>
        </w:tc>
        <w:tc>
          <w:tcPr>
            <w:tcW w:w="1343" w:type="dxa"/>
            <w:tcBorders>
              <w:top w:val="single" w:color="auto" w:sz="8" w:space="0"/>
              <w:left w:val="nil"/>
              <w:bottom w:val="single" w:color="auto" w:sz="8" w:space="0"/>
              <w:right w:val="single" w:color="auto" w:sz="8" w:space="0"/>
            </w:tcBorders>
            <w:noWrap w:val="0"/>
            <w:vAlign w:val="center"/>
          </w:tcPr>
          <w:p w14:paraId="5FB9E505">
            <w:pPr>
              <w:shd w:val="clear"/>
              <w:spacing w:line="360" w:lineRule="auto"/>
              <w:ind w:firstLine="0" w:firstLineChars="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暂定计费额（万元）</w:t>
            </w:r>
          </w:p>
        </w:tc>
        <w:tc>
          <w:tcPr>
            <w:tcW w:w="1332" w:type="dxa"/>
            <w:tcBorders>
              <w:top w:val="single" w:color="auto" w:sz="8" w:space="0"/>
              <w:left w:val="nil"/>
              <w:bottom w:val="single" w:color="auto" w:sz="8" w:space="0"/>
              <w:right w:val="single" w:color="auto" w:sz="8" w:space="0"/>
            </w:tcBorders>
            <w:noWrap w:val="0"/>
            <w:vAlign w:val="center"/>
          </w:tcPr>
          <w:p w14:paraId="207A6A4D">
            <w:pPr>
              <w:shd w:val="clear"/>
              <w:spacing w:line="360" w:lineRule="auto"/>
              <w:ind w:firstLine="0" w:firstLineChars="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设计费总价（万元）</w:t>
            </w:r>
          </w:p>
        </w:tc>
        <w:tc>
          <w:tcPr>
            <w:tcW w:w="3567" w:type="dxa"/>
            <w:tcBorders>
              <w:top w:val="single" w:color="auto" w:sz="8" w:space="0"/>
              <w:left w:val="nil"/>
              <w:bottom w:val="single" w:color="auto" w:sz="8" w:space="0"/>
              <w:right w:val="single" w:color="auto" w:sz="8" w:space="0"/>
            </w:tcBorders>
            <w:noWrap w:val="0"/>
            <w:vAlign w:val="center"/>
          </w:tcPr>
          <w:p w14:paraId="40134D69">
            <w:pPr>
              <w:shd w:val="clear"/>
              <w:spacing w:line="360" w:lineRule="auto"/>
              <w:ind w:firstLine="0" w:firstLineChars="0"/>
              <w:jc w:val="center"/>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备注</w:t>
            </w:r>
          </w:p>
        </w:tc>
      </w:tr>
      <w:tr w14:paraId="0CEB1605">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noWrap w:val="0"/>
            <w:vAlign w:val="center"/>
          </w:tcPr>
          <w:p w14:paraId="3D1DCBEE">
            <w:pPr>
              <w:shd w:val="clear"/>
              <w:spacing w:line="360" w:lineRule="auto"/>
              <w:ind w:firstLine="480" w:firstLineChars="20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1</w:t>
            </w:r>
          </w:p>
        </w:tc>
        <w:tc>
          <w:tcPr>
            <w:tcW w:w="1912" w:type="dxa"/>
            <w:tcBorders>
              <w:top w:val="single" w:color="auto" w:sz="8" w:space="0"/>
              <w:left w:val="nil"/>
              <w:bottom w:val="single" w:color="auto" w:sz="8" w:space="0"/>
              <w:right w:val="single" w:color="auto" w:sz="8" w:space="0"/>
            </w:tcBorders>
            <w:noWrap w:val="0"/>
            <w:vAlign w:val="center"/>
          </w:tcPr>
          <w:p w14:paraId="64236763">
            <w:pPr>
              <w:shd w:val="clear"/>
              <w:spacing w:line="360" w:lineRule="auto"/>
              <w:ind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基本设计费</w:t>
            </w:r>
          </w:p>
        </w:tc>
        <w:tc>
          <w:tcPr>
            <w:tcW w:w="1343" w:type="dxa"/>
            <w:tcBorders>
              <w:top w:val="single" w:color="auto" w:sz="8" w:space="0"/>
              <w:left w:val="nil"/>
              <w:bottom w:val="single" w:color="auto" w:sz="8" w:space="0"/>
              <w:right w:val="single" w:color="auto" w:sz="8" w:space="0"/>
            </w:tcBorders>
            <w:noWrap w:val="0"/>
            <w:vAlign w:val="center"/>
          </w:tcPr>
          <w:p w14:paraId="0520363A">
            <w:pPr>
              <w:shd w:val="clear"/>
              <w:spacing w:line="360" w:lineRule="auto"/>
              <w:ind w:firstLine="480" w:firstLineChars="200"/>
              <w:rPr>
                <w:rFonts w:hint="eastAsia" w:ascii="仿宋" w:hAnsi="仿宋" w:eastAsia="仿宋" w:cs="仿宋"/>
                <w:bCs/>
                <w:snapToGrid w:val="0"/>
                <w:color w:val="auto"/>
                <w:kern w:val="0"/>
                <w:sz w:val="24"/>
                <w:szCs w:val="22"/>
                <w:highlight w:val="none"/>
                <w:lang w:eastAsia="zh-CN"/>
              </w:rPr>
            </w:pPr>
          </w:p>
        </w:tc>
        <w:tc>
          <w:tcPr>
            <w:tcW w:w="1332" w:type="dxa"/>
            <w:tcBorders>
              <w:top w:val="single" w:color="auto" w:sz="8" w:space="0"/>
              <w:left w:val="nil"/>
              <w:bottom w:val="single" w:color="auto" w:sz="8" w:space="0"/>
              <w:right w:val="single" w:color="auto" w:sz="8" w:space="0"/>
            </w:tcBorders>
            <w:noWrap w:val="0"/>
            <w:vAlign w:val="center"/>
          </w:tcPr>
          <w:p w14:paraId="06FC901B">
            <w:pPr>
              <w:shd w:val="clear"/>
              <w:spacing w:line="360" w:lineRule="auto"/>
              <w:ind w:firstLine="480" w:firstLineChars="200"/>
              <w:rPr>
                <w:rFonts w:hint="eastAsia" w:ascii="仿宋" w:hAnsi="仿宋" w:eastAsia="仿宋" w:cs="仿宋"/>
                <w:bCs/>
                <w:snapToGrid w:val="0"/>
                <w:color w:val="auto"/>
                <w:kern w:val="0"/>
                <w:sz w:val="24"/>
                <w:szCs w:val="22"/>
                <w:highlight w:val="none"/>
                <w:lang w:eastAsia="zh-CN"/>
              </w:rPr>
            </w:pPr>
          </w:p>
        </w:tc>
        <w:tc>
          <w:tcPr>
            <w:tcW w:w="3567" w:type="dxa"/>
            <w:tcBorders>
              <w:top w:val="single" w:color="auto" w:sz="8" w:space="0"/>
              <w:left w:val="nil"/>
              <w:bottom w:val="single" w:color="auto" w:sz="8" w:space="0"/>
              <w:right w:val="single" w:color="auto" w:sz="8" w:space="0"/>
            </w:tcBorders>
            <w:noWrap w:val="0"/>
            <w:vAlign w:val="center"/>
          </w:tcPr>
          <w:p w14:paraId="235275F8">
            <w:pPr>
              <w:shd w:val="clear"/>
              <w:spacing w:line="360" w:lineRule="auto"/>
              <w:ind w:firstLine="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1.计费额：</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万元</w:t>
            </w:r>
          </w:p>
          <w:p w14:paraId="412B04BC">
            <w:pPr>
              <w:shd w:val="clear"/>
              <w:spacing w:line="360" w:lineRule="auto"/>
              <w:ind w:firstLine="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2.按暂定计费额的比例并下浮</w:t>
            </w:r>
            <w:r>
              <w:rPr>
                <w:rFonts w:hint="eastAsia" w:ascii="仿宋" w:hAnsi="仿宋" w:eastAsia="仿宋" w:cs="仿宋"/>
                <w:bCs/>
                <w:snapToGrid w:val="0"/>
                <w:color w:val="auto"/>
                <w:kern w:val="0"/>
                <w:sz w:val="24"/>
                <w:szCs w:val="22"/>
                <w:highlight w:val="none"/>
                <w:lang w:val="en-US" w:eastAsia="zh-CN"/>
              </w:rPr>
              <w:t xml:space="preserve">35.0 </w:t>
            </w:r>
            <w:r>
              <w:rPr>
                <w:rFonts w:hint="eastAsia" w:ascii="仿宋" w:hAnsi="仿宋" w:eastAsia="仿宋" w:cs="仿宋"/>
                <w:bCs/>
                <w:snapToGrid w:val="0"/>
                <w:color w:val="auto"/>
                <w:kern w:val="0"/>
                <w:sz w:val="24"/>
                <w:szCs w:val="22"/>
                <w:highlight w:val="none"/>
                <w:lang w:eastAsia="zh-CN"/>
              </w:rPr>
              <w:t>%。专业系数暂定为1.0，复杂系数暂定为</w:t>
            </w:r>
            <w:r>
              <w:rPr>
                <w:rFonts w:hint="eastAsia" w:ascii="仿宋" w:hAnsi="仿宋" w:eastAsia="仿宋" w:cs="仿宋"/>
                <w:bCs/>
                <w:snapToGrid w:val="0"/>
                <w:color w:val="auto"/>
                <w:kern w:val="0"/>
                <w:sz w:val="24"/>
                <w:szCs w:val="22"/>
                <w:highlight w:val="none"/>
                <w:lang w:val="en-US" w:eastAsia="zh-CN"/>
              </w:rPr>
              <w:t>0.85</w:t>
            </w:r>
            <w:r>
              <w:rPr>
                <w:rFonts w:hint="eastAsia" w:ascii="仿宋" w:hAnsi="仿宋" w:eastAsia="仿宋" w:cs="仿宋"/>
                <w:bCs/>
                <w:snapToGrid w:val="0"/>
                <w:color w:val="auto"/>
                <w:kern w:val="0"/>
                <w:sz w:val="24"/>
                <w:szCs w:val="22"/>
                <w:highlight w:val="none"/>
                <w:lang w:eastAsia="zh-CN"/>
              </w:rPr>
              <w:t>，附加系数暂定为1.5（设计费系数最终按概算批复的设计费系数为准）</w:t>
            </w:r>
          </w:p>
        </w:tc>
      </w:tr>
      <w:tr w14:paraId="1DAE4569">
        <w:tblPrEx>
          <w:tblCellMar>
            <w:top w:w="0" w:type="dxa"/>
            <w:left w:w="0" w:type="dxa"/>
            <w:bottom w:w="0" w:type="dxa"/>
            <w:right w:w="0" w:type="dxa"/>
          </w:tblCellMar>
        </w:tblPrEx>
        <w:trPr>
          <w:trHeight w:val="580" w:hRule="atLeast"/>
          <w:jc w:val="center"/>
        </w:trPr>
        <w:tc>
          <w:tcPr>
            <w:tcW w:w="4023" w:type="dxa"/>
            <w:gridSpan w:val="3"/>
            <w:tcBorders>
              <w:top w:val="single" w:color="auto" w:sz="8" w:space="0"/>
              <w:left w:val="single" w:color="auto" w:sz="8" w:space="0"/>
              <w:bottom w:val="single" w:color="auto" w:sz="8" w:space="0"/>
              <w:right w:val="single" w:color="auto" w:sz="8" w:space="0"/>
            </w:tcBorders>
            <w:noWrap w:val="0"/>
            <w:vAlign w:val="center"/>
          </w:tcPr>
          <w:p w14:paraId="5C389739">
            <w:pPr>
              <w:shd w:val="clear"/>
              <w:spacing w:line="360" w:lineRule="auto"/>
              <w:ind w:firstLine="480" w:firstLineChars="20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工程设计费合计</w:t>
            </w:r>
          </w:p>
        </w:tc>
        <w:tc>
          <w:tcPr>
            <w:tcW w:w="1332" w:type="dxa"/>
            <w:tcBorders>
              <w:top w:val="single" w:color="auto" w:sz="8" w:space="0"/>
              <w:left w:val="nil"/>
              <w:bottom w:val="single" w:color="auto" w:sz="8" w:space="0"/>
              <w:right w:val="single" w:color="auto" w:sz="8" w:space="0"/>
            </w:tcBorders>
            <w:noWrap w:val="0"/>
            <w:vAlign w:val="center"/>
          </w:tcPr>
          <w:p w14:paraId="0B7F060C">
            <w:pPr>
              <w:shd w:val="clear"/>
              <w:spacing w:line="360" w:lineRule="auto"/>
              <w:ind w:firstLine="480" w:firstLineChars="200"/>
              <w:rPr>
                <w:rFonts w:hint="eastAsia" w:ascii="仿宋" w:hAnsi="仿宋" w:eastAsia="仿宋" w:cs="仿宋"/>
                <w:bCs/>
                <w:snapToGrid w:val="0"/>
                <w:color w:val="auto"/>
                <w:kern w:val="0"/>
                <w:sz w:val="24"/>
                <w:szCs w:val="22"/>
                <w:highlight w:val="none"/>
              </w:rPr>
            </w:pPr>
          </w:p>
        </w:tc>
        <w:tc>
          <w:tcPr>
            <w:tcW w:w="3567" w:type="dxa"/>
            <w:tcBorders>
              <w:top w:val="single" w:color="auto" w:sz="8" w:space="0"/>
              <w:left w:val="nil"/>
              <w:bottom w:val="single" w:color="auto" w:sz="8" w:space="0"/>
              <w:right w:val="single" w:color="auto" w:sz="8" w:space="0"/>
            </w:tcBorders>
            <w:noWrap w:val="0"/>
            <w:vAlign w:val="center"/>
          </w:tcPr>
          <w:p w14:paraId="1C670FC6">
            <w:pPr>
              <w:shd w:val="clear"/>
              <w:spacing w:line="360" w:lineRule="auto"/>
              <w:ind w:firstLine="480" w:firstLineChars="200"/>
              <w:rPr>
                <w:rFonts w:hint="eastAsia" w:ascii="仿宋" w:hAnsi="仿宋" w:eastAsia="仿宋" w:cs="仿宋"/>
                <w:bCs/>
                <w:snapToGrid w:val="0"/>
                <w:color w:val="auto"/>
                <w:kern w:val="0"/>
                <w:sz w:val="24"/>
                <w:szCs w:val="22"/>
                <w:highlight w:val="none"/>
                <w:lang w:val="en-US" w:eastAsia="zh-CN"/>
              </w:rPr>
            </w:pPr>
          </w:p>
        </w:tc>
      </w:tr>
    </w:tbl>
    <w:p w14:paraId="51DCEA27">
      <w:pPr>
        <w:shd w:val="clear"/>
        <w:spacing w:line="360" w:lineRule="auto"/>
        <w:ind w:firstLine="480" w:firstLineChars="200"/>
        <w:rPr>
          <w:rFonts w:hint="eastAsia" w:ascii="仿宋" w:hAnsi="仿宋" w:eastAsia="仿宋" w:cs="仿宋"/>
          <w:bCs/>
          <w:snapToGrid w:val="0"/>
          <w:color w:val="auto"/>
          <w:kern w:val="0"/>
          <w:sz w:val="24"/>
          <w:szCs w:val="24"/>
          <w:highlight w:val="none"/>
          <w:lang w:eastAsia="zh-CN"/>
        </w:rPr>
      </w:pPr>
      <w:r>
        <w:rPr>
          <w:rFonts w:hint="eastAsia" w:ascii="仿宋" w:hAnsi="仿宋" w:eastAsia="仿宋" w:cs="仿宋"/>
          <w:bCs/>
          <w:snapToGrid w:val="0"/>
          <w:color w:val="auto"/>
          <w:kern w:val="0"/>
          <w:sz w:val="24"/>
          <w:szCs w:val="24"/>
          <w:highlight w:val="none"/>
          <w:lang w:eastAsia="zh-CN"/>
        </w:rPr>
        <w:t>备注：工程设计费包括各设计阶段评审及征询意见所发生的费用，包括税金、咨询费、评审费、专家费、专家交通费等。其中承包人应支付的专家费包括初步设计评审和基坑支护设计技术论证、施工图专家评审、不良地质处理论证等评审或论证会需支付的专家费。</w:t>
      </w:r>
    </w:p>
    <w:p w14:paraId="215F0939">
      <w:pPr>
        <w:widowControl/>
        <w:shd w:val="clear" w:color="auto"/>
        <w:spacing w:line="360" w:lineRule="auto"/>
        <w:ind w:left="0" w:leftChars="0"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.1</w:t>
      </w:r>
      <w:r>
        <w:rPr>
          <w:rFonts w:hint="eastAsia" w:ascii="仿宋" w:hAnsi="仿宋" w:eastAsia="仿宋" w:cs="仿宋"/>
          <w:bCs/>
          <w:snapToGrid w:val="0"/>
          <w:color w:val="auto"/>
          <w:kern w:val="0"/>
          <w:sz w:val="24"/>
          <w:szCs w:val="22"/>
          <w:highlight w:val="none"/>
          <w:lang w:val="en-US" w:eastAsia="zh-CN"/>
        </w:rPr>
        <w:t>.2</w:t>
      </w:r>
      <w:r>
        <w:rPr>
          <w:rFonts w:hint="eastAsia" w:ascii="仿宋" w:hAnsi="仿宋" w:eastAsia="仿宋" w:cs="仿宋"/>
          <w:bCs/>
          <w:snapToGrid w:val="0"/>
          <w:color w:val="auto"/>
          <w:kern w:val="0"/>
          <w:sz w:val="24"/>
          <w:szCs w:val="22"/>
          <w:highlight w:val="none"/>
          <w:lang w:eastAsia="zh-CN"/>
        </w:rPr>
        <w:t xml:space="preserve"> ☑建筑安装工程费（主体装修改造工程）（含税）：</w:t>
      </w:r>
    </w:p>
    <w:p w14:paraId="3EB12E73">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 xml:space="preserve">人民币（大写）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none"/>
          <w:lang w:eastAsia="zh-CN"/>
        </w:rPr>
        <w:t xml:space="preserve">元整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元），不含税价为</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元，税率为</w:t>
      </w:r>
      <w:r>
        <w:rPr>
          <w:rFonts w:hint="eastAsia" w:ascii="仿宋" w:hAnsi="仿宋" w:eastAsia="仿宋" w:cs="仿宋"/>
          <w:bCs/>
          <w:snapToGrid w:val="0"/>
          <w:color w:val="auto"/>
          <w:kern w:val="0"/>
          <w:sz w:val="24"/>
          <w:szCs w:val="22"/>
          <w:highlight w:val="none"/>
          <w:u w:val="none"/>
          <w:lang w:eastAsia="zh-CN"/>
        </w:rPr>
        <w:t xml:space="preserve"> 9 </w:t>
      </w:r>
      <w:r>
        <w:rPr>
          <w:rFonts w:hint="eastAsia" w:ascii="仿宋" w:hAnsi="仿宋" w:eastAsia="仿宋" w:cs="仿宋"/>
          <w:bCs/>
          <w:snapToGrid w:val="0"/>
          <w:color w:val="auto"/>
          <w:kern w:val="0"/>
          <w:sz w:val="24"/>
          <w:szCs w:val="22"/>
          <w:highlight w:val="none"/>
          <w:lang w:eastAsia="zh-CN"/>
        </w:rPr>
        <w:t>%，税金为</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元；合同约定下浮率为</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5 </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 、中标下浮率</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%（中标下浮率及合同约定下浮率用于后续补充协议价款、结算价款的计算）。</w:t>
      </w:r>
    </w:p>
    <w:p w14:paraId="745A07D1">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建筑安装工程费中含有以下费用：</w:t>
      </w:r>
    </w:p>
    <w:p w14:paraId="093F5192">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（1）☑绿色施工安全防护措施费用（不含税）：</w:t>
      </w:r>
    </w:p>
    <w:p w14:paraId="2641D42C">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p>
    <w:p w14:paraId="57035928">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（2）☑余泥渣土（土方、石方、淤泥）场外运输与排放费用（不含税）：</w:t>
      </w:r>
    </w:p>
    <w:p w14:paraId="30681549">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 xml:space="preserve">人民币（大写） </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p>
    <w:p w14:paraId="732A9B17">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（3）□专业工程暂估价（不含税）：</w:t>
      </w:r>
    </w:p>
    <w:p w14:paraId="1B47E586">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元）；</w:t>
      </w:r>
    </w:p>
    <w:p w14:paraId="6C352D67">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eastAsia="zh-CN"/>
        </w:rPr>
        <w:sym w:font="Wingdings 2" w:char="00A3"/>
      </w:r>
      <w:r>
        <w:rPr>
          <w:rFonts w:hint="eastAsia" w:ascii="仿宋" w:hAnsi="仿宋" w:eastAsia="仿宋" w:cs="仿宋"/>
          <w:bCs/>
          <w:snapToGrid w:val="0"/>
          <w:color w:val="auto"/>
          <w:kern w:val="0"/>
          <w:sz w:val="24"/>
          <w:szCs w:val="22"/>
          <w:highlight w:val="none"/>
          <w:lang w:eastAsia="zh-CN"/>
        </w:rPr>
        <w:t>其他（不含税，按实填写费用名称</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w:t>
      </w:r>
    </w:p>
    <w:p w14:paraId="697EF6AE">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p>
    <w:p w14:paraId="430305E8">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（5）☑暂列金额（不含税）：</w:t>
      </w:r>
    </w:p>
    <w:p w14:paraId="33F1C300">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人民币（大写）</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  </w:t>
      </w:r>
      <w:r>
        <w:rPr>
          <w:rFonts w:hint="eastAsia" w:ascii="仿宋" w:hAnsi="仿宋" w:eastAsia="仿宋" w:cs="仿宋"/>
          <w:bCs/>
          <w:snapToGrid w:val="0"/>
          <w:color w:val="auto"/>
          <w:kern w:val="0"/>
          <w:sz w:val="24"/>
          <w:szCs w:val="22"/>
          <w:highlight w:val="none"/>
          <w:lang w:eastAsia="zh-CN"/>
        </w:rPr>
        <w:t>元）。</w:t>
      </w:r>
    </w:p>
    <w:p w14:paraId="3B698E19">
      <w:pPr>
        <w:widowControl/>
        <w:shd w:val="clear" w:color="auto"/>
        <w:spacing w:line="360" w:lineRule="auto"/>
        <w:ind w:left="0" w:leftChars="0"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3.1.3</w:t>
      </w:r>
      <w:r>
        <w:rPr>
          <w:rFonts w:hint="eastAsia" w:ascii="仿宋" w:hAnsi="仿宋" w:eastAsia="仿宋" w:cs="仿宋"/>
          <w:bCs/>
          <w:snapToGrid w:val="0"/>
          <w:color w:val="auto"/>
          <w:kern w:val="0"/>
          <w:sz w:val="24"/>
          <w:szCs w:val="22"/>
          <w:highlight w:val="none"/>
          <w:lang w:eastAsia="zh-CN"/>
        </w:rPr>
        <w:t xml:space="preserve"> ☑建筑安装工程费（展陈</w:t>
      </w:r>
      <w:r>
        <w:rPr>
          <w:rFonts w:hint="eastAsia" w:ascii="仿宋" w:hAnsi="仿宋" w:eastAsia="仿宋" w:cs="仿宋"/>
          <w:bCs/>
          <w:snapToGrid w:val="0"/>
          <w:color w:val="auto"/>
          <w:kern w:val="0"/>
          <w:sz w:val="24"/>
          <w:szCs w:val="22"/>
          <w:highlight w:val="none"/>
          <w:lang w:val="en-US" w:eastAsia="zh-CN"/>
        </w:rPr>
        <w:t>物料、</w:t>
      </w:r>
      <w:r>
        <w:rPr>
          <w:rFonts w:hint="eastAsia" w:ascii="仿宋" w:hAnsi="仿宋" w:eastAsia="仿宋" w:cs="仿宋"/>
          <w:bCs/>
          <w:snapToGrid w:val="0"/>
          <w:color w:val="auto"/>
          <w:kern w:val="0"/>
          <w:sz w:val="24"/>
          <w:szCs w:val="22"/>
          <w:highlight w:val="none"/>
          <w:lang w:eastAsia="zh-CN"/>
        </w:rPr>
        <w:t>设备及数字内容策划及制作）（含税）：</w:t>
      </w:r>
    </w:p>
    <w:p w14:paraId="743BDF13">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 xml:space="preserve">人民币（大写）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none"/>
          <w:lang w:eastAsia="zh-CN"/>
        </w:rPr>
        <w:t xml:space="preserve">元整  </w:t>
      </w:r>
      <w:r>
        <w:rPr>
          <w:rFonts w:hint="eastAsia" w:ascii="仿宋" w:hAnsi="仿宋" w:eastAsia="仿宋" w:cs="仿宋"/>
          <w:bCs/>
          <w:snapToGrid w:val="0"/>
          <w:color w:val="auto"/>
          <w:kern w:val="0"/>
          <w:sz w:val="24"/>
          <w:szCs w:val="22"/>
          <w:highlight w:val="none"/>
          <w:lang w:eastAsia="zh-CN"/>
        </w:rPr>
        <w:t>（¥</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元），不含税价为</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元，税率为</w:t>
      </w:r>
      <w:r>
        <w:rPr>
          <w:rFonts w:hint="eastAsia" w:ascii="仿宋" w:hAnsi="仿宋" w:eastAsia="仿宋" w:cs="仿宋"/>
          <w:bCs/>
          <w:snapToGrid w:val="0"/>
          <w:color w:val="auto"/>
          <w:kern w:val="0"/>
          <w:sz w:val="24"/>
          <w:szCs w:val="22"/>
          <w:highlight w:val="none"/>
          <w:u w:val="single"/>
          <w:lang w:val="en-US" w:eastAsia="zh-CN"/>
        </w:rPr>
        <w:t xml:space="preserve"> 9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lang w:eastAsia="zh-CN"/>
        </w:rPr>
        <w:t>%，税金为</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元；合同约定下浮率为</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0 </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 ，中标下浮率</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%（中标下浮率及合同约定下浮率用于</w:t>
      </w:r>
      <w:r>
        <w:rPr>
          <w:rFonts w:hint="eastAsia" w:ascii="仿宋" w:hAnsi="仿宋" w:eastAsia="仿宋" w:cs="仿宋"/>
          <w:bCs/>
          <w:snapToGrid w:val="0"/>
          <w:color w:val="auto"/>
          <w:kern w:val="0"/>
          <w:sz w:val="24"/>
          <w:szCs w:val="22"/>
          <w:highlight w:val="none"/>
          <w:lang w:val="en-US" w:eastAsia="zh-CN"/>
        </w:rPr>
        <w:t>合同未列清单项目单价</w:t>
      </w:r>
      <w:r>
        <w:rPr>
          <w:rFonts w:hint="eastAsia" w:ascii="仿宋" w:hAnsi="仿宋" w:eastAsia="仿宋" w:cs="仿宋"/>
          <w:bCs/>
          <w:snapToGrid w:val="0"/>
          <w:color w:val="auto"/>
          <w:kern w:val="0"/>
          <w:sz w:val="24"/>
          <w:szCs w:val="22"/>
          <w:highlight w:val="none"/>
          <w:lang w:eastAsia="zh-CN"/>
        </w:rPr>
        <w:t>的计算）。</w:t>
      </w:r>
    </w:p>
    <w:p w14:paraId="2A97798D">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2.计价方式：若增值税税率发生变化，双方本着平等、自愿的原则，以“价税分离”为基础，原合同不含税价不变，发包人、承包人应按照不含税价及调整后的税率重新核算含税价，承包人据此开具发票，发包人据此付款。</w:t>
      </w:r>
    </w:p>
    <w:p w14:paraId="76D38D7D">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3.</w:t>
      </w:r>
      <w:r>
        <w:rPr>
          <w:rFonts w:hint="eastAsia" w:ascii="仿宋" w:hAnsi="仿宋" w:eastAsia="仿宋" w:cs="仿宋"/>
          <w:bCs/>
          <w:snapToGrid w:val="0"/>
          <w:color w:val="auto"/>
          <w:kern w:val="0"/>
          <w:sz w:val="24"/>
          <w:szCs w:val="22"/>
          <w:highlight w:val="none"/>
          <w:lang w:eastAsia="zh-CN"/>
        </w:rPr>
        <w:t>根据经过</w:t>
      </w:r>
      <w:r>
        <w:rPr>
          <w:rFonts w:hint="eastAsia" w:ascii="仿宋" w:hAnsi="仿宋" w:eastAsia="仿宋" w:cs="仿宋"/>
          <w:bCs/>
          <w:snapToGrid w:val="0"/>
          <w:color w:val="auto"/>
          <w:kern w:val="0"/>
          <w:sz w:val="24"/>
          <w:szCs w:val="22"/>
          <w:highlight w:val="none"/>
        </w:rPr>
        <w:t>财政评审中心</w:t>
      </w:r>
      <w:r>
        <w:rPr>
          <w:rFonts w:hint="eastAsia" w:ascii="仿宋" w:hAnsi="仿宋" w:eastAsia="仿宋" w:cs="仿宋"/>
          <w:bCs/>
          <w:snapToGrid w:val="0"/>
          <w:color w:val="auto"/>
          <w:kern w:val="0"/>
          <w:sz w:val="24"/>
          <w:szCs w:val="22"/>
          <w:highlight w:val="none"/>
          <w:lang w:eastAsia="zh-CN"/>
        </w:rPr>
        <w:t>评审</w:t>
      </w:r>
      <w:r>
        <w:rPr>
          <w:rFonts w:hint="eastAsia" w:ascii="仿宋" w:hAnsi="仿宋" w:eastAsia="仿宋" w:cs="仿宋"/>
          <w:bCs/>
          <w:snapToGrid w:val="0"/>
          <w:color w:val="auto"/>
          <w:kern w:val="0"/>
          <w:sz w:val="24"/>
          <w:szCs w:val="22"/>
          <w:highlight w:val="none"/>
          <w:lang w:eastAsia="zh-CN"/>
        </w:rPr>
        <w:t>，并经合同双方确认的概算（达到预算深度），按照下述原则调整合同价并签订补充协议，具体如下：</w:t>
      </w:r>
    </w:p>
    <w:p w14:paraId="308B7E2D">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3.1工程设计</w:t>
      </w:r>
    </w:p>
    <w:p w14:paraId="10F179FD">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以经审定的项目概算下浮前工程费用对应的设计费×（1-合同约定下浮率）×（1-设计费投标下浮率）（其中专业工程设计费不计取合同约定下浮率）≥中标价时，设计费合同价以设计费中标价为准；以经审定的项目概算下浮前工程费用对应的设计费×（1-合同约定下浮率）×（1-设计费投标下浮率）（其中专业工程设计费不计取合同约定下浮率）﹤中标价时，设计费合同价以“【工程基本设计费=以经审定的项目概算下浮前工程费用对应的基本设计费×（1-合同约定下浮率）×（1-设计费投标下浮率）】+【专业工程设计费＝∑以经审定的项目概算下浮前工程费用对应的专业设计费×（1-设计费投标下浮率）】”为准。</w:t>
      </w:r>
    </w:p>
    <w:p w14:paraId="4260E2C3">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3.</w:t>
      </w:r>
      <w:r>
        <w:rPr>
          <w:rFonts w:hint="eastAsia" w:ascii="仿宋" w:hAnsi="仿宋" w:eastAsia="仿宋" w:cs="仿宋"/>
          <w:bCs/>
          <w:snapToGrid w:val="0"/>
          <w:color w:val="auto"/>
          <w:kern w:val="0"/>
          <w:sz w:val="24"/>
          <w:szCs w:val="22"/>
          <w:highlight w:val="none"/>
          <w:lang w:val="en-US" w:eastAsia="zh-CN"/>
        </w:rPr>
        <w:t xml:space="preserve">2 </w:t>
      </w:r>
      <w:r>
        <w:rPr>
          <w:rFonts w:hint="eastAsia" w:ascii="仿宋" w:hAnsi="仿宋" w:eastAsia="仿宋" w:cs="仿宋"/>
          <w:bCs/>
          <w:snapToGrid w:val="0"/>
          <w:color w:val="auto"/>
          <w:kern w:val="0"/>
          <w:sz w:val="24"/>
          <w:szCs w:val="22"/>
          <w:highlight w:val="none"/>
          <w:lang w:eastAsia="zh-CN"/>
        </w:rPr>
        <w:t>建筑安装工程费（主体装修改造工程）</w:t>
      </w:r>
    </w:p>
    <w:p w14:paraId="6DF6431D">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 xml:space="preserve">（1）补充协议为可调价格合同，采用综合单价包干，项目措施费包干，工程量按实计算的方式确定，具体如下： </w:t>
      </w:r>
    </w:p>
    <w:p w14:paraId="41049A73">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①</w:t>
      </w:r>
      <w:r>
        <w:rPr>
          <w:rFonts w:hint="eastAsia" w:ascii="仿宋" w:hAnsi="仿宋" w:eastAsia="仿宋" w:cs="仿宋"/>
          <w:bCs/>
          <w:snapToGrid w:val="0"/>
          <w:color w:val="auto"/>
          <w:kern w:val="0"/>
          <w:sz w:val="24"/>
          <w:szCs w:val="22"/>
          <w:highlight w:val="none"/>
          <w:lang w:eastAsia="zh-CN"/>
        </w:rPr>
        <w:t>分部分项工程量清单包干综合单价=以经审定的项目概算（达到预算深度）工程费用中的分部分项工程量清单综合单价（或以经审定的项目概算编制新增综合单价）×（1-合同约定下浮率）×（1-中标下浮率），本项目合同约定下浮率为</w:t>
      </w:r>
      <w:r>
        <w:rPr>
          <w:rFonts w:hint="eastAsia" w:ascii="仿宋" w:hAnsi="仿宋" w:eastAsia="仿宋" w:cs="仿宋"/>
          <w:bCs/>
          <w:snapToGrid w:val="0"/>
          <w:color w:val="auto"/>
          <w:kern w:val="0"/>
          <w:sz w:val="24"/>
          <w:szCs w:val="22"/>
          <w:highlight w:val="none"/>
          <w:u w:val="single"/>
          <w:lang w:eastAsia="zh-CN"/>
        </w:rPr>
        <w:t xml:space="preserve">   5  </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lang w:eastAsia="zh-CN"/>
        </w:rPr>
        <w:t>%固定不变，中标下浮率以投标文件为准。</w:t>
      </w:r>
    </w:p>
    <w:p w14:paraId="1CB8BDB8">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分部分项工程费=∑（分部分项工程量清单包干综合单价×工程量），工程量暂以经</w:t>
      </w:r>
      <w:r>
        <w:rPr>
          <w:rFonts w:hint="eastAsia" w:ascii="仿宋" w:hAnsi="仿宋" w:eastAsia="仿宋" w:cs="仿宋"/>
          <w:bCs/>
          <w:snapToGrid w:val="0"/>
          <w:color w:val="auto"/>
          <w:kern w:val="0"/>
          <w:sz w:val="24"/>
          <w:szCs w:val="22"/>
          <w:highlight w:val="none"/>
        </w:rPr>
        <w:t>财政评审中心</w:t>
      </w:r>
      <w:r>
        <w:rPr>
          <w:rFonts w:hint="eastAsia" w:ascii="仿宋" w:hAnsi="仿宋" w:eastAsia="仿宋" w:cs="仿宋"/>
          <w:bCs/>
          <w:snapToGrid w:val="0"/>
          <w:color w:val="auto"/>
          <w:kern w:val="0"/>
          <w:sz w:val="24"/>
          <w:szCs w:val="22"/>
          <w:highlight w:val="none"/>
          <w:lang w:eastAsia="zh-CN"/>
        </w:rPr>
        <w:t>审核的项目概算（达到预算深度）工程费用中对应工程量计算，结算依据竣工文件按实计量。</w:t>
      </w:r>
    </w:p>
    <w:p w14:paraId="7F5B78C8">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②</w:t>
      </w:r>
      <w:r>
        <w:rPr>
          <w:rFonts w:hint="eastAsia" w:ascii="仿宋" w:hAnsi="仿宋" w:eastAsia="仿宋" w:cs="仿宋"/>
          <w:bCs/>
          <w:snapToGrid w:val="0"/>
          <w:color w:val="auto"/>
          <w:kern w:val="0"/>
          <w:sz w:val="24"/>
          <w:szCs w:val="22"/>
          <w:highlight w:val="none"/>
          <w:lang w:eastAsia="zh-CN"/>
        </w:rPr>
        <w:t>措施项目费：单价措施费单价=已审批项目概算（达到预算深度）工程费用中的措施费单价×（1-合同约定下浮率）×（1-中标下浮率）×工程量。</w:t>
      </w:r>
    </w:p>
    <w:p w14:paraId="0F386FBE">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总价措施费=已审批项目概算（达到预算深度）工程费用中对应的总价措施费×（1-合同约定下浮率）×（1-中标下浮率）。</w:t>
      </w:r>
    </w:p>
    <w:p w14:paraId="474DC98C">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安全生产</w:t>
      </w:r>
      <w:r>
        <w:rPr>
          <w:rFonts w:hint="eastAsia" w:ascii="仿宋" w:hAnsi="仿宋" w:eastAsia="仿宋" w:cs="仿宋"/>
          <w:bCs/>
          <w:snapToGrid w:val="0"/>
          <w:color w:val="auto"/>
          <w:kern w:val="0"/>
          <w:sz w:val="24"/>
          <w:szCs w:val="22"/>
          <w:highlight w:val="none"/>
          <w:lang w:eastAsia="zh-CN"/>
        </w:rPr>
        <w:t>措施费属非竞争性费用不下浮。</w:t>
      </w:r>
    </w:p>
    <w:p w14:paraId="138406F7">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③</w:t>
      </w:r>
      <w:r>
        <w:rPr>
          <w:rFonts w:hint="eastAsia" w:ascii="仿宋" w:hAnsi="仿宋" w:eastAsia="仿宋" w:cs="仿宋"/>
          <w:bCs/>
          <w:snapToGrid w:val="0"/>
          <w:color w:val="auto"/>
          <w:kern w:val="0"/>
          <w:sz w:val="24"/>
          <w:szCs w:val="22"/>
          <w:highlight w:val="none"/>
          <w:lang w:eastAsia="zh-CN"/>
        </w:rPr>
        <w:t>其他项目费=已审批项目概算（达到预算深度）工程费用中对应其他项目费×（1-合同约定下浮率）×（1-中标下浮率）。暂列金额根据工程需要开列，余泥消纳费以有效发票实报实销，纳入工程结算。</w:t>
      </w:r>
    </w:p>
    <w:p w14:paraId="6A4853B5">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④</w:t>
      </w:r>
      <w:r>
        <w:rPr>
          <w:rFonts w:hint="eastAsia" w:ascii="仿宋" w:hAnsi="仿宋" w:eastAsia="仿宋" w:cs="仿宋"/>
          <w:bCs/>
          <w:snapToGrid w:val="0"/>
          <w:color w:val="auto"/>
          <w:kern w:val="0"/>
          <w:sz w:val="24"/>
          <w:szCs w:val="22"/>
          <w:highlight w:val="none"/>
          <w:lang w:eastAsia="zh-CN"/>
        </w:rPr>
        <w:t>规费、税金：按规定计取，费率固定不变（市造价站文件规定可调整除外）。</w:t>
      </w:r>
    </w:p>
    <w:p w14:paraId="09711F10">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微软雅黑" w:hAnsi="微软雅黑" w:eastAsia="微软雅黑" w:cs="微软雅黑"/>
          <w:bCs/>
          <w:snapToGrid w:val="0"/>
          <w:color w:val="auto"/>
          <w:kern w:val="0"/>
          <w:sz w:val="24"/>
          <w:szCs w:val="22"/>
          <w:highlight w:val="none"/>
          <w:lang w:eastAsia="zh-CN"/>
        </w:rPr>
        <w:t>⑤</w:t>
      </w:r>
      <w:r>
        <w:rPr>
          <w:rFonts w:hint="eastAsia" w:ascii="仿宋" w:hAnsi="仿宋" w:eastAsia="仿宋" w:cs="仿宋"/>
          <w:bCs/>
          <w:snapToGrid w:val="0"/>
          <w:color w:val="auto"/>
          <w:kern w:val="0"/>
          <w:sz w:val="24"/>
          <w:szCs w:val="22"/>
          <w:highlight w:val="none"/>
          <w:lang w:eastAsia="zh-CN"/>
        </w:rPr>
        <w:t>主体装修改造工程施工部分补充协议价=分部分项工程费+措施项目费+其他项目费+规费+税金。</w:t>
      </w:r>
    </w:p>
    <w:p w14:paraId="25AC38AD">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bCs/>
          <w:snapToGrid w:val="0"/>
          <w:color w:val="auto"/>
          <w:kern w:val="0"/>
          <w:sz w:val="24"/>
          <w:szCs w:val="22"/>
          <w:highlight w:val="none"/>
          <w:lang w:eastAsia="zh-CN"/>
        </w:rPr>
        <w:t>发包人已审批的项目概算（达到预算深度）工程费用中措施项目费根据补充协议总价包干，竣工结算不再调整。项目措施费调减的特殊情况：工程实施内容减少，按分部分项工程费计算减少比例超过10%的，超过部分按分部分项工程费的比例调减措施项目费。施工部分补充协议内的暂列金额根据工程实际需要开支，结算多退少补。</w:t>
      </w:r>
    </w:p>
    <w:p w14:paraId="243D4EFE">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bCs/>
          <w:snapToGrid w:val="0"/>
          <w:color w:val="auto"/>
          <w:kern w:val="0"/>
          <w:sz w:val="24"/>
          <w:szCs w:val="22"/>
          <w:highlight w:val="none"/>
          <w:lang w:eastAsia="zh-CN"/>
        </w:rPr>
        <w:t>本工程概（预）算编制费、竣工图编制费由承包人在设计费及工程施工费投标报价中综合考虑，中标后发包人不再另行支付费用。</w:t>
      </w:r>
    </w:p>
    <w:p w14:paraId="7000A8BC">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val="en-US" w:eastAsia="zh-CN"/>
        </w:rPr>
      </w:pPr>
      <w:r>
        <w:rPr>
          <w:rFonts w:hint="eastAsia" w:ascii="仿宋" w:hAnsi="仿宋" w:eastAsia="仿宋" w:cs="仿宋"/>
          <w:color w:val="auto"/>
          <w:highlight w:val="none"/>
          <w:lang w:eastAsia="zh-CN"/>
        </w:rPr>
        <w:t>（4）</w:t>
      </w:r>
      <w:r>
        <w:rPr>
          <w:rFonts w:hint="eastAsia" w:ascii="仿宋" w:hAnsi="仿宋" w:eastAsia="仿宋" w:cs="仿宋"/>
          <w:bCs/>
          <w:snapToGrid w:val="0"/>
          <w:color w:val="auto"/>
          <w:kern w:val="0"/>
          <w:sz w:val="24"/>
          <w:szCs w:val="22"/>
          <w:highlight w:val="none"/>
          <w:lang w:eastAsia="zh-CN"/>
        </w:rPr>
        <w:t xml:space="preserve"> 发包人有权依据项目具体情况决定是否要求编制施工图预算。如经审定的概算已达施工图预算深度，经发包人确认不再要求编制施工图预算的，则以经最终审批通过的项目概算中的建安工程费视为施工图预算，</w:t>
      </w:r>
      <w:r>
        <w:rPr>
          <w:rFonts w:hint="eastAsia" w:ascii="仿宋" w:hAnsi="仿宋" w:eastAsia="仿宋" w:cs="仿宋"/>
          <w:bCs/>
          <w:snapToGrid w:val="0"/>
          <w:color w:val="auto"/>
          <w:kern w:val="0"/>
          <w:sz w:val="24"/>
          <w:szCs w:val="22"/>
          <w:highlight w:val="none"/>
          <w:lang w:val="en-US" w:eastAsia="zh-CN"/>
        </w:rPr>
        <w:t>按本合同约定的计价方式确定补充协议价，签订补充协议。</w:t>
      </w:r>
    </w:p>
    <w:p w14:paraId="4BAA7828">
      <w:pPr>
        <w:widowControl/>
        <w:shd w:val="clear" w:color="auto"/>
        <w:spacing w:line="360" w:lineRule="auto"/>
        <w:ind w:firstLine="480" w:firstLineChars="0"/>
        <w:rPr>
          <w:rFonts w:hint="default" w:ascii="仿宋" w:hAnsi="仿宋" w:eastAsia="仿宋" w:cs="仿宋"/>
          <w:bCs/>
          <w:snapToGrid w:val="0"/>
          <w:color w:val="auto"/>
          <w:kern w:val="0"/>
          <w:sz w:val="24"/>
          <w:szCs w:val="22"/>
          <w:highlight w:val="none"/>
          <w:lang w:val="en-US" w:eastAsia="zh-CN"/>
        </w:rPr>
      </w:pPr>
      <w:r>
        <w:rPr>
          <w:rFonts w:hint="eastAsia" w:ascii="仿宋" w:hAnsi="仿宋" w:eastAsia="仿宋" w:cs="仿宋"/>
          <w:bCs/>
          <w:snapToGrid w:val="0"/>
          <w:color w:val="auto"/>
          <w:kern w:val="0"/>
          <w:sz w:val="24"/>
          <w:szCs w:val="22"/>
          <w:highlight w:val="none"/>
          <w:lang w:val="en-US" w:eastAsia="zh-CN"/>
        </w:rPr>
        <w:t>（5）其它约定：</w:t>
      </w:r>
    </w:p>
    <w:p w14:paraId="4352A1AF">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4"/>
          <w:highlight w:val="none"/>
          <w:lang w:eastAsia="zh-CN"/>
        </w:rPr>
      </w:pPr>
      <w:r>
        <w:rPr>
          <w:rFonts w:hint="eastAsia" w:ascii="微软雅黑" w:hAnsi="微软雅黑" w:eastAsia="微软雅黑" w:cs="微软雅黑"/>
          <w:bCs/>
          <w:snapToGrid w:val="0"/>
          <w:color w:val="auto"/>
          <w:kern w:val="0"/>
          <w:sz w:val="24"/>
          <w:szCs w:val="24"/>
          <w:highlight w:val="none"/>
          <w:lang w:eastAsia="zh-CN"/>
        </w:rPr>
        <w:t>①</w:t>
      </w:r>
      <w:r>
        <w:rPr>
          <w:rFonts w:hint="eastAsia" w:ascii="仿宋" w:hAnsi="仿宋" w:eastAsia="仿宋" w:cs="仿宋"/>
          <w:bCs/>
          <w:snapToGrid w:val="0"/>
          <w:color w:val="auto"/>
          <w:kern w:val="0"/>
          <w:sz w:val="24"/>
          <w:szCs w:val="24"/>
          <w:highlight w:val="none"/>
          <w:lang w:eastAsia="zh-CN"/>
        </w:rPr>
        <w:t>临时占地围挡、施工围挡照明、临时钢管架通道、吊装设备基础、防尘降噪、绿色施工防护棚、施工便道（环路）、指挥部及办公物资、临时施工路口、样板引路、工地大门、工地围蔽，在投标报价中综合考虑，不单独</w:t>
      </w:r>
      <w:r>
        <w:rPr>
          <w:rFonts w:hint="eastAsia" w:ascii="仿宋" w:hAnsi="仿宋" w:eastAsia="仿宋" w:cs="仿宋"/>
          <w:bCs/>
          <w:snapToGrid w:val="0"/>
          <w:color w:val="auto"/>
          <w:kern w:val="0"/>
          <w:sz w:val="24"/>
          <w:szCs w:val="24"/>
          <w:highlight w:val="none"/>
          <w:lang w:val="en-US" w:eastAsia="zh-CN"/>
        </w:rPr>
        <w:t>开项</w:t>
      </w:r>
      <w:r>
        <w:rPr>
          <w:rFonts w:hint="eastAsia" w:ascii="仿宋" w:hAnsi="仿宋" w:eastAsia="仿宋" w:cs="仿宋"/>
          <w:bCs/>
          <w:snapToGrid w:val="0"/>
          <w:color w:val="auto"/>
          <w:kern w:val="0"/>
          <w:sz w:val="24"/>
          <w:szCs w:val="24"/>
          <w:highlight w:val="none"/>
          <w:lang w:eastAsia="zh-CN"/>
        </w:rPr>
        <w:t>计取。</w:t>
      </w:r>
    </w:p>
    <w:p w14:paraId="702A7A6D">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4"/>
          <w:highlight w:val="none"/>
          <w:lang w:eastAsia="zh-CN"/>
        </w:rPr>
      </w:pPr>
      <w:r>
        <w:rPr>
          <w:rFonts w:hint="eastAsia" w:ascii="微软雅黑" w:hAnsi="微软雅黑" w:eastAsia="微软雅黑" w:cs="微软雅黑"/>
          <w:bCs/>
          <w:snapToGrid w:val="0"/>
          <w:color w:val="auto"/>
          <w:kern w:val="0"/>
          <w:sz w:val="24"/>
          <w:szCs w:val="24"/>
          <w:highlight w:val="none"/>
          <w:lang w:eastAsia="zh-CN"/>
        </w:rPr>
        <w:t>②</w:t>
      </w:r>
      <w:r>
        <w:rPr>
          <w:rFonts w:hint="eastAsia" w:ascii="仿宋" w:hAnsi="仿宋" w:eastAsia="仿宋" w:cs="仿宋"/>
          <w:bCs/>
          <w:snapToGrid w:val="0"/>
          <w:color w:val="auto"/>
          <w:kern w:val="0"/>
          <w:sz w:val="24"/>
          <w:szCs w:val="24"/>
          <w:highlight w:val="none"/>
          <w:lang w:eastAsia="zh-CN"/>
        </w:rPr>
        <w:t>施工排水、降水费用：是指因本工程承包范围内施工期间至项目完成并移交所产生的排水、降水、地下水治理及根据现场情况（包括但不限于使用及维护邻近单位已有的排水设施）发生的一切费用，不包含施工雨水、污水的排除费用（在预算包干费中已考虑）。其中基坑的排水要求确保3小时抽干水，保证施工正常进行。承包人充分考虑地下水降排水费用、设计要求的抗浮降排水费用、地下水的排除费用（包括降水井、排水明沟、暗沟等设施及水泵台班等全部费用），该费用在投标报价中综合考虑，不单独</w:t>
      </w:r>
      <w:r>
        <w:rPr>
          <w:rFonts w:hint="eastAsia" w:ascii="仿宋" w:hAnsi="仿宋" w:eastAsia="仿宋" w:cs="仿宋"/>
          <w:bCs/>
          <w:snapToGrid w:val="0"/>
          <w:color w:val="auto"/>
          <w:kern w:val="0"/>
          <w:sz w:val="24"/>
          <w:szCs w:val="24"/>
          <w:highlight w:val="none"/>
          <w:lang w:val="en-US" w:eastAsia="zh-CN"/>
        </w:rPr>
        <w:t>开项</w:t>
      </w:r>
      <w:r>
        <w:rPr>
          <w:rFonts w:hint="eastAsia" w:ascii="仿宋" w:hAnsi="仿宋" w:eastAsia="仿宋" w:cs="仿宋"/>
          <w:bCs/>
          <w:snapToGrid w:val="0"/>
          <w:color w:val="auto"/>
          <w:kern w:val="0"/>
          <w:sz w:val="24"/>
          <w:szCs w:val="24"/>
          <w:highlight w:val="none"/>
          <w:lang w:eastAsia="zh-CN"/>
        </w:rPr>
        <w:t>计取。</w:t>
      </w:r>
    </w:p>
    <w:p w14:paraId="2BA5CB45">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4"/>
          <w:highlight w:val="none"/>
          <w:lang w:eastAsia="zh-CN"/>
        </w:rPr>
      </w:pPr>
      <w:r>
        <w:rPr>
          <w:rFonts w:hint="eastAsia" w:ascii="微软雅黑" w:hAnsi="微软雅黑" w:eastAsia="微软雅黑" w:cs="微软雅黑"/>
          <w:bCs/>
          <w:snapToGrid w:val="0"/>
          <w:color w:val="auto"/>
          <w:kern w:val="0"/>
          <w:sz w:val="24"/>
          <w:szCs w:val="24"/>
          <w:highlight w:val="none"/>
          <w:lang w:eastAsia="zh-CN"/>
        </w:rPr>
        <w:t>③</w:t>
      </w:r>
      <w:r>
        <w:rPr>
          <w:rFonts w:hint="eastAsia" w:ascii="仿宋" w:hAnsi="仿宋" w:eastAsia="仿宋" w:cs="仿宋"/>
          <w:bCs/>
          <w:snapToGrid w:val="0"/>
          <w:color w:val="auto"/>
          <w:kern w:val="0"/>
          <w:sz w:val="24"/>
          <w:szCs w:val="24"/>
          <w:highlight w:val="none"/>
          <w:lang w:eastAsia="zh-CN"/>
        </w:rPr>
        <w:t>按费率计算的措施项目，费用按对应专业定额及有关规定计取，定额标准及有关规定中费率有上下限的取中值。</w:t>
      </w:r>
    </w:p>
    <w:p w14:paraId="3E0C9C3B">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4"/>
          <w:highlight w:val="none"/>
          <w:lang w:eastAsia="zh-CN"/>
        </w:rPr>
      </w:pPr>
      <w:r>
        <w:rPr>
          <w:rFonts w:hint="eastAsia" w:ascii="微软雅黑" w:hAnsi="微软雅黑" w:eastAsia="微软雅黑" w:cs="微软雅黑"/>
          <w:bCs/>
          <w:snapToGrid w:val="0"/>
          <w:color w:val="auto"/>
          <w:kern w:val="0"/>
          <w:sz w:val="24"/>
          <w:szCs w:val="24"/>
          <w:highlight w:val="none"/>
          <w:lang w:eastAsia="zh-CN"/>
        </w:rPr>
        <w:t>④</w:t>
      </w:r>
      <w:r>
        <w:rPr>
          <w:rFonts w:hint="eastAsia" w:ascii="仿宋" w:hAnsi="仿宋" w:eastAsia="仿宋" w:cs="仿宋"/>
          <w:bCs/>
          <w:snapToGrid w:val="0"/>
          <w:color w:val="auto"/>
          <w:kern w:val="0"/>
          <w:sz w:val="24"/>
          <w:szCs w:val="24"/>
          <w:highlight w:val="none"/>
          <w:lang w:eastAsia="zh-CN"/>
        </w:rPr>
        <w:t>措施其他项目费，其中文明工地增加费、夜间施工增加费、地下管线交叉降效费、冬雨季施工增加费、赶工措施费、监测量控工程费、其他费用（如特殊工种培训费、地上地下设施、建筑物的临时保护设施、危险性较大的分部分项工程安全管理措施等），在投标报价中综合考虑，不得列项计取。</w:t>
      </w:r>
    </w:p>
    <w:p w14:paraId="2AC2A269">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4"/>
          <w:highlight w:val="none"/>
          <w:lang w:eastAsia="zh-CN"/>
        </w:rPr>
      </w:pPr>
      <w:r>
        <w:rPr>
          <w:rFonts w:hint="eastAsia" w:ascii="微软雅黑" w:hAnsi="微软雅黑" w:eastAsia="微软雅黑" w:cs="微软雅黑"/>
          <w:bCs/>
          <w:snapToGrid w:val="0"/>
          <w:color w:val="auto"/>
          <w:kern w:val="0"/>
          <w:sz w:val="24"/>
          <w:szCs w:val="24"/>
          <w:highlight w:val="none"/>
          <w:lang w:eastAsia="zh-CN"/>
        </w:rPr>
        <w:t>⑤</w:t>
      </w:r>
      <w:r>
        <w:rPr>
          <w:rFonts w:hint="eastAsia" w:ascii="仿宋" w:hAnsi="仿宋" w:eastAsia="仿宋" w:cs="仿宋"/>
          <w:bCs/>
          <w:snapToGrid w:val="0"/>
          <w:color w:val="auto"/>
          <w:kern w:val="0"/>
          <w:sz w:val="24"/>
          <w:szCs w:val="24"/>
          <w:highlight w:val="none"/>
          <w:lang w:eastAsia="zh-CN"/>
        </w:rPr>
        <w:t>其他项目费</w:t>
      </w:r>
    </w:p>
    <w:p w14:paraId="3B39BB60">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4"/>
          <w:highlight w:val="none"/>
          <w:lang w:eastAsia="zh-CN"/>
        </w:rPr>
      </w:pPr>
      <w:r>
        <w:rPr>
          <w:rFonts w:hint="eastAsia" w:ascii="仿宋" w:hAnsi="仿宋" w:eastAsia="仿宋" w:cs="仿宋"/>
          <w:bCs/>
          <w:snapToGrid w:val="0"/>
          <w:color w:val="auto"/>
          <w:kern w:val="0"/>
          <w:sz w:val="24"/>
          <w:szCs w:val="24"/>
          <w:highlight w:val="none"/>
          <w:lang w:eastAsia="zh-CN"/>
        </w:rPr>
        <w:t>暂列金额：按需计取。</w:t>
      </w:r>
    </w:p>
    <w:p w14:paraId="09BC4382">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预算包干费：</w:t>
      </w:r>
    </w:p>
    <w:p w14:paraId="2E88FE8C">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A.</w:t>
      </w:r>
      <w:r>
        <w:rPr>
          <w:rFonts w:hint="eastAsia" w:ascii="仿宋" w:hAnsi="仿宋" w:eastAsia="仿宋" w:cs="仿宋"/>
          <w:bCs/>
          <w:snapToGrid w:val="0"/>
          <w:color w:val="auto"/>
          <w:kern w:val="0"/>
          <w:sz w:val="24"/>
          <w:szCs w:val="22"/>
          <w:highlight w:val="none"/>
          <w:lang w:eastAsia="zh-CN"/>
        </w:rPr>
        <w:t>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14:paraId="123929BE">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B.</w:t>
      </w:r>
      <w:r>
        <w:rPr>
          <w:rFonts w:hint="eastAsia" w:ascii="仿宋" w:hAnsi="仿宋" w:eastAsia="仿宋" w:cs="仿宋"/>
          <w:bCs/>
          <w:snapToGrid w:val="0"/>
          <w:color w:val="auto"/>
          <w:kern w:val="0"/>
          <w:sz w:val="24"/>
          <w:szCs w:val="22"/>
          <w:highlight w:val="none"/>
          <w:lang w:eastAsia="zh-CN"/>
        </w:rPr>
        <w:t>工程结算的预算包干费费率按签订的补充协议计算，按广东省建设工程计价依据（2018）相关约定执行。</w:t>
      </w:r>
    </w:p>
    <w:p w14:paraId="0D1E4F1C">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4"/>
          <w:highlight w:val="none"/>
          <w:lang w:eastAsia="zh-CN"/>
        </w:rPr>
      </w:pPr>
      <w:r>
        <w:rPr>
          <w:rFonts w:hint="eastAsia" w:ascii="微软雅黑" w:hAnsi="微软雅黑" w:eastAsia="微软雅黑" w:cs="微软雅黑"/>
          <w:bCs/>
          <w:snapToGrid w:val="0"/>
          <w:color w:val="auto"/>
          <w:kern w:val="0"/>
          <w:sz w:val="24"/>
          <w:szCs w:val="24"/>
          <w:highlight w:val="none"/>
          <w:lang w:eastAsia="zh-CN"/>
        </w:rPr>
        <w:t>⑥</w:t>
      </w:r>
      <w:r>
        <w:rPr>
          <w:rFonts w:hint="eastAsia" w:ascii="仿宋" w:hAnsi="仿宋" w:eastAsia="仿宋" w:cs="仿宋"/>
          <w:bCs/>
          <w:snapToGrid w:val="0"/>
          <w:color w:val="auto"/>
          <w:kern w:val="0"/>
          <w:sz w:val="24"/>
          <w:szCs w:val="24"/>
          <w:highlight w:val="none"/>
          <w:lang w:eastAsia="zh-CN"/>
        </w:rPr>
        <w:t>合同风险范围内的费用已包含在投标报价中综合考虑，发包人不再另行支付，合同风险包括如下范围：</w:t>
      </w:r>
    </w:p>
    <w:p w14:paraId="3D5672FC">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A.</w:t>
      </w:r>
      <w:r>
        <w:rPr>
          <w:rFonts w:hint="eastAsia" w:ascii="仿宋" w:hAnsi="仿宋" w:eastAsia="仿宋" w:cs="仿宋"/>
          <w:bCs/>
          <w:snapToGrid w:val="0"/>
          <w:color w:val="auto"/>
          <w:kern w:val="0"/>
          <w:sz w:val="24"/>
          <w:szCs w:val="22"/>
          <w:highlight w:val="none"/>
          <w:lang w:eastAsia="zh-CN"/>
        </w:rPr>
        <w:t>承包人应在投标报价中充分评估本项目可能因包括但不限于施工期间临时停水停电、征地拆迁、管线迁移、工程建设过程中因实际所需临时增加的第三方检验检测等原因产生的暂停施工风险，并在投标报价中综合考虑由此而导致的停工窝工、工期补回、增加施工、工程照管以及现场管理等所产生的费用。</w:t>
      </w:r>
    </w:p>
    <w:p w14:paraId="6891A5AF">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B.</w:t>
      </w:r>
      <w:r>
        <w:rPr>
          <w:rFonts w:hint="eastAsia" w:ascii="仿宋" w:hAnsi="仿宋" w:eastAsia="仿宋" w:cs="仿宋"/>
          <w:bCs/>
          <w:snapToGrid w:val="0"/>
          <w:color w:val="auto"/>
          <w:kern w:val="0"/>
          <w:sz w:val="24"/>
          <w:szCs w:val="22"/>
          <w:highlight w:val="none"/>
          <w:lang w:eastAsia="zh-CN"/>
        </w:rPr>
        <w:t>承包人应在投标报价中充分评估本项目可能因包括但不限于移交、协调等原因产生的照管管养风险，并在投标报价中综合考虑由此而导致的工程照管以及现场管理等所产生的费用。</w:t>
      </w:r>
    </w:p>
    <w:p w14:paraId="7D0DA2FE">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C.</w:t>
      </w:r>
      <w:r>
        <w:rPr>
          <w:rFonts w:hint="eastAsia" w:ascii="仿宋" w:hAnsi="仿宋" w:eastAsia="仿宋" w:cs="仿宋"/>
          <w:bCs/>
          <w:snapToGrid w:val="0"/>
          <w:color w:val="auto"/>
          <w:kern w:val="0"/>
          <w:sz w:val="24"/>
          <w:szCs w:val="22"/>
          <w:highlight w:val="none"/>
          <w:lang w:eastAsia="zh-CN"/>
        </w:rPr>
        <w:t>本合同条款中承包人履行义务涉及的风险，或承包人由于自身原因引起合同价款以外的费用增加。</w:t>
      </w:r>
    </w:p>
    <w:p w14:paraId="7F4FDC5B">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D.</w:t>
      </w:r>
      <w:r>
        <w:rPr>
          <w:rFonts w:hint="eastAsia" w:ascii="仿宋" w:hAnsi="仿宋" w:eastAsia="仿宋" w:cs="仿宋"/>
          <w:bCs/>
          <w:snapToGrid w:val="0"/>
          <w:color w:val="auto"/>
          <w:kern w:val="0"/>
          <w:sz w:val="24"/>
          <w:szCs w:val="22"/>
          <w:highlight w:val="none"/>
          <w:lang w:eastAsia="zh-CN"/>
        </w:rPr>
        <w:t>除本合同另有约定外的物价变化、气候变化、保险、工程分包等情况发生时产生的相关费用。</w:t>
      </w:r>
    </w:p>
    <w:p w14:paraId="0E4B3296">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E.</w:t>
      </w:r>
      <w:r>
        <w:rPr>
          <w:rFonts w:hint="eastAsia" w:ascii="仿宋" w:hAnsi="仿宋" w:eastAsia="仿宋" w:cs="仿宋"/>
          <w:bCs/>
          <w:snapToGrid w:val="0"/>
          <w:color w:val="auto"/>
          <w:kern w:val="0"/>
          <w:sz w:val="24"/>
          <w:szCs w:val="22"/>
          <w:highlight w:val="none"/>
          <w:lang w:eastAsia="zh-CN"/>
        </w:rPr>
        <w:t>措施项目费不因施工期间人工、材料及机械价格变化、施工条件、工程规模的变化和政府造价管理部门调整各项收费等而调整。</w:t>
      </w:r>
    </w:p>
    <w:p w14:paraId="3FBB1D46">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F.</w:t>
      </w:r>
      <w:r>
        <w:rPr>
          <w:rFonts w:hint="eastAsia" w:ascii="仿宋" w:hAnsi="仿宋" w:eastAsia="仿宋" w:cs="仿宋"/>
          <w:bCs/>
          <w:snapToGrid w:val="0"/>
          <w:color w:val="auto"/>
          <w:kern w:val="0"/>
          <w:sz w:val="24"/>
          <w:szCs w:val="22"/>
          <w:highlight w:val="none"/>
          <w:lang w:eastAsia="zh-CN"/>
        </w:rPr>
        <w:t>赶工费不另行</w:t>
      </w:r>
      <w:r>
        <w:rPr>
          <w:rFonts w:hint="eastAsia" w:ascii="仿宋" w:hAnsi="仿宋" w:eastAsia="仿宋" w:cs="仿宋"/>
          <w:bCs/>
          <w:snapToGrid w:val="0"/>
          <w:color w:val="auto"/>
          <w:kern w:val="0"/>
          <w:sz w:val="24"/>
          <w:szCs w:val="22"/>
          <w:highlight w:val="none"/>
          <w:lang w:val="en-US" w:eastAsia="zh-CN"/>
        </w:rPr>
        <w:t>开项</w:t>
      </w:r>
      <w:r>
        <w:rPr>
          <w:rFonts w:hint="eastAsia" w:ascii="仿宋" w:hAnsi="仿宋" w:eastAsia="仿宋" w:cs="仿宋"/>
          <w:bCs/>
          <w:snapToGrid w:val="0"/>
          <w:color w:val="auto"/>
          <w:kern w:val="0"/>
          <w:sz w:val="24"/>
          <w:szCs w:val="22"/>
          <w:highlight w:val="none"/>
          <w:lang w:eastAsia="zh-CN"/>
        </w:rPr>
        <w:t>计算，综合考虑在投标报价中，因发包人原因导致的赶工，费用另行协商。</w:t>
      </w:r>
    </w:p>
    <w:p w14:paraId="7236C8F6">
      <w:pPr>
        <w:shd w:val="clear"/>
        <w:adjustRightInd w:val="0"/>
        <w:snapToGrid w:val="0"/>
        <w:spacing w:line="360" w:lineRule="auto"/>
        <w:ind w:right="0"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G.</w:t>
      </w:r>
      <w:r>
        <w:rPr>
          <w:rFonts w:hint="eastAsia" w:ascii="仿宋" w:hAnsi="仿宋" w:eastAsia="仿宋" w:cs="仿宋"/>
          <w:bCs/>
          <w:snapToGrid w:val="0"/>
          <w:color w:val="auto"/>
          <w:kern w:val="0"/>
          <w:sz w:val="24"/>
          <w:szCs w:val="22"/>
          <w:highlight w:val="none"/>
          <w:lang w:eastAsia="zh-CN"/>
        </w:rPr>
        <w:t>法律法规（包括规章和政策）变化、不可抗力等因素发生时，依据本合同有关条款和现行有关规定应由承包人承担的费用。</w:t>
      </w:r>
    </w:p>
    <w:p w14:paraId="28E527BC">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3.3.3</w:t>
      </w:r>
      <w:r>
        <w:rPr>
          <w:rFonts w:hint="eastAsia" w:ascii="仿宋" w:hAnsi="仿宋" w:eastAsia="仿宋" w:cs="仿宋"/>
          <w:bCs/>
          <w:snapToGrid w:val="0"/>
          <w:color w:val="auto"/>
          <w:kern w:val="0"/>
          <w:sz w:val="24"/>
          <w:szCs w:val="22"/>
          <w:highlight w:val="none"/>
          <w:lang w:eastAsia="zh-CN"/>
        </w:rPr>
        <w:t>建筑安装工程费（展陈</w:t>
      </w:r>
      <w:r>
        <w:rPr>
          <w:rFonts w:hint="eastAsia" w:ascii="仿宋" w:hAnsi="仿宋" w:eastAsia="仿宋" w:cs="仿宋"/>
          <w:bCs/>
          <w:snapToGrid w:val="0"/>
          <w:color w:val="auto"/>
          <w:kern w:val="0"/>
          <w:sz w:val="24"/>
          <w:szCs w:val="22"/>
          <w:highlight w:val="none"/>
          <w:lang w:val="en-US" w:eastAsia="zh-CN"/>
        </w:rPr>
        <w:t>物料、</w:t>
      </w:r>
      <w:r>
        <w:rPr>
          <w:rFonts w:hint="eastAsia" w:ascii="仿宋" w:hAnsi="仿宋" w:eastAsia="仿宋" w:cs="仿宋"/>
          <w:bCs/>
          <w:snapToGrid w:val="0"/>
          <w:color w:val="auto"/>
          <w:kern w:val="0"/>
          <w:sz w:val="24"/>
          <w:szCs w:val="22"/>
          <w:highlight w:val="none"/>
          <w:lang w:eastAsia="zh-CN"/>
        </w:rPr>
        <w:t>设备及数字内容策划及制作）</w:t>
      </w:r>
    </w:p>
    <w:p w14:paraId="4990AA60">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补充协议为可调价格合同，采用</w:t>
      </w:r>
      <w:r>
        <w:rPr>
          <w:rFonts w:hint="eastAsia" w:ascii="仿宋" w:hAnsi="仿宋" w:eastAsia="仿宋" w:cs="仿宋"/>
          <w:bCs/>
          <w:snapToGrid w:val="0"/>
          <w:color w:val="auto"/>
          <w:kern w:val="0"/>
          <w:sz w:val="24"/>
          <w:szCs w:val="22"/>
          <w:highlight w:val="none"/>
          <w:lang w:val="en-US" w:eastAsia="zh-CN"/>
        </w:rPr>
        <w:t>全费用</w:t>
      </w:r>
      <w:r>
        <w:rPr>
          <w:rFonts w:hint="eastAsia" w:ascii="仿宋" w:hAnsi="仿宋" w:eastAsia="仿宋" w:cs="仿宋"/>
          <w:bCs/>
          <w:snapToGrid w:val="0"/>
          <w:color w:val="auto"/>
          <w:kern w:val="0"/>
          <w:sz w:val="24"/>
          <w:szCs w:val="22"/>
          <w:highlight w:val="none"/>
          <w:lang w:eastAsia="zh-CN"/>
        </w:rPr>
        <w:t xml:space="preserve">综合单价包干，工程量按实计算的方式确定，具体如下： </w:t>
      </w:r>
    </w:p>
    <w:p w14:paraId="21AA27C0">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展陈</w:t>
      </w:r>
      <w:r>
        <w:rPr>
          <w:rFonts w:hint="eastAsia" w:ascii="仿宋" w:hAnsi="仿宋" w:eastAsia="仿宋" w:cs="仿宋"/>
          <w:bCs/>
          <w:snapToGrid w:val="0"/>
          <w:color w:val="auto"/>
          <w:kern w:val="0"/>
          <w:sz w:val="24"/>
          <w:szCs w:val="22"/>
          <w:highlight w:val="none"/>
          <w:lang w:val="en-US" w:eastAsia="zh-CN"/>
        </w:rPr>
        <w:t>物料、</w:t>
      </w:r>
      <w:r>
        <w:rPr>
          <w:rFonts w:hint="eastAsia" w:ascii="仿宋" w:hAnsi="仿宋" w:eastAsia="仿宋" w:cs="仿宋"/>
          <w:bCs/>
          <w:snapToGrid w:val="0"/>
          <w:color w:val="auto"/>
          <w:kern w:val="0"/>
          <w:sz w:val="24"/>
          <w:szCs w:val="22"/>
          <w:highlight w:val="none"/>
          <w:lang w:eastAsia="zh-CN"/>
        </w:rPr>
        <w:t>设备及数字内容策划及制作部分补充协议价=∑（</w:t>
      </w:r>
      <w:r>
        <w:rPr>
          <w:rFonts w:hint="eastAsia" w:ascii="仿宋" w:hAnsi="仿宋" w:eastAsia="仿宋" w:cs="仿宋"/>
          <w:bCs/>
          <w:snapToGrid w:val="0"/>
          <w:color w:val="auto"/>
          <w:kern w:val="0"/>
          <w:sz w:val="24"/>
          <w:szCs w:val="22"/>
          <w:highlight w:val="none"/>
          <w:lang w:val="en-US" w:eastAsia="zh-CN"/>
        </w:rPr>
        <w:t>全费用</w:t>
      </w:r>
      <w:r>
        <w:rPr>
          <w:rFonts w:hint="eastAsia" w:ascii="仿宋" w:hAnsi="仿宋" w:eastAsia="仿宋" w:cs="仿宋"/>
          <w:bCs/>
          <w:snapToGrid w:val="0"/>
          <w:color w:val="auto"/>
          <w:kern w:val="0"/>
          <w:sz w:val="24"/>
          <w:szCs w:val="22"/>
          <w:highlight w:val="none"/>
          <w:lang w:eastAsia="zh-CN"/>
        </w:rPr>
        <w:t>综合单价×工程量），</w:t>
      </w:r>
      <w:r>
        <w:rPr>
          <w:rFonts w:hint="eastAsia" w:ascii="仿宋" w:hAnsi="仿宋" w:eastAsia="仿宋" w:cs="仿宋"/>
          <w:bCs/>
          <w:snapToGrid w:val="0"/>
          <w:color w:val="auto"/>
          <w:kern w:val="0"/>
          <w:sz w:val="24"/>
          <w:szCs w:val="22"/>
          <w:highlight w:val="none"/>
          <w:lang w:val="en-US" w:eastAsia="zh-CN"/>
        </w:rPr>
        <w:t>其中全费用综合单价按合同附件十一计算，</w:t>
      </w:r>
      <w:r>
        <w:rPr>
          <w:rFonts w:hint="eastAsia" w:ascii="仿宋" w:hAnsi="仿宋" w:eastAsia="仿宋" w:cs="仿宋"/>
          <w:bCs/>
          <w:snapToGrid w:val="0"/>
          <w:color w:val="auto"/>
          <w:kern w:val="0"/>
          <w:sz w:val="24"/>
          <w:szCs w:val="22"/>
          <w:highlight w:val="none"/>
          <w:lang w:eastAsia="zh-CN"/>
        </w:rPr>
        <w:t>工程量暂以经第三方</w:t>
      </w:r>
      <w:r>
        <w:rPr>
          <w:rFonts w:hint="eastAsia" w:ascii="仿宋" w:hAnsi="仿宋" w:eastAsia="仿宋" w:cs="仿宋"/>
          <w:bCs/>
          <w:snapToGrid w:val="0"/>
          <w:color w:val="auto"/>
          <w:kern w:val="0"/>
          <w:sz w:val="24"/>
          <w:szCs w:val="22"/>
          <w:highlight w:val="none"/>
          <w:lang w:val="en-US" w:eastAsia="zh-CN"/>
        </w:rPr>
        <w:t>造价</w:t>
      </w:r>
      <w:r>
        <w:rPr>
          <w:rFonts w:hint="eastAsia" w:ascii="仿宋" w:hAnsi="仿宋" w:eastAsia="仿宋" w:cs="仿宋"/>
          <w:bCs/>
          <w:snapToGrid w:val="0"/>
          <w:color w:val="auto"/>
          <w:kern w:val="0"/>
          <w:sz w:val="24"/>
          <w:szCs w:val="22"/>
          <w:highlight w:val="none"/>
          <w:lang w:eastAsia="zh-CN"/>
        </w:rPr>
        <w:t>咨询单位审核的项目概算（达到预算深度）对应工程量计算，结算依据竣工文件按实计量。</w:t>
      </w:r>
    </w:p>
    <w:p w14:paraId="21CC09BE">
      <w:pPr>
        <w:widowControl/>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val="en-US" w:eastAsia="zh-CN"/>
        </w:rPr>
        <w:t>4</w:t>
      </w:r>
      <w:r>
        <w:rPr>
          <w:rFonts w:hint="eastAsia" w:ascii="仿宋" w:hAnsi="仿宋" w:eastAsia="仿宋" w:cs="仿宋"/>
          <w:bCs/>
          <w:snapToGrid w:val="0"/>
          <w:color w:val="auto"/>
          <w:kern w:val="0"/>
          <w:sz w:val="24"/>
          <w:szCs w:val="22"/>
          <w:highlight w:val="none"/>
          <w:lang w:eastAsia="zh-CN"/>
        </w:rPr>
        <w:t>.签订补充协议涉及工程造价的，按上述约定原则进行计价。</w:t>
      </w:r>
    </w:p>
    <w:p w14:paraId="0F77CF7D">
      <w:pPr>
        <w:widowControl/>
        <w:shd w:val="clear" w:color="auto"/>
        <w:spacing w:line="360" w:lineRule="auto"/>
        <w:ind w:firstLine="480" w:firstLineChars="0"/>
        <w:jc w:val="left"/>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5.本工程适用的计价依据</w:t>
      </w:r>
    </w:p>
    <w:p w14:paraId="1CF7F325">
      <w:pPr>
        <w:widowControl/>
        <w:shd w:val="clear" w:color="auto"/>
        <w:spacing w:after="0" w:line="360" w:lineRule="auto"/>
        <w:ind w:right="317"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国家标准《建设工程工程量清单计价标准》（GB/T 50500-2024）、《房屋建筑与装饰工程工程量计算标准》（GB/T 50854-2024）、</w:t>
      </w:r>
      <w:r>
        <w:rPr>
          <w:rFonts w:hint="eastAsia" w:ascii="仿宋" w:hAnsi="仿宋" w:eastAsia="仿宋" w:cs="仿宋"/>
          <w:bCs/>
          <w:snapToGrid w:val="0"/>
          <w:color w:val="auto"/>
          <w:kern w:val="0"/>
          <w:sz w:val="24"/>
          <w:szCs w:val="22"/>
          <w:highlight w:val="none"/>
          <w:lang w:val="en-US" w:eastAsia="zh-CN"/>
        </w:rPr>
        <w:t>《广东省建设工程计价依据（2018）》</w:t>
      </w:r>
      <w:r>
        <w:rPr>
          <w:rFonts w:hint="eastAsia" w:ascii="仿宋" w:hAnsi="仿宋" w:eastAsia="仿宋" w:cs="仿宋"/>
          <w:bCs/>
          <w:strike w:val="0"/>
          <w:snapToGrid w:val="0"/>
          <w:color w:val="auto"/>
          <w:kern w:val="0"/>
          <w:sz w:val="24"/>
          <w:szCs w:val="22"/>
          <w:highlight w:val="none"/>
          <w:lang w:eastAsia="zh-CN"/>
        </w:rPr>
        <w:t>及其配套文件（包括不限于定额勘误和定额动态调整文件等）</w:t>
      </w:r>
      <w:r>
        <w:rPr>
          <w:rFonts w:hint="eastAsia" w:ascii="仿宋" w:hAnsi="仿宋" w:eastAsia="仿宋" w:cs="仿宋"/>
          <w:bCs/>
          <w:snapToGrid w:val="0"/>
          <w:color w:val="auto"/>
          <w:kern w:val="0"/>
          <w:sz w:val="24"/>
          <w:szCs w:val="22"/>
          <w:highlight w:val="none"/>
          <w:lang w:eastAsia="zh-CN"/>
        </w:rPr>
        <w:t>；建设期间项目所在地对应时期工程造价管理部门颁布的计价文件。</w:t>
      </w:r>
    </w:p>
    <w:p w14:paraId="1A2C8758">
      <w:pPr>
        <w:widowControl/>
        <w:shd w:val="clear" w:color="auto"/>
        <w:spacing w:line="360" w:lineRule="auto"/>
        <w:ind w:firstLine="480" w:firstLineChars="0"/>
        <w:jc w:val="left"/>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rPr>
        <w:t>.</w:t>
      </w:r>
      <w:r>
        <w:rPr>
          <w:rFonts w:hint="eastAsia" w:ascii="仿宋" w:hAnsi="仿宋" w:eastAsia="仿宋" w:cs="仿宋"/>
          <w:bCs/>
          <w:snapToGrid w:val="0"/>
          <w:color w:val="auto"/>
          <w:kern w:val="0"/>
          <w:sz w:val="24"/>
          <w:szCs w:val="22"/>
          <w:highlight w:val="none"/>
          <w:lang w:eastAsia="zh-CN"/>
        </w:rPr>
        <w:t>6.限额结算</w:t>
      </w:r>
    </w:p>
    <w:p w14:paraId="7E575F14">
      <w:pPr>
        <w:widowControl/>
        <w:shd w:val="clear" w:color="auto"/>
        <w:spacing w:after="0" w:line="360" w:lineRule="auto"/>
        <w:ind w:right="317" w:firstLine="480" w:firstLineChars="20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本项目为EPC模式，承包人对施工图、项目概算（达到预算深度）工程费用及工程量清单负责。工程量清单漏项漏量、工程变更、签证等引起工程结算造价增加的（含人、材、机调整价差），</w:t>
      </w:r>
      <w:r>
        <w:rPr>
          <w:rFonts w:hint="eastAsia" w:ascii="仿宋" w:hAnsi="仿宋" w:eastAsia="仿宋" w:cs="仿宋"/>
          <w:bCs/>
          <w:snapToGrid w:val="0"/>
          <w:color w:val="auto"/>
          <w:kern w:val="0"/>
          <w:sz w:val="24"/>
          <w:szCs w:val="22"/>
          <w:highlight w:val="none"/>
          <w:lang w:val="en-US" w:eastAsia="zh-CN"/>
        </w:rPr>
        <w:t>由承包人自行承担，结算价</w:t>
      </w:r>
      <w:r>
        <w:rPr>
          <w:rFonts w:hint="eastAsia" w:ascii="仿宋" w:hAnsi="仿宋" w:eastAsia="仿宋" w:cs="仿宋"/>
          <w:bCs/>
          <w:snapToGrid w:val="0"/>
          <w:color w:val="auto"/>
          <w:kern w:val="0"/>
          <w:sz w:val="24"/>
          <w:szCs w:val="22"/>
          <w:highlight w:val="none"/>
          <w:lang w:eastAsia="zh-CN"/>
        </w:rPr>
        <w:t>不得超过原合同价。</w:t>
      </w:r>
    </w:p>
    <w:p w14:paraId="696C3B73">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3.7</w:t>
      </w:r>
      <w:r>
        <w:rPr>
          <w:rFonts w:hint="eastAsia" w:ascii="仿宋" w:hAnsi="仿宋" w:eastAsia="仿宋" w:cs="仿宋"/>
          <w:bCs/>
          <w:snapToGrid w:val="0"/>
          <w:color w:val="auto"/>
          <w:kern w:val="0"/>
          <w:sz w:val="24"/>
          <w:highlight w:val="none"/>
        </w:rPr>
        <w:t>合同价款及合同项下各项应支付的费用，已包含承包人按照税收法律法规规定须承担为履行此合同在中华人民共和国境内外所必须缴纳的一切直接或间接税费及规费，包括但不限于增值税、企业所得税、个人所得税、关税等税费，此税费及规费应已包括可能涉及的合同价格调整。合同期内，由于承包人自身纳税人身份、纳税方式及国家税制改革原因带来税种及税率的变化，非经发包人书面同意，本合同不含增值税价不予调整。本合同计价结算的货币为人民币。</w:t>
      </w:r>
    </w:p>
    <w:p w14:paraId="256C7CFF">
      <w:pPr>
        <w:shd w:val="clear"/>
        <w:adjustRightInd w:val="0"/>
        <w:snapToGrid w:val="0"/>
        <w:spacing w:line="360" w:lineRule="auto"/>
        <w:ind w:right="11" w:firstLine="480" w:firstLineChars="200"/>
        <w:rPr>
          <w:rFonts w:ascii="仿宋" w:hAnsi="仿宋" w:eastAsia="仿宋" w:cs="仿宋"/>
          <w:bCs/>
          <w:snapToGrid w:val="0"/>
          <w:color w:val="auto"/>
          <w:sz w:val="24"/>
          <w:highlight w:val="none"/>
        </w:rPr>
      </w:pPr>
      <w:r>
        <w:rPr>
          <w:rFonts w:hint="eastAsia" w:ascii="仿宋" w:hAnsi="仿宋" w:eastAsia="仿宋" w:cs="仿宋"/>
          <w:bCs/>
          <w:snapToGrid w:val="0"/>
          <w:color w:val="auto"/>
          <w:sz w:val="24"/>
          <w:highlight w:val="none"/>
          <w:lang w:val="en-US" w:eastAsia="zh-CN"/>
        </w:rPr>
        <w:t>3.8</w:t>
      </w:r>
      <w:r>
        <w:rPr>
          <w:rFonts w:hint="eastAsia" w:ascii="仿宋" w:hAnsi="仿宋" w:eastAsia="仿宋" w:cs="仿宋"/>
          <w:bCs/>
          <w:snapToGrid w:val="0"/>
          <w:color w:val="auto"/>
          <w:sz w:val="24"/>
          <w:highlight w:val="none"/>
        </w:rPr>
        <w:t>承包人应在本工程开工前按《广州市建筑业职工参加工伤保险实施办法》（穗人社发〔2015〕73号）的规定缴纳工伤保险费。如因承包人未按规定缴纳工伤保险费导致本工程施工许可证未能如期办理的，</w:t>
      </w:r>
      <w:r>
        <w:rPr>
          <w:rFonts w:hint="eastAsia" w:ascii="仿宋" w:hAnsi="仿宋" w:eastAsia="仿宋" w:cs="仿宋"/>
          <w:bCs/>
          <w:snapToGrid w:val="0"/>
          <w:color w:val="auto"/>
          <w:kern w:val="0"/>
          <w:sz w:val="24"/>
          <w:highlight w:val="none"/>
        </w:rPr>
        <w:t>视为承包人单方停工，承包人承担相关单方停工的违约责任</w:t>
      </w:r>
      <w:r>
        <w:rPr>
          <w:rFonts w:hint="eastAsia" w:ascii="仿宋" w:hAnsi="仿宋" w:eastAsia="仿宋" w:cs="仿宋"/>
          <w:bCs/>
          <w:snapToGrid w:val="0"/>
          <w:color w:val="auto"/>
          <w:sz w:val="24"/>
          <w:highlight w:val="none"/>
        </w:rPr>
        <w:t>，</w:t>
      </w:r>
      <w:r>
        <w:rPr>
          <w:rFonts w:ascii="仿宋" w:hAnsi="仿宋" w:eastAsia="仿宋" w:cs="仿宋"/>
          <w:bCs/>
          <w:snapToGrid w:val="0"/>
          <w:color w:val="auto"/>
          <w:sz w:val="24"/>
          <w:highlight w:val="none"/>
        </w:rPr>
        <w:t>并</w:t>
      </w:r>
      <w:r>
        <w:rPr>
          <w:rFonts w:hint="eastAsia" w:ascii="仿宋" w:hAnsi="仿宋" w:eastAsia="仿宋" w:cs="仿宋"/>
          <w:bCs/>
          <w:snapToGrid w:val="0"/>
          <w:color w:val="auto"/>
          <w:sz w:val="24"/>
          <w:highlight w:val="none"/>
        </w:rPr>
        <w:t>由此引起的相关责任全部由承包人承担。</w:t>
      </w:r>
    </w:p>
    <w:p w14:paraId="01E3A7F2">
      <w:pPr>
        <w:shd w:val="clear"/>
        <w:adjustRightInd w:val="0"/>
        <w:snapToGrid w:val="0"/>
        <w:spacing w:line="360" w:lineRule="auto"/>
        <w:ind w:right="11" w:firstLine="480" w:firstLineChars="200"/>
        <w:rPr>
          <w:rFonts w:ascii="仿宋" w:hAnsi="仿宋" w:eastAsia="仿宋" w:cs="仿宋"/>
          <w:color w:val="auto"/>
          <w:sz w:val="24"/>
          <w:szCs w:val="24"/>
          <w:highlight w:val="none"/>
        </w:rPr>
      </w:pPr>
      <w:r>
        <w:rPr>
          <w:rFonts w:hint="eastAsia" w:ascii="仿宋" w:hAnsi="仿宋" w:eastAsia="仿宋" w:cs="仿宋"/>
          <w:bCs/>
          <w:snapToGrid w:val="0"/>
          <w:color w:val="auto"/>
          <w:kern w:val="0"/>
          <w:sz w:val="24"/>
          <w:highlight w:val="none"/>
          <w:lang w:val="en-US" w:eastAsia="zh-CN"/>
        </w:rPr>
        <w:t>3.9</w:t>
      </w:r>
      <w:r>
        <w:rPr>
          <w:rFonts w:hint="eastAsia" w:ascii="仿宋" w:hAnsi="仿宋" w:eastAsia="仿宋" w:cs="仿宋"/>
          <w:bCs/>
          <w:snapToGrid w:val="0"/>
          <w:color w:val="auto"/>
          <w:kern w:val="0"/>
          <w:sz w:val="24"/>
          <w:szCs w:val="24"/>
          <w:highlight w:val="none"/>
        </w:rPr>
        <w:t>承包人应当按照《广东省房屋建筑和市政基础设施工程用工实名管理暂行办法》（粤建规范〔2018〕1号）和《广州市住房和城乡建设局关于印发</w:t>
      </w:r>
      <w:r>
        <w:rPr>
          <w:rFonts w:hint="eastAsia" w:ascii="仿宋" w:hAnsi="仿宋" w:eastAsia="仿宋" w:cs="仿宋"/>
          <w:bCs/>
          <w:snapToGrid w:val="0"/>
          <w:color w:val="auto"/>
          <w:kern w:val="0"/>
          <w:sz w:val="24"/>
          <w:szCs w:val="24"/>
          <w:highlight w:val="none"/>
          <w:lang w:eastAsia="zh-CN"/>
        </w:rPr>
        <w:t>〈</w:t>
      </w:r>
      <w:r>
        <w:rPr>
          <w:rFonts w:hint="eastAsia" w:ascii="仿宋" w:hAnsi="仿宋" w:eastAsia="仿宋" w:cs="仿宋"/>
          <w:bCs/>
          <w:snapToGrid w:val="0"/>
          <w:color w:val="auto"/>
          <w:kern w:val="0"/>
          <w:sz w:val="24"/>
          <w:szCs w:val="24"/>
          <w:highlight w:val="none"/>
        </w:rPr>
        <w:t>广州市建筑施工实名制管理办法</w:t>
      </w:r>
      <w:r>
        <w:rPr>
          <w:rFonts w:hint="eastAsia" w:ascii="仿宋" w:hAnsi="仿宋" w:eastAsia="仿宋" w:cs="仿宋"/>
          <w:bCs/>
          <w:snapToGrid w:val="0"/>
          <w:color w:val="auto"/>
          <w:kern w:val="0"/>
          <w:sz w:val="24"/>
          <w:szCs w:val="24"/>
          <w:highlight w:val="none"/>
          <w:lang w:eastAsia="zh-CN"/>
        </w:rPr>
        <w:t>〉的通知》</w:t>
      </w:r>
      <w:r>
        <w:rPr>
          <w:rFonts w:hint="eastAsia" w:ascii="仿宋" w:hAnsi="仿宋" w:eastAsia="仿宋" w:cs="仿宋"/>
          <w:bCs/>
          <w:snapToGrid w:val="0"/>
          <w:color w:val="auto"/>
          <w:kern w:val="0"/>
          <w:sz w:val="24"/>
          <w:szCs w:val="24"/>
          <w:highlight w:val="none"/>
        </w:rPr>
        <w:t>（穗建规字〔2020〕18号）的有关要求，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仿宋" w:hAnsi="仿宋" w:eastAsia="仿宋" w:cs="仿宋"/>
          <w:color w:val="auto"/>
          <w:sz w:val="24"/>
          <w:szCs w:val="24"/>
          <w:highlight w:val="none"/>
        </w:rPr>
        <w:t>未按规定建立建筑施工实名制信息登记档案或档案不符合规定标准的，由此引起的一切责任和后果（包</w:t>
      </w:r>
      <w:r>
        <w:rPr>
          <w:rFonts w:hint="eastAsia" w:ascii="仿宋" w:hAnsi="仿宋" w:eastAsia="仿宋" w:cs="仿宋"/>
          <w:color w:val="auto"/>
          <w:sz w:val="24"/>
          <w:szCs w:val="24"/>
          <w:highlight w:val="none"/>
          <w:lang w:eastAsia="zh-CN"/>
        </w:rPr>
        <w:t>括但</w:t>
      </w:r>
      <w:r>
        <w:rPr>
          <w:rFonts w:hint="eastAsia" w:ascii="仿宋" w:hAnsi="仿宋" w:eastAsia="仿宋" w:cs="仿宋"/>
          <w:color w:val="auto"/>
          <w:sz w:val="24"/>
          <w:szCs w:val="24"/>
          <w:highlight w:val="none"/>
        </w:rPr>
        <w:t>不限于被纳入企业“黑名单”、按招标及合同文件规定被发包人拒绝</w:t>
      </w:r>
      <w:r>
        <w:rPr>
          <w:rFonts w:hint="eastAsia" w:ascii="仿宋" w:hAnsi="仿宋" w:eastAsia="仿宋" w:cs="仿宋"/>
          <w:color w:val="auto"/>
          <w:sz w:val="24"/>
          <w:szCs w:val="24"/>
          <w:highlight w:val="none"/>
          <w:lang w:eastAsia="zh-CN"/>
        </w:rPr>
        <w:t>参与</w:t>
      </w:r>
      <w:r>
        <w:rPr>
          <w:rFonts w:hint="eastAsia" w:ascii="仿宋" w:hAnsi="仿宋" w:eastAsia="仿宋" w:cs="仿宋"/>
          <w:color w:val="auto"/>
          <w:sz w:val="24"/>
          <w:szCs w:val="24"/>
          <w:highlight w:val="none"/>
        </w:rPr>
        <w:t>后续工程招标项目投标等）均由承包人自行承担。</w:t>
      </w:r>
    </w:p>
    <w:p w14:paraId="78881FC1">
      <w:pPr>
        <w:shd w:val="clear"/>
        <w:adjustRightInd w:val="0"/>
        <w:snapToGrid w:val="0"/>
        <w:spacing w:line="360" w:lineRule="auto"/>
        <w:ind w:right="11" w:firstLine="480" w:firstLineChars="200"/>
        <w:rPr>
          <w:rFonts w:ascii="仿宋" w:hAnsi="仿宋" w:eastAsia="仿宋" w:cs="仿宋"/>
          <w:bCs/>
          <w:snapToGrid w:val="0"/>
          <w:color w:val="auto"/>
          <w:kern w:val="0"/>
          <w:sz w:val="24"/>
          <w:szCs w:val="24"/>
          <w:highlight w:val="none"/>
        </w:rPr>
      </w:pPr>
      <w:r>
        <w:rPr>
          <w:rFonts w:hint="eastAsia" w:ascii="仿宋" w:hAnsi="仿宋" w:eastAsia="仿宋" w:cs="仿宋"/>
          <w:bCs/>
          <w:snapToGrid w:val="0"/>
          <w:color w:val="auto"/>
          <w:kern w:val="0"/>
          <w:sz w:val="24"/>
          <w:szCs w:val="24"/>
          <w:highlight w:val="none"/>
        </w:rPr>
        <w:t>承包人对实名管理负总责，应当对</w:t>
      </w:r>
      <w:r>
        <w:rPr>
          <w:rFonts w:hint="eastAsia" w:ascii="仿宋" w:hAnsi="仿宋" w:eastAsia="仿宋" w:cs="仿宋"/>
          <w:bCs/>
          <w:iCs/>
          <w:snapToGrid w:val="0"/>
          <w:color w:val="auto"/>
          <w:kern w:val="0"/>
          <w:sz w:val="24"/>
          <w:highlight w:val="none"/>
        </w:rPr>
        <w:t>其</w:t>
      </w:r>
      <w:r>
        <w:rPr>
          <w:rFonts w:hint="eastAsia" w:ascii="仿宋" w:hAnsi="仿宋" w:eastAsia="仿宋" w:cs="仿宋"/>
          <w:bCs/>
          <w:snapToGrid w:val="0"/>
          <w:color w:val="auto"/>
          <w:kern w:val="0"/>
          <w:sz w:val="24"/>
          <w:szCs w:val="24"/>
          <w:highlight w:val="none"/>
        </w:rPr>
        <w:t>专业分包单位和劳务分包单位实施统一管理，监督其用工单位按时足额支付作业工人工资，督促其落实实名管理制度。发包人直接发包的专业承包单位应按照其与承包人签订的附件《施工总承包管理协议书》的约定和承包人的要求开展实名管理的相关工作。</w:t>
      </w:r>
    </w:p>
    <w:p w14:paraId="6CC05703">
      <w:pPr>
        <w:shd w:val="clear"/>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w:t>
      </w:r>
      <w:r>
        <w:rPr>
          <w:rFonts w:hint="eastAsia" w:ascii="仿宋" w:hAnsi="仿宋" w:eastAsia="仿宋" w:cs="仿宋"/>
          <w:color w:val="auto"/>
          <w:sz w:val="24"/>
          <w:szCs w:val="24"/>
          <w:highlight w:val="none"/>
        </w:rPr>
        <w:t>增值税专用发票开票信息</w:t>
      </w:r>
    </w:p>
    <w:p w14:paraId="12374EF0">
      <w:pPr>
        <w:shd w:val="clear"/>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甲方信息</w:t>
      </w:r>
    </w:p>
    <w:p w14:paraId="139BD7A7">
      <w:pPr>
        <w:shd w:val="clear"/>
        <w:autoSpaceDE w:val="0"/>
        <w:autoSpaceDN w:val="0"/>
        <w:adjustRightInd w:val="0"/>
        <w:spacing w:line="500" w:lineRule="exact"/>
        <w:ind w:left="1140" w:leftChars="200" w:hanging="720" w:hanging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mc:AlternateContent>
          <mc:Choice Requires="wps">
            <w:drawing>
              <wp:anchor distT="0" distB="0" distL="114300" distR="114300" simplePos="0" relativeHeight="251661312" behindDoc="0" locked="0" layoutInCell="1" allowOverlap="1">
                <wp:simplePos x="0" y="0"/>
                <wp:positionH relativeFrom="column">
                  <wp:posOffset>2854960</wp:posOffset>
                </wp:positionH>
                <wp:positionV relativeFrom="paragraph">
                  <wp:posOffset>9525</wp:posOffset>
                </wp:positionV>
                <wp:extent cx="366395" cy="269875"/>
                <wp:effectExtent l="4445" t="4445" r="10160" b="1143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txbx>
                        <w:txbxContent>
                          <w:p w14:paraId="3CD2F079">
                            <w:pPr>
                              <w:rPr>
                                <w:b/>
                                <w:bCs/>
                                <w:sz w:val="24"/>
                                <w:szCs w:val="28"/>
                              </w:rPr>
                            </w:pPr>
                          </w:p>
                          <w:p w14:paraId="2862A890">
                            <w:pPr>
                              <w:rPr>
                                <w:sz w:val="24"/>
                                <w:szCs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4.8pt;margin-top:0.75pt;height:21.25pt;width:28.85pt;z-index:251661312;mso-width-relative:page;mso-height-relative:page;" fillcolor="#FFFFFF" filled="t" stroked="t" coordsize="21600,21600" o:gfxdata="UEsDBAoAAAAAAIdO4kAAAAAAAAAAAAAAAAAEAAAAZHJzL1BLAwQUAAAACACHTuJArx2XkNUAAAAI&#10;AQAADwAAAGRycy9kb3ducmV2LnhtbE2Py07DMBBF90j8gzVI7KjdJzSN0wWoSCzbdMPOiadJIB5H&#10;sdMGvp7pqixH5+reM+l2dK04Yx8aTxqmEwUCqfS2oUrDMd89vYAI0ZA1rSfU8IMBttn9XWoS6y+0&#10;x/MhVoJLKCRGQx1jl0gZyhqdCRPfITE7+d6ZyGdfSdubC5e7Vs6UWklnGuKF2nT4WmP5fRichqKZ&#10;Hc3vPn9Xbr2bx48x/xo+37R+fJiqDYiIY7yF4arP6pCxU+EHskG0GhaL9YqjDJYgmC/V8xxEcQUK&#10;ZJbK/w9kf1BLAwQUAAAACACHTuJAfgWvxTkCAAB5BAAADgAAAGRycy9lMm9Eb2MueG1srVTBbtsw&#10;DL0P2D8Iui9O0iRtjDhFkSDDgG4r0O0DFFmOhUmiRilxup8ZsNs+Yp8z7DdGy26Xdjv0MB8EUqQe&#10;yUfSi8ujNeygMGhwBR8NhpwpJ6HUblfwjx82ry44C1G4UhhwquB3KvDL5csXi8bnagw1mFIhIxAX&#10;8sYXvI7R51kWZK2sCAPwypGxArQikoq7rETRELo12Xg4nGUNYOkRpAqBbtedkfeI+BxAqCot1Rrk&#10;3ioXO1RURkQqKdTaB75M2VaVkvF9VQUVmSk4VRrTSUFI3rZntlyIfIfC11r2KYjnpPCkJiu0o6AP&#10;UGsRBduj/gvKaokQoIoDCTbrCkmMUBWj4RNubmvhVaqFqA7+gfTw/2Dlu8MNMl0WfMaZE5Ya/uvr&#10;958/vrFZy03jQ04ut/4G2+qCvwb5KTAHq1q4nbpChKZWoqSMRq1/9uhBqwR6yrbNWygJWuwjJJqO&#10;FdoWkAhgx9SNu4duqGNkki7PZrOz+ZQzSabxbH5xPk0RRH7/2GOIrxVY1goFR2p2AheH6xDbZER+&#10;75KSB6PLjTYmKbjbrgyyg6DB2KSvRw+nbsaxpuDz6XiakB/ZwinEMH3/grA60r4YbQt+cepkXE9X&#10;y1DHdDxujz3pWyjviDiEbmJpX0moAb9w1tC0Fjx83gtUnJk3jsifjyaTdryTMpmej0nBU8v21CKc&#10;JKiCR846cRW7ldh71LuaIo1SuQ6uqGGVTmS2zeyy6vOmiUwc99vTjvypnrz+/DG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vHZeQ1QAAAAgBAAAPAAAAAAAAAAEAIAAAACIAAABkcnMvZG93bnJl&#10;di54bWxQSwECFAAUAAAACACHTuJAfgWvxTkCAAB5BAAADgAAAAAAAAABACAAAAAkAQAAZHJzL2Uy&#10;b0RvYy54bWxQSwUGAAAAAAYABgBZAQAAzwUAAAAA&#10;">
                <v:fill on="t" focussize="0,0"/>
                <v:stroke color="#000000" miterlimit="8" joinstyle="miter"/>
                <v:imagedata o:title=""/>
                <o:lock v:ext="edit" aspectratio="f"/>
                <v:textbox>
                  <w:txbxContent>
                    <w:p w14:paraId="3CD2F079">
                      <w:pPr>
                        <w:rPr>
                          <w:b/>
                          <w:bCs/>
                          <w:sz w:val="24"/>
                          <w:szCs w:val="28"/>
                        </w:rPr>
                      </w:pPr>
                    </w:p>
                    <w:p w14:paraId="2862A890">
                      <w:pPr>
                        <w:rPr>
                          <w:sz w:val="24"/>
                          <w:szCs w:val="28"/>
                        </w:rPr>
                      </w:pPr>
                    </w:p>
                  </w:txbxContent>
                </v:textbox>
              </v:rect>
            </w:pict>
          </mc:Fallback>
        </mc:AlternateContent>
      </w:r>
      <w:r>
        <w:rPr>
          <w:rFonts w:hint="eastAsia" w:ascii="仿宋" w:hAnsi="仿宋" w:eastAsia="仿宋" w:cs="仿宋"/>
          <w:color w:val="auto"/>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467995</wp:posOffset>
                </wp:positionH>
                <wp:positionV relativeFrom="paragraph">
                  <wp:posOffset>20955</wp:posOffset>
                </wp:positionV>
                <wp:extent cx="366395" cy="269875"/>
                <wp:effectExtent l="4445" t="4445" r="10160"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txbx>
                        <w:txbxContent>
                          <w:p w14:paraId="44EEC274">
                            <w:pPr>
                              <w:jc w:val="center"/>
                              <w:rPr>
                                <w:rFonts w:hint="eastAsia" w:eastAsia="宋体"/>
                                <w:lang w:val="en-US" w:eastAsia="zh-CN"/>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85pt;margin-top:1.65pt;height:21.25pt;width:28.85pt;z-index:251660288;mso-width-relative:page;mso-height-relative:page;" fillcolor="#FFFFFF" filled="t" stroked="t" coordsize="21600,21600" o:gfxdata="UEsDBAoAAAAAAIdO4kAAAAAAAAAAAAAAAAAEAAAAZHJzL1BLAwQUAAAACACHTuJA6czN7tUAAAAH&#10;AQAADwAAAGRycy9kb3ducmV2LnhtbE2OwU7DMBBE70j8g7VI3KiTutASsukBVCSObXrhtomXJBDb&#10;Uey0ga/HPcFxNKM3L9/OphcnHn3nLEK6SECwrZ3ubINwLHd3GxA+kNXUO8sI3+xhW1xf5ZRpd7Z7&#10;Ph1CIyLE+owQ2hCGTEpft2zIL9zANnYfbjQUYhwbqUc6R7jp5TJJHqShzsaHlgZ+brn+OkwGoeqW&#10;R/rZl6+Jedyp8DaXn9P7C+LtTZo8gQg8h78xXPSjOhTRqXKT1V70CGu1jksEpUBcapWuQFQIq/sN&#10;yCKX//2LX1BLAwQUAAAACACHTuJAzMeq4jYCAAB5BAAADgAAAGRycy9lMm9Eb2MueG1srVTBjtow&#10;EL1X6j9YvpcACywgwmoFoqq0bVfa9gOM4xCrtscdGwL9mUq99SP6OVV/oxMHKLvtYQ/NIfJkxs/v&#10;vRlndrO3hu0UBg0u571OlzPlJBTabXL+8cPq1ZizEIUrhAGncn5Qgd/MX76Y1X6q+lCBKRQyAnFh&#10;WvucVzH6aZYFWSkrQge8cpQsAa2IFOImK1DUhG5N1u92R1kNWHgEqUKgr8s2yY+I+BxAKEst1RLk&#10;1ioXW1RURkSSFCrtA58ntmWpZHxflkFFZnJOSmN60yG0XjfvbD4T0w0KX2l5pCCeQ+GJJiu0o0PP&#10;UEsRBdui/gvKaokQoIwdCTZrhSRHSEWv+8Sbh0p4lbSQ1cGfTQ//D1a+290j0wVNAmdOWGr4r6/f&#10;f/74xnqNN7UPUyp58PfYqAv+DuSnwBwsKuE26hYR6kqJghil+uzRhiYItJWt67dQELTYRkg27Uu0&#10;DSAZwPapG4dzN9Q+Mkkfr0ajq8mQM0mp/mgyvh42jDIxPW32GOJrBZY1i5wjNTuBi91diG3pqSSR&#10;B6OLlTYmBbhZLwyynaDBWKXniB4uy4xjdc4nw/4wIT/KhUuIbnr+BWF1pPtitM35+LLIOBJzcqh1&#10;Ou7X+6PpaygOZBxCO7F0X2lRAX7hrKZpzXn4vBWoODNvHJk/6Q0GzXinYDC87lOAl5n1ZUY4SVA5&#10;j5y1y0Vsr8TWo95UdFIvyXVwSw0rdTKzodqyOvKmiUztON6eZuQv41T1548x/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zM3u1QAAAAcBAAAPAAAAAAAAAAEAIAAAACIAAABkcnMvZG93bnJldi54&#10;bWxQSwECFAAUAAAACACHTuJAzMeq4jYCAAB5BAAADgAAAAAAAAABACAAAAAkAQAAZHJzL2Uyb0Rv&#10;Yy54bWxQSwUGAAAAAAYABgBZAQAAzAUAAAAA&#10;">
                <v:fill on="t" focussize="0,0"/>
                <v:stroke color="#000000" miterlimit="8" joinstyle="miter"/>
                <v:imagedata o:title=""/>
                <o:lock v:ext="edit" aspectratio="f"/>
                <v:textbox>
                  <w:txbxContent>
                    <w:p w14:paraId="44EEC274">
                      <w:pPr>
                        <w:jc w:val="center"/>
                        <w:rPr>
                          <w:rFonts w:hint="eastAsia" w:eastAsia="宋体"/>
                          <w:lang w:val="en-US" w:eastAsia="zh-CN"/>
                        </w:rPr>
                      </w:pPr>
                    </w:p>
                  </w:txbxContent>
                </v:textbox>
              </v:rect>
            </w:pict>
          </mc:Fallback>
        </mc:AlternateContent>
      </w:r>
      <w:r>
        <w:rPr>
          <w:rFonts w:hint="eastAsia" w:ascii="仿宋" w:hAnsi="仿宋" w:eastAsia="仿宋" w:cs="仿宋"/>
          <w:color w:val="auto"/>
          <w:kern w:val="0"/>
          <w:sz w:val="24"/>
          <w:highlight w:val="none"/>
        </w:rPr>
        <w:t xml:space="preserve">         小规模纳税人                   一般纳税人</w:t>
      </w:r>
    </w:p>
    <w:tbl>
      <w:tblPr>
        <w:tblStyle w:val="23"/>
        <w:tblW w:w="7872" w:type="dxa"/>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37"/>
        <w:gridCol w:w="4935"/>
      </w:tblGrid>
      <w:tr w14:paraId="2ACDA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15E2FDD1">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公司名称</w:t>
            </w:r>
          </w:p>
        </w:tc>
        <w:tc>
          <w:tcPr>
            <w:tcW w:w="4935" w:type="dxa"/>
            <w:vAlign w:val="center"/>
          </w:tcPr>
          <w:p w14:paraId="36553749">
            <w:pPr>
              <w:shd w:val="clea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广州白云湖投资发展有限公司</w:t>
            </w:r>
          </w:p>
        </w:tc>
      </w:tr>
      <w:tr w14:paraId="442F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0AE00D82">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tc>
        <w:tc>
          <w:tcPr>
            <w:tcW w:w="4935" w:type="dxa"/>
            <w:vAlign w:val="center"/>
          </w:tcPr>
          <w:p w14:paraId="3FA734DB">
            <w:pPr>
              <w:shd w:val="clea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91440111MAE68BE6X8</w:t>
            </w:r>
          </w:p>
        </w:tc>
      </w:tr>
      <w:tr w14:paraId="6EC13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3F4C6F26">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地址、邮编</w:t>
            </w:r>
          </w:p>
        </w:tc>
        <w:tc>
          <w:tcPr>
            <w:tcW w:w="4935" w:type="dxa"/>
            <w:vAlign w:val="center"/>
          </w:tcPr>
          <w:p w14:paraId="6D5AF104">
            <w:pPr>
              <w:shd w:val="clea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广州市白云区白云湖街道夏花一路176号云湖商会A栋2层207室</w:t>
            </w:r>
          </w:p>
        </w:tc>
      </w:tr>
      <w:tr w14:paraId="79AAC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17134D24">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935" w:type="dxa"/>
            <w:vAlign w:val="center"/>
          </w:tcPr>
          <w:p w14:paraId="52805C41">
            <w:pPr>
              <w:shd w:val="clea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p>
        </w:tc>
      </w:tr>
      <w:tr w14:paraId="5F83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2570F52A">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935" w:type="dxa"/>
            <w:vAlign w:val="center"/>
          </w:tcPr>
          <w:p w14:paraId="2EA5D803">
            <w:pPr>
              <w:shd w:val="clear"/>
              <w:spacing w:line="48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中国农业银行股份有限公司广州新市支行</w:t>
            </w:r>
          </w:p>
        </w:tc>
      </w:tr>
      <w:tr w14:paraId="4517B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37" w:type="dxa"/>
            <w:vAlign w:val="center"/>
          </w:tcPr>
          <w:p w14:paraId="6DA68AA2">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p>
        </w:tc>
        <w:tc>
          <w:tcPr>
            <w:tcW w:w="4935" w:type="dxa"/>
            <w:vAlign w:val="center"/>
          </w:tcPr>
          <w:p w14:paraId="398B69C2">
            <w:pPr>
              <w:shd w:val="clea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44067801040022858</w:t>
            </w:r>
          </w:p>
        </w:tc>
      </w:tr>
    </w:tbl>
    <w:p w14:paraId="7252C873">
      <w:pPr>
        <w:shd w:val="clear"/>
        <w:spacing w:after="157" w:afterLines="50"/>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3.10</w:t>
      </w:r>
      <w:r>
        <w:rPr>
          <w:rFonts w:hint="eastAsia" w:ascii="仿宋" w:hAnsi="仿宋" w:eastAsia="仿宋" w:cs="仿宋"/>
          <w:color w:val="auto"/>
          <w:sz w:val="24"/>
          <w:szCs w:val="24"/>
          <w:highlight w:val="none"/>
        </w:rPr>
        <w:t>.2乙方信息</w:t>
      </w:r>
    </w:p>
    <w:p w14:paraId="0B017978">
      <w:pPr>
        <w:shd w:val="clear"/>
        <w:autoSpaceDE w:val="0"/>
        <w:autoSpaceDN w:val="0"/>
        <w:adjustRightInd w:val="0"/>
        <w:spacing w:line="500" w:lineRule="exact"/>
        <w:ind w:left="1050" w:leftChars="500" w:firstLine="1320" w:firstLineChars="550"/>
        <w:rPr>
          <w:rFonts w:hint="eastAsia" w:ascii="仿宋" w:hAnsi="仿宋" w:eastAsia="仿宋" w:cs="仿宋"/>
          <w:color w:val="auto"/>
          <w:sz w:val="24"/>
          <w:highlight w:val="none"/>
        </w:rPr>
      </w:pPr>
      <w:r>
        <w:rPr>
          <w:rFonts w:hint="default" w:ascii="仿宋" w:hAnsi="仿宋" w:eastAsia="仿宋" w:cs="仿宋"/>
          <w:color w:val="auto"/>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563245</wp:posOffset>
                </wp:positionH>
                <wp:positionV relativeFrom="paragraph">
                  <wp:posOffset>5080</wp:posOffset>
                </wp:positionV>
                <wp:extent cx="366395" cy="269875"/>
                <wp:effectExtent l="4445" t="4445" r="10160" b="1143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4.35pt;margin-top:0.4pt;height:21.25pt;width:28.85pt;z-index:251662336;mso-width-relative:page;mso-height-relative:page;" fillcolor="#FFFFFF" filled="t" stroked="t" coordsize="21600,21600" o:gfxdata="UEsDBAoAAAAAAIdO4kAAAAAAAAAAAAAAAAAEAAAAZHJzL1BLAwQUAAAACACHTuJAqGJZ79UAAAAG&#10;AQAADwAAAGRycy9kb3ducmV2LnhtbE2OQU+DQBSE7yb+h80z8WaXFlKRsvSgqYnHll68PdgnUNm3&#10;hF1a9Ne7PdnTZDKTmS/fzqYXZxpdZ1nBchGBIK6t7rhRcCx3TykI55E19pZJwQ852Bb3dzlm2l54&#10;T+eDb0QYYZehgtb7IZPS1S0ZdAs7EIfsy44GfbBjI/WIlzBuermKorU02HF4aHGg15bq78NkFFTd&#10;6oi/+/I9Mi+72H/M5Wn6fFPq8WEZbUB4mv1/Ga74AR2KwFTZibUTvYI0fQ7NoCCuabJOQFQKkjgG&#10;WeTyFr/4A1BLAwQUAAAACACHTuJA71iYSTMCAABuBAAADgAAAGRycy9lMm9Eb2MueG1srVTNjhMx&#10;DL4j8Q5R7nTa7vZv1Olq1WoR0gIrLTxAmsl0IpI4OGmn5WWQuPEQPA7iNfBkuqW7cNgDc4js2Pls&#10;f7ZnfrW3hu0UBg2u4INenzPlJJTabQr+8cPNqylnIQpXCgNOFfygAr9avHwxb3yuhlCDKRUyAnEh&#10;b3zB6xh9nmVB1sqK0AOvHBkrQCsiqbjJShQNoVuTDfv9cdYAlh5BqhDodtUZ+RERnwMIVaWlWoHc&#10;WuVih4rKiEglhVr7wBcp26pSMr6vqqAiMwWnSmM6KQjJ6/bMFnORb1D4WstjCuI5KTypyQrtKOgJ&#10;aiWiYFvUf0FZLRECVLEnwWZdIYkRqmLQf8LNfS28SrUQ1cGfSA//D1a+290h02XBJ5w5Yanhv75+&#10;//njG5u03DQ+5ORy7++wrS74W5CfAnOwrIXbqGtEaGolSspo0Ppnjx60SqCnbN28hZKgxTZComlf&#10;oW0BiQC2T904nLqh9pFJurwYjy9mI84kmYbj2XQyShFE/vDYY4ivFVjWCgVHanYCF7vbENtkRP7g&#10;kpIHo8sbbUxScLNeGmQ7QYNxk74jejh3M441BZ+NhqOE/MgWziH66fsXhNWR9sVoW/DpuZNxR7pa&#10;hjqm11AeiC2EbkxpSUmoAb9w1tCIFjx83gpUnJk3jhifDS4v25lOyuVoMiQFzy3rc4twkqAKHjnr&#10;xGXs9mDrUW9qijRINTq4pi5VOjHYdrDL6pgsjWEi9rgy7Zyf68nrz29i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Ylnv1QAAAAYBAAAPAAAAAAAAAAEAIAAAACIAAABkcnMvZG93bnJldi54bWxQ&#10;SwECFAAUAAAACACHTuJA71iYSTMCAABuBAAADgAAAAAAAAABACAAAAAkAQAAZHJzL2Uyb0RvYy54&#10;bWxQSwUGAAAAAAYABgBZAQAAyQUAAAAA&#10;">
                <v:fill on="t" focussize="0,0"/>
                <v:stroke color="#000000" miterlimit="8" joinstyle="miter"/>
                <v:imagedata o:title=""/>
                <o:lock v:ext="edit" aspectratio="f"/>
              </v:rect>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3098165</wp:posOffset>
                </wp:positionH>
                <wp:positionV relativeFrom="paragraph">
                  <wp:posOffset>2540</wp:posOffset>
                </wp:positionV>
                <wp:extent cx="366395" cy="269875"/>
                <wp:effectExtent l="4445" t="4445" r="10160" b="1143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366395" cy="269875"/>
                        </a:xfrm>
                        <a:prstGeom prst="rect">
                          <a:avLst/>
                        </a:prstGeom>
                        <a:solidFill>
                          <a:srgbClr val="FFFFFF"/>
                        </a:solidFill>
                        <a:ln w="9525">
                          <a:solidFill>
                            <a:srgbClr val="000000"/>
                          </a:solidFill>
                          <a:miter lim="800000"/>
                        </a:ln>
                      </wps:spPr>
                      <wps:txbx>
                        <w:txbxContent>
                          <w:p w14:paraId="53DCF562">
                            <w:pPr>
                              <w:rPr>
                                <w:b/>
                                <w:bCs/>
                                <w:sz w:val="24"/>
                                <w:szCs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3.95pt;margin-top:0.2pt;height:21.25pt;width:28.85pt;z-index:251663360;mso-width-relative:page;mso-height-relative:page;" fillcolor="#FFFFFF" filled="t" stroked="t" coordsize="21600,21600" o:gfxdata="UEsDBAoAAAAAAIdO4kAAAAAAAAAAAAAAAAAEAAAAZHJzL1BLAwQUAAAACACHTuJAv5BtkNUAAAAH&#10;AQAADwAAAGRycy9kb3ducmV2LnhtbE2OMU/DMBSEdyT+g/WQ2Kjd0JYmxOkAKhJjmy5sTvxIAvFz&#10;FDtt4NfzmGC7053uvnw3u16ccQydJw3LhQKBVHvbUaPhVO7vtiBCNGRN7wk1fGGAXXF9lZvM+gsd&#10;8HyMjeARCpnR0MY4ZFKGukVnwsIPSJy9+9GZyHZspB3NhcddLxOlNtKZjvihNQM+tVh/HienoeqS&#10;k/k+lC/Kpfv7+DqXH9Pbs9a3N0v1CCLiHP/K8IvP6FAwU+UnskH0Glbbh5SrLEBwvF6tNyAqtkkK&#10;ssjlf/7iB1BLAwQUAAAACACHTuJAGoCkizgCAAB5BAAADgAAAGRycy9lMm9Eb2MueG1srVTBbtsw&#10;DL0P2D8Iui9O0iZNjDhFkSLDgG4r0O0DFFmOhUmiRilxup8ZsNs+Yp8z7DdGy26Wdjv0MB8EUqQe&#10;yUfSi8uDNWyvMGhwBR8NhpwpJ6HUblvwjx/Wr2achShcKQw4VfB7Ffjl8uWLReNzNYYaTKmQEYgL&#10;eeMLXsfo8ywLslZWhAF45chYAVoRScVtVqJoCN2abDwcTrMGsPQIUoVAt9edkfeI+BxAqCot1TXI&#10;nVUudqiojIhUUqi1D3yZsq0qJeP7qgoqMlNwqjSmk4KQvGnPbLkQ+RaFr7XsUxDPSeFJTVZoR0GP&#10;UNciCrZD/ReU1RIhQBUHEmzWFZIYoSpGwyfc3NXCq1QLUR38kfTw/2Dlu/0tMl0WnNruhKWG//r6&#10;/eePb2zWctP4kJPLnb/Ftrrgb0B+CszBqhZuq64QoamVKCmjUeufPXrQKoGesk3zFkqCFrsIiaZD&#10;hbYFJALYIXXj/tgNdYhM0uXZdHo2n3AmyTSezmcXkxRB5A+PPYb4WoFlrVBwpGYncLG/CbFNRuQP&#10;Lil5MLpca2OSgtvNyiDbCxqMdfp69HDqZhxrCj6fjCcJ+ZEtnEIM0/cvCKsj7YvRlig+dTKup6tl&#10;qGM6HjaHnvQNlPdEHEI3sbSvJNSAXzhraFoLHj7vBCrOzBtH5M9H5+fteCflfHIxJgVPLZtTi3CS&#10;oAoeOevEVexWYudRb2uKNErlOriihlU6kdk2s8uqz5smMnHcb0878qd68vrzx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QbZDVAAAABwEAAA8AAAAAAAAAAQAgAAAAIgAAAGRycy9kb3ducmV2&#10;LnhtbFBLAQIUABQAAAAIAIdO4kAagKSLOAIAAHkEAAAOAAAAAAAAAAEAIAAAACQBAABkcnMvZTJv&#10;RG9jLnhtbFBLBQYAAAAABgAGAFkBAADOBQAAAAA=&#10;">
                <v:fill on="t" focussize="0,0"/>
                <v:stroke color="#000000" miterlimit="8" joinstyle="miter"/>
                <v:imagedata o:title=""/>
                <o:lock v:ext="edit" aspectratio="f"/>
                <v:textbox>
                  <w:txbxContent>
                    <w:p w14:paraId="53DCF562">
                      <w:pPr>
                        <w:rPr>
                          <w:b/>
                          <w:bCs/>
                          <w:sz w:val="24"/>
                          <w:szCs w:val="28"/>
                        </w:rPr>
                      </w:pPr>
                    </w:p>
                  </w:txbxContent>
                </v:textbox>
              </v:rect>
            </w:pict>
          </mc:Fallback>
        </mc:AlternateContent>
      </w:r>
      <w:r>
        <w:rPr>
          <w:rFonts w:hint="eastAsia" w:ascii="仿宋" w:hAnsi="仿宋" w:eastAsia="仿宋" w:cs="仿宋"/>
          <w:color w:val="auto"/>
          <w:sz w:val="24"/>
          <w:highlight w:val="none"/>
        </w:rPr>
        <w:t>小规模纳税人               一般纳税人</w:t>
      </w:r>
    </w:p>
    <w:tbl>
      <w:tblPr>
        <w:tblStyle w:val="23"/>
        <w:tblW w:w="7857" w:type="dxa"/>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22"/>
        <w:gridCol w:w="4935"/>
      </w:tblGrid>
      <w:tr w14:paraId="723A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5025859C">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公司名称</w:t>
            </w:r>
          </w:p>
        </w:tc>
        <w:tc>
          <w:tcPr>
            <w:tcW w:w="4935" w:type="dxa"/>
            <w:vAlign w:val="center"/>
          </w:tcPr>
          <w:p w14:paraId="5908FFD6">
            <w:pPr>
              <w:shd w:val="clear"/>
              <w:rPr>
                <w:rFonts w:hint="eastAsia" w:ascii="仿宋" w:hAnsi="仿宋" w:eastAsia="仿宋" w:cs="仿宋"/>
                <w:color w:val="auto"/>
                <w:sz w:val="24"/>
                <w:highlight w:val="none"/>
              </w:rPr>
            </w:pPr>
          </w:p>
        </w:tc>
      </w:tr>
      <w:tr w14:paraId="68049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44BE8C7C">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tc>
        <w:tc>
          <w:tcPr>
            <w:tcW w:w="4935" w:type="dxa"/>
            <w:vAlign w:val="center"/>
          </w:tcPr>
          <w:p w14:paraId="51A08D50">
            <w:pPr>
              <w:shd w:val="clear"/>
              <w:rPr>
                <w:rFonts w:hint="eastAsia" w:ascii="仿宋" w:hAnsi="仿宋" w:eastAsia="仿宋" w:cs="仿宋"/>
                <w:color w:val="auto"/>
                <w:sz w:val="24"/>
                <w:highlight w:val="none"/>
              </w:rPr>
            </w:pPr>
          </w:p>
        </w:tc>
      </w:tr>
      <w:tr w14:paraId="1002C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4D91BA46">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地址、邮编</w:t>
            </w:r>
          </w:p>
        </w:tc>
        <w:tc>
          <w:tcPr>
            <w:tcW w:w="4935" w:type="dxa"/>
            <w:vAlign w:val="center"/>
          </w:tcPr>
          <w:p w14:paraId="7D6BAEE6">
            <w:pPr>
              <w:shd w:val="clear"/>
              <w:rPr>
                <w:rFonts w:hint="eastAsia" w:ascii="仿宋" w:hAnsi="仿宋" w:eastAsia="仿宋" w:cs="仿宋"/>
                <w:color w:val="auto"/>
                <w:sz w:val="24"/>
                <w:highlight w:val="none"/>
              </w:rPr>
            </w:pPr>
          </w:p>
        </w:tc>
      </w:tr>
      <w:tr w14:paraId="7F196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6B3461D6">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tc>
        <w:tc>
          <w:tcPr>
            <w:tcW w:w="4935" w:type="dxa"/>
            <w:vAlign w:val="center"/>
          </w:tcPr>
          <w:p w14:paraId="082FFFB6">
            <w:pPr>
              <w:shd w:val="clear"/>
              <w:rPr>
                <w:rFonts w:hint="eastAsia" w:ascii="仿宋" w:hAnsi="仿宋" w:eastAsia="仿宋" w:cs="仿宋"/>
                <w:color w:val="auto"/>
                <w:sz w:val="24"/>
                <w:highlight w:val="none"/>
              </w:rPr>
            </w:pPr>
          </w:p>
        </w:tc>
      </w:tr>
      <w:tr w14:paraId="473D0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3D5B0647">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tc>
        <w:tc>
          <w:tcPr>
            <w:tcW w:w="4935" w:type="dxa"/>
            <w:vAlign w:val="center"/>
          </w:tcPr>
          <w:p w14:paraId="1413A94A">
            <w:pPr>
              <w:shd w:val="clear"/>
              <w:rPr>
                <w:rFonts w:hint="eastAsia" w:ascii="仿宋" w:hAnsi="仿宋" w:eastAsia="仿宋" w:cs="仿宋"/>
                <w:color w:val="auto"/>
                <w:sz w:val="24"/>
                <w:highlight w:val="none"/>
              </w:rPr>
            </w:pPr>
          </w:p>
        </w:tc>
      </w:tr>
      <w:tr w14:paraId="37ED7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922" w:type="dxa"/>
            <w:vAlign w:val="center"/>
          </w:tcPr>
          <w:p w14:paraId="27015406">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w:t>
            </w:r>
          </w:p>
        </w:tc>
        <w:tc>
          <w:tcPr>
            <w:tcW w:w="4935" w:type="dxa"/>
            <w:vAlign w:val="center"/>
          </w:tcPr>
          <w:p w14:paraId="14A6BC20">
            <w:pPr>
              <w:shd w:val="clear"/>
              <w:rPr>
                <w:rFonts w:hint="eastAsia" w:ascii="仿宋" w:hAnsi="仿宋" w:eastAsia="仿宋" w:cs="仿宋"/>
                <w:color w:val="auto"/>
                <w:sz w:val="24"/>
                <w:highlight w:val="none"/>
              </w:rPr>
            </w:pPr>
          </w:p>
        </w:tc>
      </w:tr>
    </w:tbl>
    <w:p w14:paraId="2EDE150B">
      <w:pPr>
        <w:widowControl/>
        <w:shd w:val="clear" w:color="auto"/>
        <w:spacing w:after="0" w:line="240" w:lineRule="auto"/>
        <w:ind w:right="0" w:firstLine="480" w:firstLineChars="200"/>
        <w:jc w:val="left"/>
        <w:rPr>
          <w:rFonts w:hint="eastAsia" w:ascii="仿宋" w:hAnsi="仿宋" w:eastAsia="仿宋" w:cs="仿宋"/>
          <w:bCs w:val="0"/>
          <w:snapToGrid/>
          <w:color w:val="auto"/>
          <w:kern w:val="2"/>
          <w:sz w:val="24"/>
          <w:szCs w:val="20"/>
          <w:highlight w:val="none"/>
        </w:rPr>
      </w:pPr>
      <w:r>
        <w:rPr>
          <w:rFonts w:hint="eastAsia" w:ascii="仿宋" w:hAnsi="仿宋" w:eastAsia="仿宋" w:cs="仿宋"/>
          <w:bCs w:val="0"/>
          <w:snapToGrid/>
          <w:color w:val="auto"/>
          <w:kern w:val="2"/>
          <w:sz w:val="24"/>
          <w:szCs w:val="20"/>
          <w:highlight w:val="none"/>
        </w:rPr>
        <w:t>上述资料若有修改，须书面通知对方并获对方书面确认。</w:t>
      </w:r>
    </w:p>
    <w:p w14:paraId="3F47764B">
      <w:pPr>
        <w:widowControl/>
        <w:shd w:val="clear" w:color="auto"/>
        <w:spacing w:after="0" w:line="240" w:lineRule="auto"/>
        <w:ind w:right="0" w:firstLine="480" w:firstLineChars="200"/>
        <w:jc w:val="left"/>
        <w:rPr>
          <w:rFonts w:hint="eastAsia" w:ascii="仿宋" w:hAnsi="仿宋" w:eastAsia="仿宋" w:cs="仿宋"/>
          <w:bCs w:val="0"/>
          <w:snapToGrid/>
          <w:color w:val="auto"/>
          <w:kern w:val="2"/>
          <w:sz w:val="24"/>
          <w:szCs w:val="20"/>
          <w:highlight w:val="none"/>
          <w:lang w:eastAsia="zh-CN"/>
        </w:rPr>
      </w:pPr>
    </w:p>
    <w:p w14:paraId="089B2EA5">
      <w:pPr>
        <w:widowControl/>
        <w:numPr>
          <w:ilvl w:val="0"/>
          <w:numId w:val="3"/>
        </w:numPr>
        <w:shd w:val="clear"/>
        <w:tabs>
          <w:tab w:val="left" w:pos="5475"/>
        </w:tabs>
        <w:spacing w:line="360" w:lineRule="auto"/>
        <w:ind w:firstLine="482" w:firstLineChars="200"/>
        <w:jc w:val="left"/>
        <w:rPr>
          <w:rFonts w:hint="eastAsia" w:ascii="仿宋" w:hAnsi="仿宋" w:eastAsia="仿宋" w:cs="仿宋"/>
          <w:b/>
          <w:bCs/>
          <w:snapToGrid w:val="0"/>
          <w:color w:val="auto"/>
          <w:kern w:val="0"/>
          <w:sz w:val="24"/>
          <w:szCs w:val="20"/>
          <w:highlight w:val="none"/>
          <w:lang w:eastAsia="zh-CN"/>
        </w:rPr>
      </w:pPr>
      <w:r>
        <w:rPr>
          <w:rFonts w:hint="eastAsia" w:ascii="仿宋" w:hAnsi="仿宋" w:eastAsia="仿宋" w:cs="仿宋"/>
          <w:b/>
          <w:bCs/>
          <w:i w:val="0"/>
          <w:iCs w:val="0"/>
          <w:snapToGrid w:val="0"/>
          <w:color w:val="auto"/>
          <w:kern w:val="0"/>
          <w:sz w:val="24"/>
          <w:szCs w:val="20"/>
          <w:highlight w:val="none"/>
          <w:lang w:eastAsia="zh-CN"/>
        </w:rPr>
        <w:t>工程担保</w:t>
      </w:r>
    </w:p>
    <w:p w14:paraId="36338AD9">
      <w:pPr>
        <w:widowControl/>
        <w:numPr>
          <w:ilvl w:val="0"/>
          <w:numId w:val="0"/>
        </w:numPr>
        <w:shd w:val="clear" w:color="auto"/>
        <w:spacing w:line="360" w:lineRule="auto"/>
        <w:ind w:left="0" w:leftChars="0"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val="en-US" w:eastAsia="zh-CN"/>
        </w:rPr>
        <w:t>4.1</w:t>
      </w:r>
      <w:r>
        <w:rPr>
          <w:rFonts w:hint="eastAsia" w:ascii="仿宋" w:hAnsi="仿宋" w:eastAsia="仿宋" w:cs="仿宋"/>
          <w:bCs/>
          <w:snapToGrid w:val="0"/>
          <w:color w:val="auto"/>
          <w:kern w:val="0"/>
          <w:sz w:val="24"/>
          <w:szCs w:val="22"/>
          <w:highlight w:val="none"/>
          <w:lang w:eastAsia="zh-CN"/>
        </w:rPr>
        <w:t>承包人提供履约担保的约定</w:t>
      </w:r>
    </w:p>
    <w:p w14:paraId="50E8DFF1">
      <w:pPr>
        <w:widowControl/>
        <w:numPr>
          <w:ilvl w:val="0"/>
          <w:numId w:val="0"/>
        </w:numPr>
        <w:shd w:val="clear" w:color="auto"/>
        <w:spacing w:line="360" w:lineRule="auto"/>
        <w:ind w:left="0" w:leftChars="0"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（1）履约担保金额：合同价的10%，即为（大写）</w:t>
      </w:r>
      <w:r>
        <w:rPr>
          <w:rFonts w:hint="eastAsia" w:ascii="仿宋" w:hAnsi="仿宋" w:eastAsia="仿宋" w:cs="仿宋"/>
          <w:bCs/>
          <w:snapToGrid w:val="0"/>
          <w:color w:val="auto"/>
          <w:kern w:val="0"/>
          <w:sz w:val="24"/>
          <w:szCs w:val="22"/>
          <w:highlight w:val="none"/>
          <w:u w:val="none"/>
          <w:lang w:eastAsia="zh-CN"/>
        </w:rPr>
        <w:t>人民币</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u w:val="none"/>
          <w:lang w:eastAsia="zh-CN"/>
        </w:rPr>
        <w:t>元整</w:t>
      </w:r>
      <w:r>
        <w:rPr>
          <w:rFonts w:hint="eastAsia" w:ascii="仿宋" w:hAnsi="仿宋" w:eastAsia="仿宋" w:cs="仿宋"/>
          <w:bCs/>
          <w:snapToGrid w:val="0"/>
          <w:color w:val="auto"/>
          <w:kern w:val="0"/>
          <w:sz w:val="24"/>
          <w:szCs w:val="22"/>
          <w:highlight w:val="none"/>
          <w:lang w:eastAsia="zh-CN"/>
        </w:rPr>
        <w:t>（小写¥</w:t>
      </w:r>
      <w:r>
        <w:rPr>
          <w:rFonts w:hint="eastAsia" w:ascii="仿宋" w:hAnsi="仿宋" w:eastAsia="仿宋" w:cs="仿宋"/>
          <w:bCs/>
          <w:snapToGrid w:val="0"/>
          <w:color w:val="auto"/>
          <w:kern w:val="0"/>
          <w:sz w:val="24"/>
          <w:szCs w:val="22"/>
          <w:highlight w:val="none"/>
          <w:u w:val="none"/>
          <w:lang w:eastAsia="zh-CN"/>
        </w:rPr>
        <w:t xml:space="preserve"> </w:t>
      </w:r>
      <w:r>
        <w:rPr>
          <w:rFonts w:hint="eastAsia" w:ascii="仿宋" w:hAnsi="仿宋" w:eastAsia="仿宋" w:cs="仿宋"/>
          <w:bCs/>
          <w:snapToGrid w:val="0"/>
          <w:color w:val="auto"/>
          <w:kern w:val="0"/>
          <w:sz w:val="24"/>
          <w:szCs w:val="22"/>
          <w:highlight w:val="none"/>
          <w:u w:val="single"/>
          <w:lang w:eastAsia="zh-CN"/>
        </w:rPr>
        <w:t xml:space="preserve"> </w:t>
      </w:r>
      <w:r>
        <w:rPr>
          <w:rFonts w:hint="eastAsia" w:ascii="仿宋" w:hAnsi="仿宋" w:eastAsia="仿宋" w:cs="仿宋"/>
          <w:bCs/>
          <w:snapToGrid w:val="0"/>
          <w:color w:val="auto"/>
          <w:kern w:val="0"/>
          <w:sz w:val="24"/>
          <w:szCs w:val="22"/>
          <w:highlight w:val="none"/>
          <w:u w:val="single"/>
          <w:lang w:val="en-US" w:eastAsia="zh-CN"/>
        </w:rPr>
        <w:t xml:space="preserve">           </w:t>
      </w:r>
      <w:r>
        <w:rPr>
          <w:rFonts w:hint="eastAsia" w:ascii="仿宋" w:hAnsi="仿宋" w:eastAsia="仿宋" w:cs="仿宋"/>
          <w:bCs/>
          <w:snapToGrid w:val="0"/>
          <w:color w:val="auto"/>
          <w:kern w:val="0"/>
          <w:sz w:val="24"/>
          <w:szCs w:val="22"/>
          <w:highlight w:val="none"/>
          <w:lang w:eastAsia="zh-CN"/>
        </w:rPr>
        <w:t>元）</w:t>
      </w:r>
    </w:p>
    <w:p w14:paraId="56662A4E">
      <w:pPr>
        <w:widowControl/>
        <w:numPr>
          <w:ilvl w:val="0"/>
          <w:numId w:val="0"/>
        </w:numPr>
        <w:shd w:val="clear" w:color="auto"/>
        <w:spacing w:line="360" w:lineRule="auto"/>
        <w:ind w:left="0" w:leftChars="0" w:firstLine="48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（2）提供履约担保的时间：</w:t>
      </w:r>
    </w:p>
    <w:p w14:paraId="28A0758D">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□签订本合同时</w:t>
      </w:r>
    </w:p>
    <w:p w14:paraId="0310E577">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sym w:font="Wingdings 2" w:char="0052"/>
      </w:r>
      <w:r>
        <w:rPr>
          <w:rFonts w:hint="eastAsia" w:ascii="仿宋" w:hAnsi="仿宋" w:eastAsia="仿宋" w:cs="仿宋"/>
          <w:bCs/>
          <w:snapToGrid w:val="0"/>
          <w:color w:val="auto"/>
          <w:kern w:val="0"/>
          <w:sz w:val="24"/>
          <w:szCs w:val="22"/>
          <w:highlight w:val="none"/>
          <w:lang w:eastAsia="zh-CN"/>
        </w:rPr>
        <w:t>另作约定：</w:t>
      </w:r>
      <w:r>
        <w:rPr>
          <w:rFonts w:hint="eastAsia" w:ascii="仿宋" w:hAnsi="仿宋" w:eastAsia="仿宋" w:cs="仿宋"/>
          <w:bCs/>
          <w:snapToGrid w:val="0"/>
          <w:color w:val="auto"/>
          <w:kern w:val="0"/>
          <w:sz w:val="24"/>
          <w:szCs w:val="22"/>
          <w:highlight w:val="none"/>
          <w:u w:val="none"/>
          <w:lang w:eastAsia="zh-CN"/>
        </w:rPr>
        <w:t>承包人必须在签订合同后15天内或工程预付款支付15天之前向发包人提交履约担保。</w:t>
      </w:r>
    </w:p>
    <w:p w14:paraId="749E0BB8">
      <w:pPr>
        <w:widowControl/>
        <w:numPr>
          <w:ilvl w:val="0"/>
          <w:numId w:val="0"/>
        </w:numPr>
        <w:shd w:val="clear" w:color="auto"/>
        <w:spacing w:line="360" w:lineRule="auto"/>
        <w:ind w:left="0" w:leftChars="0"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（3）履约担保的形式</w:t>
      </w:r>
    </w:p>
    <w:p w14:paraId="03CE24B0">
      <w:pPr>
        <w:widowControl/>
        <w:numPr>
          <w:ilvl w:val="0"/>
          <w:numId w:val="0"/>
        </w:numPr>
        <w:shd w:val="clear" w:color="auto"/>
        <w:spacing w:line="360" w:lineRule="auto"/>
        <w:ind w:firstLine="48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☑出具履约保函的担保人：</w:t>
      </w:r>
      <w:r>
        <w:rPr>
          <w:rFonts w:hint="eastAsia" w:ascii="仿宋" w:hAnsi="仿宋" w:eastAsia="仿宋" w:cs="仿宋"/>
          <w:bCs/>
          <w:snapToGrid w:val="0"/>
          <w:color w:val="auto"/>
          <w:kern w:val="0"/>
          <w:sz w:val="24"/>
          <w:szCs w:val="22"/>
          <w:highlight w:val="none"/>
          <w:u w:val="none"/>
          <w:lang w:eastAsia="zh-CN"/>
        </w:rPr>
        <w:t>提供国内商业银行或担保机构不可撤销的无条件履约保函，履约保函内容、方式和责任等事项详见本合同</w:t>
      </w:r>
      <w:r>
        <w:rPr>
          <w:rFonts w:hint="eastAsia" w:ascii="仿宋" w:hAnsi="仿宋" w:eastAsia="仿宋" w:cs="仿宋"/>
          <w:bCs/>
          <w:snapToGrid w:val="0"/>
          <w:color w:val="auto"/>
          <w:kern w:val="0"/>
          <w:sz w:val="24"/>
          <w:szCs w:val="22"/>
          <w:highlight w:val="none"/>
          <w:u w:val="none"/>
          <w:lang w:val="en-US" w:eastAsia="zh-CN"/>
        </w:rPr>
        <w:t>附件</w:t>
      </w:r>
      <w:r>
        <w:rPr>
          <w:rFonts w:hint="eastAsia" w:ascii="仿宋" w:hAnsi="仿宋" w:eastAsia="仿宋" w:cs="仿宋"/>
          <w:bCs/>
          <w:snapToGrid w:val="0"/>
          <w:color w:val="auto"/>
          <w:kern w:val="0"/>
          <w:sz w:val="24"/>
          <w:szCs w:val="22"/>
          <w:highlight w:val="none"/>
          <w:u w:val="none"/>
          <w:lang w:eastAsia="zh-CN"/>
        </w:rPr>
        <w:t>。</w:t>
      </w:r>
    </w:p>
    <w:p w14:paraId="6DB9F725">
      <w:pPr>
        <w:widowControl/>
        <w:numPr>
          <w:ilvl w:val="0"/>
          <w:numId w:val="0"/>
        </w:numPr>
        <w:shd w:val="clear" w:color="auto"/>
        <w:spacing w:line="360" w:lineRule="auto"/>
        <w:ind w:firstLine="48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□出具履约担保的担保人：</w:t>
      </w:r>
    </w:p>
    <w:p w14:paraId="32658DC9">
      <w:pPr>
        <w:widowControl/>
        <w:numPr>
          <w:ilvl w:val="0"/>
          <w:numId w:val="0"/>
        </w:numPr>
        <w:shd w:val="clear" w:color="auto"/>
        <w:spacing w:line="360" w:lineRule="auto"/>
        <w:ind w:firstLine="48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□出具履约保证保险的担保人：</w:t>
      </w:r>
    </w:p>
    <w:p w14:paraId="35E9294A">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sym w:font="Wingdings 2" w:char="0052"/>
      </w:r>
      <w:r>
        <w:rPr>
          <w:rFonts w:hint="eastAsia" w:ascii="仿宋" w:hAnsi="仿宋" w:eastAsia="仿宋" w:cs="仿宋"/>
          <w:bCs/>
          <w:snapToGrid w:val="0"/>
          <w:color w:val="auto"/>
          <w:kern w:val="0"/>
          <w:sz w:val="24"/>
          <w:szCs w:val="22"/>
          <w:highlight w:val="none"/>
          <w:lang w:eastAsia="zh-CN"/>
        </w:rPr>
        <w:t>其他：</w:t>
      </w:r>
      <w:r>
        <w:rPr>
          <w:rFonts w:hint="eastAsia" w:ascii="仿宋" w:hAnsi="仿宋" w:eastAsia="仿宋" w:cs="仿宋"/>
          <w:bCs/>
          <w:snapToGrid w:val="0"/>
          <w:color w:val="auto"/>
          <w:kern w:val="0"/>
          <w:sz w:val="24"/>
          <w:szCs w:val="22"/>
          <w:highlight w:val="none"/>
          <w:u w:val="none"/>
          <w:lang w:eastAsia="zh-CN"/>
        </w:rPr>
        <w:t>采用其他履约担保形式的，须经发包人批准。</w:t>
      </w:r>
    </w:p>
    <w:p w14:paraId="1A2D181A">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bookmarkStart w:id="3" w:name="_Toc7964"/>
      <w:r>
        <w:rPr>
          <w:rFonts w:hint="eastAsia" w:ascii="仿宋" w:hAnsi="仿宋" w:eastAsia="仿宋" w:cs="仿宋"/>
          <w:bCs/>
          <w:snapToGrid w:val="0"/>
          <w:color w:val="auto"/>
          <w:kern w:val="0"/>
          <w:sz w:val="24"/>
          <w:szCs w:val="22"/>
          <w:highlight w:val="none"/>
          <w:lang w:eastAsia="zh-CN"/>
        </w:rPr>
        <w:t>4.2履约担保期限和退还</w:t>
      </w:r>
    </w:p>
    <w:p w14:paraId="37830695">
      <w:pPr>
        <w:widowControl/>
        <w:numPr>
          <w:ilvl w:val="0"/>
          <w:numId w:val="0"/>
        </w:numPr>
        <w:shd w:val="clear" w:color="auto"/>
        <w:spacing w:line="360" w:lineRule="auto"/>
        <w:ind w:left="0" w:leftChars="0"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（1）履约担保的期限：</w:t>
      </w:r>
      <w:r>
        <w:rPr>
          <w:rFonts w:hint="eastAsia" w:ascii="仿宋" w:hAnsi="仿宋" w:eastAsia="仿宋" w:cs="仿宋"/>
          <w:bCs/>
          <w:snapToGrid w:val="0"/>
          <w:color w:val="auto"/>
          <w:kern w:val="0"/>
          <w:sz w:val="24"/>
          <w:szCs w:val="22"/>
          <w:highlight w:val="none"/>
          <w:u w:val="none"/>
          <w:lang w:eastAsia="zh-CN"/>
        </w:rPr>
        <w:t>从承包人向发包人提供履约担保之日起，至合同工程验收合格、承包人向发包人提交完整的结算资料后30天止。若承包人提供的履约担保在上述期限内到期，承包人应在履约担保到期之前将其续期，提供履约担保所发生的费用由承包人承担。否则发包人有权停止支付进度款并要求承包人支付与履约担保同等金额的违约金，由此造成的工程延误和损失由承包人承担。</w:t>
      </w:r>
    </w:p>
    <w:p w14:paraId="3905ACD3">
      <w:pPr>
        <w:widowControl/>
        <w:numPr>
          <w:ilvl w:val="0"/>
          <w:numId w:val="0"/>
        </w:numPr>
        <w:shd w:val="clear" w:color="auto"/>
        <w:spacing w:line="360" w:lineRule="auto"/>
        <w:ind w:left="0" w:leftChars="0"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（2）履约担保的退还：</w:t>
      </w:r>
      <w:r>
        <w:rPr>
          <w:rFonts w:hint="eastAsia" w:ascii="仿宋" w:hAnsi="仿宋" w:eastAsia="仿宋" w:cs="仿宋"/>
          <w:bCs/>
          <w:snapToGrid w:val="0"/>
          <w:color w:val="auto"/>
          <w:kern w:val="0"/>
          <w:sz w:val="24"/>
          <w:szCs w:val="22"/>
          <w:highlight w:val="none"/>
          <w:u w:val="none"/>
          <w:lang w:eastAsia="zh-CN"/>
        </w:rPr>
        <w:t>承包人向发包人提供的履约担保，发包人在合同工程验收合格（取得验收合格文件）、工程已移交给发包人，且承包人向发包人提交完整的结算资料后30天内由承包人提出申请，经监理人和发包人同意，退回履约担保（不计利息）。</w:t>
      </w:r>
    </w:p>
    <w:p w14:paraId="11ADB595">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.3</w:t>
      </w:r>
      <w:r>
        <w:rPr>
          <w:rFonts w:hint="eastAsia" w:ascii="仿宋" w:hAnsi="仿宋" w:eastAsia="仿宋" w:cs="仿宋"/>
          <w:bCs/>
          <w:snapToGrid w:val="0"/>
          <w:color w:val="auto"/>
          <w:kern w:val="0"/>
          <w:sz w:val="24"/>
          <w:szCs w:val="22"/>
          <w:highlight w:val="none"/>
          <w:lang w:eastAsia="zh-CN"/>
        </w:rPr>
        <w:t>发包人提供支付担保</w:t>
      </w:r>
      <w:bookmarkEnd w:id="3"/>
    </w:p>
    <w:p w14:paraId="663157A6">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发包人提供支付担保的约定</w:t>
      </w:r>
    </w:p>
    <w:p w14:paraId="47CC8F91">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bookmarkStart w:id="4" w:name="_Toc30432"/>
      <w:r>
        <w:rPr>
          <w:rFonts w:hint="eastAsia" w:ascii="仿宋" w:hAnsi="仿宋" w:eastAsia="仿宋" w:cs="仿宋"/>
          <w:bCs/>
          <w:snapToGrid w:val="0"/>
          <w:color w:val="auto"/>
          <w:kern w:val="0"/>
          <w:sz w:val="24"/>
          <w:szCs w:val="22"/>
          <w:highlight w:val="none"/>
          <w:lang w:eastAsia="zh-CN"/>
        </w:rPr>
        <w:t>①支付担保的金额：（大写）</w:t>
      </w:r>
      <w:r>
        <w:rPr>
          <w:rFonts w:hint="eastAsia" w:ascii="仿宋" w:hAnsi="仿宋" w:eastAsia="仿宋" w:cs="仿宋"/>
          <w:bCs/>
          <w:snapToGrid w:val="0"/>
          <w:color w:val="auto"/>
          <w:kern w:val="0"/>
          <w:sz w:val="24"/>
          <w:szCs w:val="22"/>
          <w:highlight w:val="none"/>
          <w:u w:val="none"/>
          <w:lang w:eastAsia="zh-CN"/>
        </w:rPr>
        <w:t>/</w:t>
      </w:r>
      <w:r>
        <w:rPr>
          <w:rFonts w:hint="eastAsia" w:ascii="仿宋" w:hAnsi="仿宋" w:eastAsia="仿宋" w:cs="仿宋"/>
          <w:bCs/>
          <w:snapToGrid w:val="0"/>
          <w:color w:val="auto"/>
          <w:kern w:val="0"/>
          <w:sz w:val="24"/>
          <w:szCs w:val="22"/>
          <w:highlight w:val="none"/>
          <w:lang w:eastAsia="zh-CN"/>
        </w:rPr>
        <w:t>元（小写</w:t>
      </w:r>
      <w:r>
        <w:rPr>
          <w:rFonts w:hint="eastAsia" w:ascii="仿宋" w:hAnsi="仿宋" w:eastAsia="仿宋" w:cs="仿宋"/>
          <w:bCs/>
          <w:snapToGrid w:val="0"/>
          <w:color w:val="auto"/>
          <w:kern w:val="0"/>
          <w:sz w:val="24"/>
          <w:szCs w:val="22"/>
          <w:highlight w:val="none"/>
          <w:u w:val="none"/>
          <w:lang w:eastAsia="zh-CN"/>
        </w:rPr>
        <w:t>/</w:t>
      </w:r>
      <w:r>
        <w:rPr>
          <w:rFonts w:hint="eastAsia" w:ascii="仿宋" w:hAnsi="仿宋" w:eastAsia="仿宋" w:cs="仿宋"/>
          <w:bCs/>
          <w:snapToGrid w:val="0"/>
          <w:color w:val="auto"/>
          <w:kern w:val="0"/>
          <w:sz w:val="24"/>
          <w:szCs w:val="22"/>
          <w:highlight w:val="none"/>
          <w:lang w:eastAsia="zh-CN"/>
        </w:rPr>
        <w:t>元）</w:t>
      </w:r>
      <w:bookmarkEnd w:id="4"/>
    </w:p>
    <w:p w14:paraId="21E9349A">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②提供支付担保的时间：</w:t>
      </w:r>
    </w:p>
    <w:p w14:paraId="0414BAB3">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□签订本合同时</w:t>
      </w:r>
    </w:p>
    <w:p w14:paraId="67B9E500">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□另作约定：</w:t>
      </w:r>
      <w:r>
        <w:rPr>
          <w:rFonts w:hint="eastAsia" w:ascii="仿宋" w:hAnsi="仿宋" w:eastAsia="仿宋" w:cs="仿宋"/>
          <w:bCs/>
          <w:snapToGrid w:val="0"/>
          <w:color w:val="auto"/>
          <w:kern w:val="0"/>
          <w:sz w:val="24"/>
          <w:szCs w:val="22"/>
          <w:highlight w:val="none"/>
          <w:u w:val="none"/>
          <w:lang w:eastAsia="zh-CN"/>
        </w:rPr>
        <w:t>发包人不提供支付担保。</w:t>
      </w:r>
    </w:p>
    <w:p w14:paraId="082E60B5">
      <w:pPr>
        <w:widowControl/>
        <w:numPr>
          <w:ilvl w:val="0"/>
          <w:numId w:val="0"/>
        </w:numPr>
        <w:shd w:val="clear" w:color="auto"/>
        <w:spacing w:line="360" w:lineRule="auto"/>
        <w:ind w:firstLine="480"/>
        <w:rPr>
          <w:rFonts w:hint="eastAsia" w:ascii="仿宋" w:hAnsi="仿宋" w:eastAsia="仿宋" w:cs="仿宋"/>
          <w:bCs/>
          <w:snapToGrid w:val="0"/>
          <w:color w:val="auto"/>
          <w:kern w:val="0"/>
          <w:sz w:val="24"/>
          <w:szCs w:val="22"/>
          <w:highlight w:val="none"/>
          <w:lang w:eastAsia="zh-CN"/>
        </w:rPr>
      </w:pPr>
      <w:bookmarkStart w:id="5" w:name="_Toc22170"/>
      <w:r>
        <w:rPr>
          <w:rFonts w:hint="eastAsia" w:ascii="仿宋" w:hAnsi="仿宋" w:eastAsia="仿宋" w:cs="仿宋"/>
          <w:bCs/>
          <w:snapToGrid w:val="0"/>
          <w:color w:val="auto"/>
          <w:kern w:val="0"/>
          <w:sz w:val="24"/>
          <w:szCs w:val="22"/>
          <w:highlight w:val="none"/>
          <w:lang w:eastAsia="zh-CN"/>
        </w:rPr>
        <w:t>③支付担保的形式</w:t>
      </w:r>
      <w:bookmarkEnd w:id="5"/>
    </w:p>
    <w:p w14:paraId="2DD56910">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□出具支付保函的担保人：</w:t>
      </w:r>
    </w:p>
    <w:p w14:paraId="4D325063">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□出具支付担保的担保人：</w:t>
      </w:r>
    </w:p>
    <w:p w14:paraId="4CD72163">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□出具支付保证保险的担保人：</w:t>
      </w:r>
    </w:p>
    <w:p w14:paraId="724E268B">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□其他：</w:t>
      </w:r>
    </w:p>
    <w:p w14:paraId="513C62A3">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.4</w:t>
      </w:r>
      <w:r>
        <w:rPr>
          <w:rFonts w:hint="eastAsia" w:ascii="仿宋" w:hAnsi="仿宋" w:eastAsia="仿宋" w:cs="仿宋"/>
          <w:bCs/>
          <w:snapToGrid w:val="0"/>
          <w:color w:val="auto"/>
          <w:kern w:val="0"/>
          <w:sz w:val="24"/>
          <w:szCs w:val="22"/>
          <w:highlight w:val="none"/>
          <w:lang w:eastAsia="zh-CN"/>
        </w:rPr>
        <w:t>约定担保事项</w:t>
      </w:r>
    </w:p>
    <w:p w14:paraId="66B92ED4">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t>□担保内容、方式和责任等事项的约定：</w:t>
      </w:r>
    </w:p>
    <w:p w14:paraId="6A7D2BDB">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u w:val="none"/>
          <w:lang w:eastAsia="zh-CN"/>
        </w:rPr>
      </w:pPr>
      <w:r>
        <w:rPr>
          <w:rFonts w:hint="eastAsia" w:ascii="仿宋" w:hAnsi="仿宋" w:eastAsia="仿宋" w:cs="仿宋"/>
          <w:bCs/>
          <w:snapToGrid w:val="0"/>
          <w:color w:val="auto"/>
          <w:kern w:val="0"/>
          <w:sz w:val="24"/>
          <w:szCs w:val="22"/>
          <w:highlight w:val="none"/>
          <w:lang w:eastAsia="zh-CN"/>
        </w:rPr>
        <w:sym w:font="Wingdings 2" w:char="0052"/>
      </w:r>
      <w:r>
        <w:rPr>
          <w:rFonts w:hint="eastAsia" w:ascii="仿宋" w:hAnsi="仿宋" w:eastAsia="仿宋" w:cs="仿宋"/>
          <w:bCs/>
          <w:snapToGrid w:val="0"/>
          <w:color w:val="auto"/>
          <w:kern w:val="0"/>
          <w:sz w:val="24"/>
          <w:szCs w:val="22"/>
          <w:highlight w:val="none"/>
          <w:u w:val="none"/>
          <w:lang w:eastAsia="zh-CN"/>
        </w:rPr>
        <w:t>双方协商一致，增加</w:t>
      </w:r>
      <w:r>
        <w:rPr>
          <w:rFonts w:hint="eastAsia" w:ascii="仿宋" w:hAnsi="仿宋" w:eastAsia="仿宋" w:cs="仿宋"/>
          <w:bCs/>
          <w:snapToGrid w:val="0"/>
          <w:color w:val="auto"/>
          <w:kern w:val="0"/>
          <w:sz w:val="24"/>
          <w:szCs w:val="22"/>
          <w:highlight w:val="none"/>
          <w:u w:val="none"/>
          <w:lang w:val="en-US" w:eastAsia="zh-CN"/>
        </w:rPr>
        <w:t>4.5</w:t>
      </w:r>
      <w:r>
        <w:rPr>
          <w:rFonts w:hint="eastAsia" w:ascii="仿宋" w:hAnsi="仿宋" w:eastAsia="仿宋" w:cs="仿宋"/>
          <w:bCs/>
          <w:snapToGrid w:val="0"/>
          <w:color w:val="auto"/>
          <w:kern w:val="0"/>
          <w:sz w:val="24"/>
          <w:szCs w:val="22"/>
          <w:highlight w:val="none"/>
          <w:u w:val="none"/>
          <w:lang w:eastAsia="zh-CN"/>
        </w:rPr>
        <w:t>-</w:t>
      </w:r>
      <w:r>
        <w:rPr>
          <w:rFonts w:hint="eastAsia" w:ascii="仿宋" w:hAnsi="仿宋" w:eastAsia="仿宋" w:cs="仿宋"/>
          <w:bCs/>
          <w:snapToGrid w:val="0"/>
          <w:color w:val="auto"/>
          <w:kern w:val="0"/>
          <w:sz w:val="24"/>
          <w:szCs w:val="22"/>
          <w:highlight w:val="none"/>
          <w:u w:val="none"/>
          <w:lang w:val="en-US" w:eastAsia="zh-CN"/>
        </w:rPr>
        <w:t>4.10</w:t>
      </w:r>
      <w:r>
        <w:rPr>
          <w:rFonts w:hint="eastAsia" w:ascii="仿宋" w:hAnsi="仿宋" w:eastAsia="仿宋" w:cs="仿宋"/>
          <w:bCs/>
          <w:snapToGrid w:val="0"/>
          <w:color w:val="auto"/>
          <w:kern w:val="0"/>
          <w:sz w:val="24"/>
          <w:szCs w:val="22"/>
          <w:highlight w:val="none"/>
          <w:u w:val="none"/>
          <w:lang w:eastAsia="zh-CN"/>
        </w:rPr>
        <w:t>款：</w:t>
      </w:r>
    </w:p>
    <w:p w14:paraId="6A87793D">
      <w:pPr>
        <w:widowControl/>
        <w:numPr>
          <w:ilvl w:val="0"/>
          <w:numId w:val="0"/>
        </w:numPr>
        <w:shd w:val="clear" w:color="auto"/>
        <w:autoSpaceDE/>
        <w:autoSpaceDN/>
        <w:spacing w:line="360" w:lineRule="auto"/>
        <w:ind w:firstLine="480" w:firstLineChars="0"/>
        <w:rPr>
          <w:rFonts w:hint="eastAsia" w:ascii="仿宋" w:hAnsi="仿宋" w:eastAsia="仿宋" w:cs="仿宋"/>
          <w:b w:val="0"/>
          <w:bCs/>
          <w:snapToGrid w:val="0"/>
          <w:color w:val="auto"/>
          <w:kern w:val="0"/>
          <w:sz w:val="24"/>
          <w:szCs w:val="22"/>
          <w:highlight w:val="none"/>
          <w:lang w:eastAsia="zh-CN"/>
        </w:rPr>
      </w:pPr>
      <w:r>
        <w:rPr>
          <w:rFonts w:hint="eastAsia" w:ascii="仿宋" w:hAnsi="仿宋" w:eastAsia="仿宋" w:cs="仿宋"/>
          <w:b w:val="0"/>
          <w:bCs/>
          <w:snapToGrid w:val="0"/>
          <w:color w:val="auto"/>
          <w:kern w:val="0"/>
          <w:sz w:val="24"/>
          <w:szCs w:val="22"/>
          <w:highlight w:val="none"/>
          <w:lang w:eastAsia="zh-CN"/>
        </w:rPr>
        <w:t>4</w:t>
      </w:r>
      <w:r>
        <w:rPr>
          <w:rFonts w:hint="eastAsia" w:ascii="仿宋" w:hAnsi="仿宋" w:eastAsia="仿宋" w:cs="仿宋"/>
          <w:b w:val="0"/>
          <w:bCs/>
          <w:snapToGrid w:val="0"/>
          <w:color w:val="auto"/>
          <w:kern w:val="0"/>
          <w:sz w:val="24"/>
          <w:szCs w:val="22"/>
          <w:highlight w:val="none"/>
          <w:lang w:val="en-US" w:eastAsia="zh-CN"/>
        </w:rPr>
        <w:t>.5</w:t>
      </w:r>
      <w:r>
        <w:rPr>
          <w:rFonts w:hint="eastAsia" w:ascii="仿宋" w:hAnsi="仿宋" w:eastAsia="仿宋" w:cs="仿宋"/>
          <w:b w:val="0"/>
          <w:bCs/>
          <w:snapToGrid w:val="0"/>
          <w:color w:val="auto"/>
          <w:kern w:val="0"/>
          <w:sz w:val="24"/>
          <w:szCs w:val="22"/>
          <w:highlight w:val="none"/>
          <w:lang w:eastAsia="zh-CN"/>
        </w:rPr>
        <w:t>承包人提交的履约担保是对本合同约定的承包人的全部义务（包括但不限于承包人违约后应支付的违约金和赔偿金）的担保，承包人的任何一次不履行或不完全履行合同义务的行为，发包人均有权向担保机构提出索赔。</w:t>
      </w:r>
    </w:p>
    <w:p w14:paraId="590DE4B6">
      <w:pPr>
        <w:widowControl/>
        <w:numPr>
          <w:ilvl w:val="0"/>
          <w:numId w:val="0"/>
        </w:numPr>
        <w:shd w:val="clear" w:color="auto"/>
        <w:autoSpaceDE/>
        <w:autoSpaceDN/>
        <w:spacing w:line="360" w:lineRule="auto"/>
        <w:ind w:firstLine="480" w:firstLineChars="0"/>
        <w:rPr>
          <w:rFonts w:hint="eastAsia" w:ascii="仿宋" w:hAnsi="仿宋" w:eastAsia="仿宋" w:cs="仿宋"/>
          <w:b w:val="0"/>
          <w:bCs/>
          <w:snapToGrid w:val="0"/>
          <w:color w:val="auto"/>
          <w:kern w:val="0"/>
          <w:sz w:val="24"/>
          <w:szCs w:val="22"/>
          <w:highlight w:val="none"/>
          <w:lang w:eastAsia="zh-CN"/>
        </w:rPr>
      </w:pPr>
      <w:r>
        <w:rPr>
          <w:rFonts w:hint="eastAsia" w:ascii="仿宋" w:hAnsi="仿宋" w:eastAsia="仿宋" w:cs="仿宋"/>
          <w:b w:val="0"/>
          <w:bCs/>
          <w:snapToGrid w:val="0"/>
          <w:color w:val="auto"/>
          <w:kern w:val="0"/>
          <w:sz w:val="24"/>
          <w:szCs w:val="22"/>
          <w:highlight w:val="none"/>
          <w:lang w:eastAsia="zh-CN"/>
        </w:rPr>
        <w:t>4</w:t>
      </w:r>
      <w:r>
        <w:rPr>
          <w:rFonts w:hint="eastAsia" w:ascii="仿宋" w:hAnsi="仿宋" w:eastAsia="仿宋" w:cs="仿宋"/>
          <w:b w:val="0"/>
          <w:bCs/>
          <w:snapToGrid w:val="0"/>
          <w:color w:val="auto"/>
          <w:kern w:val="0"/>
          <w:sz w:val="24"/>
          <w:szCs w:val="22"/>
          <w:highlight w:val="none"/>
          <w:lang w:val="en-US" w:eastAsia="zh-CN"/>
        </w:rPr>
        <w:t>.6</w:t>
      </w:r>
      <w:r>
        <w:rPr>
          <w:rFonts w:hint="eastAsia" w:ascii="仿宋" w:hAnsi="仿宋" w:eastAsia="仿宋" w:cs="仿宋"/>
          <w:b w:val="0"/>
          <w:bCs/>
          <w:snapToGrid w:val="0"/>
          <w:color w:val="auto"/>
          <w:kern w:val="0"/>
          <w:sz w:val="24"/>
          <w:szCs w:val="22"/>
          <w:highlight w:val="none"/>
          <w:lang w:eastAsia="zh-CN"/>
        </w:rPr>
        <w:t>当出现下列情形时，发包人有权启用履约担保：</w:t>
      </w:r>
    </w:p>
    <w:p w14:paraId="2C39497C">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（1）因承包人原因导致本项目进度比约定的节点工期滞后30天以上或因承包人原因导致本合同被解除的；</w:t>
      </w:r>
    </w:p>
    <w:p w14:paraId="2DBB4F1A">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（2）因承包人原因，导致本项目或发包人受到影响或损失的；</w:t>
      </w:r>
    </w:p>
    <w:p w14:paraId="2404B274">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（3）因承包人违约计扣的违约金或赔偿金累计超过当期应付进度款总额的；</w:t>
      </w:r>
    </w:p>
    <w:p w14:paraId="71CE7406">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（4）发包人认为或本合同约定的其他部分或全部需要启动履约担保的情形；</w:t>
      </w:r>
    </w:p>
    <w:p w14:paraId="2DD6846C">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（5）承包人在履行合同过程中，由于以上且不仅限于以上的违约行为，发包人进行违约处罚，承包人及承包人的履约担保方须无条件执行。</w:t>
      </w:r>
    </w:p>
    <w:p w14:paraId="404FCEE9">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.7</w:t>
      </w:r>
      <w:r>
        <w:rPr>
          <w:rFonts w:hint="eastAsia" w:ascii="仿宋" w:hAnsi="仿宋" w:eastAsia="仿宋" w:cs="仿宋"/>
          <w:bCs/>
          <w:snapToGrid w:val="0"/>
          <w:color w:val="auto"/>
          <w:kern w:val="0"/>
          <w:sz w:val="24"/>
          <w:szCs w:val="22"/>
          <w:highlight w:val="none"/>
          <w:lang w:eastAsia="zh-CN"/>
        </w:rPr>
        <w:t>承包人不履行或不完全履行合同义务的行为导致发包人依据履约担保向担保机构索赔履约担保金额的一部分或者全部的，承包人必须在发包人规定的时间内补充提交履约担保，使得本合同履行期间有效的履约担保金额等于承包人第一次提交的履约担保金额。如果承包人不按发包人的要求及时补充提交履约担保，则发包人有权单方面部分解除或解除本合同。</w:t>
      </w:r>
    </w:p>
    <w:p w14:paraId="254DC191">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.8</w:t>
      </w:r>
      <w:r>
        <w:rPr>
          <w:rFonts w:hint="eastAsia" w:ascii="仿宋" w:hAnsi="仿宋" w:eastAsia="仿宋" w:cs="仿宋"/>
          <w:bCs/>
          <w:snapToGrid w:val="0"/>
          <w:color w:val="auto"/>
          <w:kern w:val="0"/>
          <w:sz w:val="24"/>
          <w:szCs w:val="22"/>
          <w:highlight w:val="none"/>
          <w:lang w:eastAsia="zh-CN"/>
        </w:rPr>
        <w:t>履约担保的保证范围为承包人按本合同的约定应履行的全部义务，履约保证期间从本合同生效之日起至履约担保退回之日。</w:t>
      </w:r>
    </w:p>
    <w:p w14:paraId="7B227EB3">
      <w:pPr>
        <w:widowControl/>
        <w:numPr>
          <w:ilvl w:val="0"/>
          <w:numId w:val="0"/>
        </w:numPr>
        <w:shd w:val="clear" w:color="auto"/>
        <w:autoSpaceDE/>
        <w:autoSpaceDN/>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.9</w:t>
      </w:r>
      <w:r>
        <w:rPr>
          <w:rFonts w:hint="eastAsia" w:ascii="仿宋" w:hAnsi="仿宋" w:eastAsia="仿宋" w:cs="仿宋"/>
          <w:bCs/>
          <w:snapToGrid w:val="0"/>
          <w:color w:val="auto"/>
          <w:kern w:val="0"/>
          <w:sz w:val="24"/>
          <w:szCs w:val="22"/>
          <w:highlight w:val="none"/>
          <w:lang w:eastAsia="zh-CN"/>
        </w:rPr>
        <w:t>在承包人按照合同要求实施和完成本合同工程之前，履约担保一直有效。如果履约担保因有效期届满，致使履约担保自动失效，而承包人尚未按合同要求实施和完成本合同工程的，承包人应在保函有效期满前3个月无条件办理担保续保，并向发包人提交同样格式且更新日期后的有效担保。否则发包人有权从应付价款中扣除相应金额（中标价的10%），作为履约担保。</w:t>
      </w:r>
    </w:p>
    <w:p w14:paraId="769FE63A">
      <w:pPr>
        <w:widowControl/>
        <w:numPr>
          <w:ilvl w:val="0"/>
          <w:numId w:val="0"/>
        </w:numPr>
        <w:shd w:val="clear" w:color="auto"/>
        <w:spacing w:line="360" w:lineRule="auto"/>
        <w:ind w:firstLine="480" w:firstLineChars="0"/>
        <w:rPr>
          <w:rFonts w:hint="eastAsia" w:ascii="仿宋" w:hAnsi="仿宋" w:eastAsia="仿宋" w:cs="仿宋"/>
          <w:bCs/>
          <w:snapToGrid w:val="0"/>
          <w:color w:val="auto"/>
          <w:kern w:val="0"/>
          <w:sz w:val="24"/>
          <w:szCs w:val="22"/>
          <w:highlight w:val="none"/>
          <w:lang w:eastAsia="zh-CN"/>
        </w:rPr>
      </w:pPr>
      <w:r>
        <w:rPr>
          <w:rFonts w:hint="eastAsia" w:ascii="仿宋" w:hAnsi="仿宋" w:eastAsia="仿宋" w:cs="仿宋"/>
          <w:bCs/>
          <w:snapToGrid w:val="0"/>
          <w:color w:val="auto"/>
          <w:kern w:val="0"/>
          <w:sz w:val="24"/>
          <w:szCs w:val="22"/>
          <w:highlight w:val="none"/>
          <w:lang w:eastAsia="zh-CN"/>
        </w:rPr>
        <w:t>4</w:t>
      </w:r>
      <w:r>
        <w:rPr>
          <w:rFonts w:hint="eastAsia" w:ascii="仿宋" w:hAnsi="仿宋" w:eastAsia="仿宋" w:cs="仿宋"/>
          <w:bCs/>
          <w:snapToGrid w:val="0"/>
          <w:color w:val="auto"/>
          <w:kern w:val="0"/>
          <w:sz w:val="24"/>
          <w:szCs w:val="22"/>
          <w:highlight w:val="none"/>
          <w:lang w:val="en-US" w:eastAsia="zh-CN"/>
        </w:rPr>
        <w:t>.10</w:t>
      </w:r>
      <w:r>
        <w:rPr>
          <w:rFonts w:hint="eastAsia" w:ascii="仿宋" w:hAnsi="仿宋" w:eastAsia="仿宋" w:cs="仿宋"/>
          <w:bCs/>
          <w:snapToGrid w:val="0"/>
          <w:color w:val="auto"/>
          <w:kern w:val="0"/>
          <w:sz w:val="24"/>
          <w:szCs w:val="22"/>
          <w:highlight w:val="none"/>
          <w:lang w:eastAsia="zh-CN"/>
        </w:rPr>
        <w:t>承包人如约履行合同义务和责任的，在竣工验收合格且承包人提交完整符合要求的竣工档案和完整的结算资料后，承包人向发包人提出履约担保退还申请，发包人在收到承包人退保申请后的14天内无息退回履约担保。如承包人违反本合同约定的任何义务，发包人有权根据履约担保申请获得承包人应向发包人支付的违约金或损失赔偿额，如有不足的，承包人应另行承担赔偿责任。</w:t>
      </w:r>
    </w:p>
    <w:p w14:paraId="37CC5FE8">
      <w:pPr>
        <w:numPr>
          <w:ilvl w:val="0"/>
          <w:numId w:val="3"/>
        </w:numPr>
        <w:shd w:val="clear"/>
        <w:tabs>
          <w:tab w:val="left" w:pos="5475"/>
        </w:tabs>
        <w:spacing w:line="360" w:lineRule="auto"/>
        <w:ind w:firstLine="482" w:firstLineChars="200"/>
        <w:jc w:val="left"/>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合同工期</w:t>
      </w:r>
    </w:p>
    <w:p w14:paraId="2D7DDF6F">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lang w:val="en-US" w:eastAsia="zh-CN"/>
        </w:rPr>
        <w:t>5</w:t>
      </w:r>
      <w:r>
        <w:rPr>
          <w:rFonts w:hint="eastAsia" w:ascii="仿宋" w:hAnsi="仿宋" w:eastAsia="仿宋" w:cs="仿宋"/>
          <w:bCs/>
          <w:snapToGrid w:val="0"/>
          <w:color w:val="auto"/>
          <w:kern w:val="0"/>
          <w:sz w:val="24"/>
          <w:szCs w:val="22"/>
          <w:highlight w:val="none"/>
        </w:rPr>
        <w:t>.1工程合同工期总日历天数：总合同工期</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u w:val="single"/>
          <w:lang w:val="en-US" w:eastAsia="zh-CN"/>
        </w:rPr>
        <w:t xml:space="preserve"> 45 </w:t>
      </w:r>
      <w:r>
        <w:rPr>
          <w:rFonts w:hint="eastAsia" w:ascii="仿宋" w:hAnsi="仿宋" w:eastAsia="仿宋" w:cs="仿宋"/>
          <w:bCs/>
          <w:snapToGrid w:val="0"/>
          <w:color w:val="auto"/>
          <w:kern w:val="0"/>
          <w:sz w:val="24"/>
          <w:szCs w:val="22"/>
          <w:highlight w:val="none"/>
        </w:rPr>
        <w:t>日历天，</w:t>
      </w:r>
    </w:p>
    <w:p w14:paraId="2265C8D3">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szCs w:val="22"/>
          <w:highlight w:val="none"/>
          <w:woUserID w:val="1"/>
        </w:rPr>
      </w:pPr>
      <w:r>
        <w:rPr>
          <w:rFonts w:hint="eastAsia" w:ascii="仿宋" w:hAnsi="仿宋" w:eastAsia="仿宋" w:cs="仿宋"/>
          <w:bCs/>
          <w:snapToGrid w:val="0"/>
          <w:color w:val="auto"/>
          <w:kern w:val="0"/>
          <w:sz w:val="24"/>
          <w:szCs w:val="22"/>
          <w:highlight w:val="none"/>
          <w:woUserID w:val="1"/>
        </w:rPr>
        <w:t>合同工期总日历天数与设计、采购、施工等各分项计划开工竣工日期计算的工期天数不一致的，以合同工期总日历天数为准。</w:t>
      </w:r>
    </w:p>
    <w:p w14:paraId="0FD62DC9">
      <w:pPr>
        <w:shd w:val="clear"/>
        <w:adjustRightInd w:val="0"/>
        <w:snapToGrid w:val="0"/>
        <w:spacing w:line="360" w:lineRule="auto"/>
        <w:ind w:right="11" w:firstLine="480" w:firstLineChars="200"/>
        <w:rPr>
          <w:rFonts w:hint="default" w:ascii="仿宋" w:hAnsi="仿宋" w:eastAsia="仿宋" w:cs="仿宋"/>
          <w:bCs/>
          <w:snapToGrid w:val="0"/>
          <w:color w:val="auto"/>
          <w:kern w:val="0"/>
          <w:sz w:val="24"/>
          <w:szCs w:val="22"/>
          <w:highlight w:val="none"/>
          <w:lang w:val="en-US" w:eastAsia="zh-CN"/>
          <w:woUserID w:val="1"/>
        </w:rPr>
      </w:pPr>
      <w:r>
        <w:rPr>
          <w:rFonts w:hint="eastAsia" w:ascii="仿宋" w:hAnsi="仿宋" w:eastAsia="仿宋" w:cs="仿宋"/>
          <w:bCs/>
          <w:snapToGrid w:val="0"/>
          <w:color w:val="auto"/>
          <w:kern w:val="0"/>
          <w:sz w:val="24"/>
          <w:szCs w:val="22"/>
          <w:highlight w:val="none"/>
          <w:lang w:val="en-US" w:eastAsia="zh-CN"/>
          <w:woUserID w:val="1"/>
        </w:rPr>
        <w:t>合同开工日期以监理签发的开工通知为准。</w:t>
      </w:r>
    </w:p>
    <w:p w14:paraId="17FA9BD1">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lang w:val="en-US" w:eastAsia="zh-CN"/>
        </w:rPr>
        <w:t>5</w:t>
      </w:r>
      <w:r>
        <w:rPr>
          <w:rFonts w:hint="eastAsia" w:ascii="仿宋" w:hAnsi="仿宋" w:eastAsia="仿宋" w:cs="仿宋"/>
          <w:bCs/>
          <w:snapToGrid w:val="0"/>
          <w:color w:val="auto"/>
          <w:kern w:val="0"/>
          <w:sz w:val="24"/>
          <w:szCs w:val="22"/>
          <w:highlight w:val="none"/>
        </w:rPr>
        <w:t>.2主要节点工期：</w:t>
      </w:r>
    </w:p>
    <w:p w14:paraId="179B8DF8">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设计节点工期：初步设计评审后</w:t>
      </w:r>
      <w:r>
        <w:rPr>
          <w:rFonts w:hint="eastAsia" w:ascii="仿宋" w:hAnsi="仿宋" w:eastAsia="仿宋" w:cs="仿宋"/>
          <w:bCs/>
          <w:snapToGrid w:val="0"/>
          <w:color w:val="auto"/>
          <w:kern w:val="0"/>
          <w:sz w:val="24"/>
          <w:szCs w:val="22"/>
          <w:highlight w:val="none"/>
          <w:u w:val="single"/>
        </w:rPr>
        <w:t xml:space="preserve">  </w:t>
      </w:r>
      <w:r>
        <w:rPr>
          <w:rFonts w:ascii="仿宋" w:hAnsi="仿宋" w:eastAsia="仿宋" w:cs="仿宋"/>
          <w:bCs/>
          <w:snapToGrid w:val="0"/>
          <w:color w:val="auto"/>
          <w:kern w:val="0"/>
          <w:sz w:val="24"/>
          <w:szCs w:val="22"/>
          <w:highlight w:val="none"/>
          <w:u w:val="single"/>
        </w:rPr>
        <w:t>/</w:t>
      </w:r>
      <w:r>
        <w:rPr>
          <w:rFonts w:hint="eastAsia" w:ascii="仿宋" w:hAnsi="仿宋" w:eastAsia="仿宋" w:cs="仿宋"/>
          <w:bCs/>
          <w:snapToGrid w:val="0"/>
          <w:color w:val="auto"/>
          <w:kern w:val="0"/>
          <w:sz w:val="24"/>
          <w:szCs w:val="22"/>
          <w:highlight w:val="none"/>
          <w:u w:val="single"/>
        </w:rPr>
        <w:t xml:space="preserve"> </w:t>
      </w:r>
      <w:r>
        <w:rPr>
          <w:rFonts w:hint="eastAsia" w:ascii="仿宋" w:hAnsi="仿宋" w:eastAsia="仿宋" w:cs="仿宋"/>
          <w:b/>
          <w:snapToGrid w:val="0"/>
          <w:color w:val="auto"/>
          <w:kern w:val="0"/>
          <w:sz w:val="24"/>
          <w:szCs w:val="22"/>
          <w:highlight w:val="none"/>
          <w:u w:val="single"/>
        </w:rPr>
        <w:t xml:space="preserve"> </w:t>
      </w:r>
      <w:r>
        <w:rPr>
          <w:rFonts w:hint="eastAsia" w:ascii="仿宋" w:hAnsi="仿宋" w:eastAsia="仿宋" w:cs="仿宋"/>
          <w:bCs/>
          <w:snapToGrid w:val="0"/>
          <w:color w:val="auto"/>
          <w:kern w:val="0"/>
          <w:sz w:val="24"/>
          <w:szCs w:val="22"/>
          <w:highlight w:val="none"/>
        </w:rPr>
        <w:t>日历天内提交施工图；</w:t>
      </w:r>
    </w:p>
    <w:p w14:paraId="5129934D">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施工节点工期：开工令发出后</w:t>
      </w:r>
      <w:r>
        <w:rPr>
          <w:rFonts w:hint="eastAsia" w:ascii="仿宋" w:hAnsi="仿宋" w:eastAsia="仿宋" w:cs="仿宋"/>
          <w:bCs/>
          <w:snapToGrid w:val="0"/>
          <w:color w:val="auto"/>
          <w:kern w:val="0"/>
          <w:sz w:val="24"/>
          <w:szCs w:val="22"/>
          <w:highlight w:val="none"/>
          <w:u w:val="single"/>
          <w:lang w:val="en-US" w:eastAsia="zh-CN"/>
        </w:rPr>
        <w:t>45</w:t>
      </w:r>
      <w:r>
        <w:rPr>
          <w:rFonts w:hint="eastAsia" w:ascii="仿宋" w:hAnsi="仿宋" w:eastAsia="仿宋" w:cs="仿宋"/>
          <w:bCs/>
          <w:snapToGrid w:val="0"/>
          <w:color w:val="auto"/>
          <w:kern w:val="0"/>
          <w:sz w:val="24"/>
          <w:szCs w:val="22"/>
          <w:highlight w:val="none"/>
        </w:rPr>
        <w:t>日历天内完成；</w:t>
      </w:r>
    </w:p>
    <w:p w14:paraId="64DEFF7F">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发包人根据工程实际情况，有权对本工程中的关键节点工期进行适当调整，承包人必须在符合施工及安全的前提下采取一切有效措施保证关键节点工期的调整。</w:t>
      </w:r>
    </w:p>
    <w:p w14:paraId="60CC5F19">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承包人必须采取一切有效措施保证竣工日期，不得延误。如因承包人原因未能如期按合同工期完成设计和施工任务，或承包人施工进度滞后、不符合本合同约定的，承包人应承担相应的违约责任。</w:t>
      </w:r>
    </w:p>
    <w:p w14:paraId="38B6B614">
      <w:pPr>
        <w:numPr>
          <w:ilvl w:val="0"/>
          <w:numId w:val="3"/>
        </w:numPr>
        <w:shd w:val="clear"/>
        <w:tabs>
          <w:tab w:val="left" w:pos="5475"/>
        </w:tabs>
        <w:adjustRightInd/>
        <w:snapToGrid/>
        <w:spacing w:line="360" w:lineRule="auto"/>
        <w:ind w:right="0" w:firstLine="482" w:firstLineChars="200"/>
        <w:jc w:val="left"/>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质量标准和目标</w:t>
      </w:r>
    </w:p>
    <w:p w14:paraId="4FAC330C">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6</w:t>
      </w:r>
      <w:r>
        <w:rPr>
          <w:rFonts w:hint="eastAsia" w:ascii="仿宋" w:hAnsi="仿宋" w:eastAsia="仿宋" w:cs="仿宋"/>
          <w:bCs/>
          <w:snapToGrid w:val="0"/>
          <w:color w:val="auto"/>
          <w:kern w:val="0"/>
          <w:sz w:val="24"/>
          <w:highlight w:val="none"/>
        </w:rPr>
        <w:t>.1设计质量标准：符合国家建设工程设计的相关技术规范。</w:t>
      </w:r>
    </w:p>
    <w:p w14:paraId="6A0C583D">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6</w:t>
      </w:r>
      <w:r>
        <w:rPr>
          <w:rFonts w:hint="eastAsia" w:ascii="仿宋" w:hAnsi="仿宋" w:eastAsia="仿宋" w:cs="仿宋"/>
          <w:bCs/>
          <w:snapToGrid w:val="0"/>
          <w:color w:val="auto"/>
          <w:kern w:val="0"/>
          <w:sz w:val="24"/>
          <w:highlight w:val="none"/>
        </w:rPr>
        <w:t>.2工程质量标准：</w:t>
      </w:r>
    </w:p>
    <w:p w14:paraId="406D9DE3">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确保符合《建筑工程施工质量验收统一标准》《建筑装饰装修工程质量验收规范》及相应配套的各专业验收规范，符合国家、行业相关规范规定合格以上标准。</w:t>
      </w:r>
    </w:p>
    <w:p w14:paraId="300D6470">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6</w:t>
      </w:r>
      <w:r>
        <w:rPr>
          <w:rFonts w:hint="eastAsia" w:ascii="仿宋" w:hAnsi="仿宋" w:eastAsia="仿宋" w:cs="仿宋"/>
          <w:bCs/>
          <w:snapToGrid w:val="0"/>
          <w:color w:val="auto"/>
          <w:kern w:val="0"/>
          <w:sz w:val="24"/>
          <w:highlight w:val="none"/>
        </w:rPr>
        <w:t>.3质量目标：</w:t>
      </w:r>
      <w:r>
        <w:rPr>
          <w:rFonts w:hint="eastAsia" w:ascii="仿宋" w:hAnsi="仿宋" w:eastAsia="仿宋" w:cs="仿宋"/>
          <w:bCs/>
          <w:snapToGrid w:val="0"/>
          <w:color w:val="auto"/>
          <w:kern w:val="0"/>
          <w:sz w:val="24"/>
          <w:highlight w:val="none"/>
          <w:u w:val="single"/>
        </w:rPr>
        <w:t>合格</w:t>
      </w:r>
      <w:r>
        <w:rPr>
          <w:rFonts w:hint="eastAsia" w:ascii="仿宋" w:hAnsi="仿宋" w:eastAsia="仿宋" w:cs="仿宋"/>
          <w:bCs/>
          <w:snapToGrid w:val="0"/>
          <w:color w:val="auto"/>
          <w:kern w:val="0"/>
          <w:sz w:val="24"/>
          <w:highlight w:val="none"/>
        </w:rPr>
        <w:t>。</w:t>
      </w:r>
    </w:p>
    <w:p w14:paraId="446A588E">
      <w:pPr>
        <w:numPr>
          <w:ilvl w:val="0"/>
          <w:numId w:val="3"/>
        </w:numPr>
        <w:shd w:val="clear"/>
        <w:tabs>
          <w:tab w:val="left" w:pos="5475"/>
        </w:tabs>
        <w:adjustRightInd/>
        <w:snapToGrid/>
        <w:spacing w:line="360" w:lineRule="auto"/>
        <w:ind w:right="0" w:firstLine="482" w:firstLineChars="200"/>
        <w:jc w:val="left"/>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rPr>
        <w:t>职业健康安全管理目标和环境管理目标</w:t>
      </w:r>
    </w:p>
    <w:p w14:paraId="6D81AE1C">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7</w:t>
      </w:r>
      <w:r>
        <w:rPr>
          <w:rFonts w:hint="eastAsia" w:ascii="仿宋" w:hAnsi="仿宋" w:eastAsia="仿宋" w:cs="仿宋"/>
          <w:bCs/>
          <w:snapToGrid w:val="0"/>
          <w:color w:val="auto"/>
          <w:kern w:val="0"/>
          <w:sz w:val="24"/>
          <w:highlight w:val="none"/>
        </w:rPr>
        <w:t>.1职业健康安全管理目标：</w:t>
      </w:r>
    </w:p>
    <w:p w14:paraId="3DAFC525">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杜绝发生一般事故等级及以上的伤亡事故且工伤责任事故死亡人数为零。</w:t>
      </w:r>
    </w:p>
    <w:p w14:paraId="51D416DE">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lang w:val="en-US" w:eastAsia="zh-CN"/>
        </w:rPr>
        <w:t>7</w:t>
      </w:r>
      <w:r>
        <w:rPr>
          <w:rFonts w:hint="eastAsia" w:ascii="仿宋" w:hAnsi="仿宋" w:eastAsia="仿宋" w:cs="仿宋"/>
          <w:bCs/>
          <w:snapToGrid w:val="0"/>
          <w:color w:val="auto"/>
          <w:kern w:val="0"/>
          <w:sz w:val="24"/>
          <w:highlight w:val="none"/>
        </w:rPr>
        <w:t>.2环境管理目标：严格执行《广州市建设工程现场文明施工管理办法》（2012年1月5日广州市人民政府令第62号公布）《广州市城乡建设委员会关于印发广州市加强建筑工地环保管理工作方案的通知》</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穗建质〔2011〕420号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 xml:space="preserve"> 《广州市提升建设工程安全文明施工管理水平的工作指引》（穗建质〔2017〕815号）《危险性较大的分部分项工程安全管理规定》</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中华人民共和国住房和城乡建设部令第37号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《广州市住房和城乡建设局关于印发加强建设工程安全生产管理落实建设各方主体责任的暂行规定的通知》（穗建规字〔2020〕34号）《广州市建设工程绿色施工围蔽指导图集（V2.0版）》（穗建质〔2020〕1号）和</w:t>
      </w:r>
      <w:r>
        <w:rPr>
          <w:rFonts w:hint="eastAsia" w:ascii="仿宋" w:hAnsi="仿宋" w:eastAsia="仿宋" w:cs="仿宋"/>
          <w:bCs/>
          <w:snapToGrid w:val="0"/>
          <w:color w:val="auto"/>
          <w:kern w:val="0"/>
          <w:sz w:val="24"/>
          <w:szCs w:val="24"/>
          <w:highlight w:val="none"/>
        </w:rPr>
        <w:t>《广州市住房和城乡建设委员会关于印发建设工程扬尘防治“6个100%”管理标准细化措施的通知》（</w:t>
      </w:r>
      <w:r>
        <w:rPr>
          <w:rFonts w:hint="eastAsia" w:ascii="仿宋" w:hAnsi="仿宋" w:eastAsia="仿宋" w:cs="仿宋"/>
          <w:bCs/>
          <w:snapToGrid w:val="0"/>
          <w:color w:val="auto"/>
          <w:kern w:val="0"/>
          <w:sz w:val="24"/>
          <w:highlight w:val="none"/>
        </w:rPr>
        <w:t>穗建质〔2018〕1394号</w:t>
      </w:r>
      <w:r>
        <w:rPr>
          <w:rFonts w:hint="eastAsia" w:ascii="仿宋" w:hAnsi="仿宋" w:eastAsia="仿宋" w:cs="仿宋"/>
          <w:bCs/>
          <w:snapToGrid w:val="0"/>
          <w:color w:val="auto"/>
          <w:kern w:val="0"/>
          <w:sz w:val="24"/>
          <w:szCs w:val="24"/>
          <w:highlight w:val="none"/>
        </w:rPr>
        <w:t>）</w:t>
      </w:r>
      <w:r>
        <w:rPr>
          <w:rFonts w:hint="eastAsia" w:ascii="仿宋" w:hAnsi="仿宋" w:eastAsia="仿宋" w:cs="仿宋"/>
          <w:bCs/>
          <w:snapToGrid w:val="0"/>
          <w:color w:val="auto"/>
          <w:kern w:val="0"/>
          <w:sz w:val="24"/>
          <w:highlight w:val="none"/>
        </w:rPr>
        <w:t>等国家、省、市现行标准、规定和文件要求。</w:t>
      </w:r>
    </w:p>
    <w:p w14:paraId="21AD0D72">
      <w:pPr>
        <w:shd w:val="clear"/>
        <w:ind w:firstLine="480" w:firstLineChars="200"/>
        <w:jc w:val="left"/>
        <w:rPr>
          <w:rFonts w:hint="eastAsia" w:ascii="宋体" w:hAnsi="宋体" w:eastAsia="宋体" w:cs="Times New Roman"/>
          <w:bCs w:val="0"/>
          <w:snapToGrid/>
          <w:color w:val="auto"/>
          <w:kern w:val="2"/>
          <w:sz w:val="24"/>
          <w:szCs w:val="20"/>
          <w:highlight w:val="none"/>
        </w:rPr>
      </w:pPr>
    </w:p>
    <w:p w14:paraId="21FE7EA0">
      <w:pPr>
        <w:shd w:val="clea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8.</w:t>
      </w:r>
      <w:r>
        <w:rPr>
          <w:rFonts w:hint="eastAsia" w:ascii="仿宋" w:hAnsi="仿宋" w:eastAsia="仿宋" w:cs="仿宋"/>
          <w:b/>
          <w:bCs/>
          <w:snapToGrid w:val="0"/>
          <w:color w:val="auto"/>
          <w:kern w:val="0"/>
          <w:sz w:val="24"/>
          <w:highlight w:val="none"/>
        </w:rPr>
        <w:t>组成合同的文件</w:t>
      </w:r>
    </w:p>
    <w:p w14:paraId="7765BFBD">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下列文件应被认为是组成本合同的一部分，并互为补充和解释，如各文件存在冲突之处，以如下排列次序在前者优先适用：</w:t>
      </w:r>
    </w:p>
    <w:p w14:paraId="601C14AF">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（1）本合同履行期间发包人与承包人双方签订的补充合同（协议）或修正文件；</w:t>
      </w:r>
    </w:p>
    <w:p w14:paraId="2732B45E">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（2）合同协议书；</w:t>
      </w:r>
    </w:p>
    <w:p w14:paraId="2EDEC9DB">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（3）中标通知书；</w:t>
      </w:r>
    </w:p>
    <w:p w14:paraId="393AD5E2">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w:t>
      </w:r>
    </w:p>
    <w:p w14:paraId="62ADCAFC">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（5）合同附件[属本条第（1）项的除外]；</w:t>
      </w:r>
    </w:p>
    <w:p w14:paraId="3642C33E">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highlight w:val="none"/>
        </w:rPr>
        <w:t>（6）招标文件[含招标文件补充文件、澄清文件、答疑文件、招标图等</w:t>
      </w:r>
      <w:r>
        <w:rPr>
          <w:rFonts w:hint="eastAsia" w:ascii="仿宋" w:hAnsi="仿宋" w:eastAsia="仿宋" w:cs="仿宋"/>
          <w:bCs/>
          <w:snapToGrid w:val="0"/>
          <w:color w:val="auto"/>
          <w:kern w:val="0"/>
          <w:sz w:val="24"/>
          <w:szCs w:val="22"/>
          <w:highlight w:val="none"/>
        </w:rPr>
        <w:t>]；</w:t>
      </w:r>
    </w:p>
    <w:p w14:paraId="668D11BD">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（7）承包人投标文件及其附件[含投标文件澄清等，属本条第（6）项内容的除外]；</w:t>
      </w:r>
    </w:p>
    <w:p w14:paraId="5D386E97">
      <w:pPr>
        <w:shd w:val="clear"/>
        <w:spacing w:after="156" w:afterLines="50"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bCs/>
          <w:snapToGrid w:val="0"/>
          <w:color w:val="auto"/>
          <w:kern w:val="0"/>
          <w:sz w:val="24"/>
          <w:szCs w:val="22"/>
          <w:highlight w:val="none"/>
        </w:rPr>
        <w:t>（8）</w:t>
      </w:r>
      <w:r>
        <w:rPr>
          <w:rFonts w:hint="eastAsia" w:ascii="仿宋" w:hAnsi="仿宋" w:eastAsia="仿宋" w:cs="仿宋"/>
          <w:color w:val="auto"/>
          <w:sz w:val="24"/>
          <w:highlight w:val="none"/>
        </w:rPr>
        <w:t>经发包人确认的工程量清单；</w:t>
      </w:r>
    </w:p>
    <w:p w14:paraId="5ACDBBDB">
      <w:pPr>
        <w:shd w:val="clear"/>
        <w:adjustRightInd w:val="0"/>
        <w:snapToGrid w:val="0"/>
        <w:spacing w:line="360" w:lineRule="auto"/>
        <w:ind w:right="11"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（9）</w:t>
      </w:r>
      <w:r>
        <w:rPr>
          <w:rFonts w:hint="eastAsia" w:ascii="仿宋" w:hAnsi="仿宋" w:eastAsia="仿宋" w:cs="仿宋"/>
          <w:color w:val="auto"/>
          <w:sz w:val="24"/>
          <w:highlight w:val="none"/>
        </w:rPr>
        <w:t>经发包人批准的设计文件、资料和图纸；</w:t>
      </w:r>
    </w:p>
    <w:p w14:paraId="6887B5DB">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szCs w:val="22"/>
          <w:highlight w:val="none"/>
        </w:rPr>
        <w:t>（10）国</w:t>
      </w:r>
      <w:r>
        <w:rPr>
          <w:rFonts w:hint="eastAsia" w:ascii="仿宋" w:hAnsi="仿宋" w:eastAsia="仿宋" w:cs="仿宋"/>
          <w:bCs/>
          <w:snapToGrid w:val="0"/>
          <w:color w:val="auto"/>
          <w:kern w:val="0"/>
          <w:sz w:val="24"/>
          <w:highlight w:val="none"/>
        </w:rPr>
        <w:t>家及广东省、广州市的标准、规范及有关技术文件；</w:t>
      </w:r>
    </w:p>
    <w:p w14:paraId="2D10958A">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szCs w:val="22"/>
          <w:highlight w:val="none"/>
        </w:rPr>
        <w:t>（11）</w:t>
      </w:r>
      <w:r>
        <w:rPr>
          <w:rFonts w:hint="eastAsia" w:ascii="仿宋" w:hAnsi="仿宋" w:eastAsia="仿宋" w:cs="仿宋"/>
          <w:bCs/>
          <w:snapToGrid w:val="0"/>
          <w:color w:val="auto"/>
          <w:kern w:val="0"/>
          <w:sz w:val="24"/>
          <w:highlight w:val="none"/>
        </w:rPr>
        <w:t>发包人针对本建设项目管理的各项制度、规定。</w:t>
      </w:r>
    </w:p>
    <w:p w14:paraId="603EA484">
      <w:pPr>
        <w:shd w:val="clear"/>
        <w:adjustRightInd w:val="0"/>
        <w:snapToGrid w:val="0"/>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（12）组成合同的其它文件。</w:t>
      </w:r>
    </w:p>
    <w:p w14:paraId="05E4072B">
      <w:pPr>
        <w:shd w:val="clear"/>
        <w:adjustRightInd w:val="0"/>
        <w:snapToGrid w:val="0"/>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上述合同组成部分中图纸与技术标准和要求之间有矛盾或者不一致的，以其中要求较严格的标准为准。</w:t>
      </w:r>
    </w:p>
    <w:p w14:paraId="251C5CA6">
      <w:pPr>
        <w:shd w:val="clear"/>
        <w:adjustRightInd w:val="0"/>
        <w:snapToGrid w:val="0"/>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szCs w:val="22"/>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承包人还不服的，可按合同</w:t>
      </w:r>
      <w:r>
        <w:rPr>
          <w:rFonts w:hint="eastAsia" w:ascii="仿宋" w:hAnsi="仿宋" w:eastAsia="仿宋" w:cs="仿宋"/>
          <w:snapToGrid w:val="0"/>
          <w:color w:val="auto"/>
          <w:kern w:val="0"/>
          <w:sz w:val="24"/>
          <w:szCs w:val="22"/>
          <w:highlight w:val="none"/>
          <w:lang w:val="en-US" w:eastAsia="zh-CN"/>
        </w:rPr>
        <w:t>专用</w:t>
      </w:r>
      <w:r>
        <w:rPr>
          <w:rFonts w:hint="eastAsia" w:ascii="仿宋" w:hAnsi="仿宋" w:eastAsia="仿宋" w:cs="仿宋"/>
          <w:snapToGrid w:val="0"/>
          <w:color w:val="auto"/>
          <w:kern w:val="0"/>
          <w:sz w:val="24"/>
          <w:szCs w:val="22"/>
          <w:highlight w:val="none"/>
        </w:rPr>
        <w:t>条款第4</w:t>
      </w:r>
      <w:r>
        <w:rPr>
          <w:rFonts w:hint="eastAsia" w:ascii="仿宋" w:hAnsi="仿宋" w:eastAsia="仿宋" w:cs="仿宋"/>
          <w:snapToGrid w:val="0"/>
          <w:color w:val="auto"/>
          <w:kern w:val="0"/>
          <w:sz w:val="24"/>
          <w:szCs w:val="22"/>
          <w:highlight w:val="none"/>
          <w:lang w:val="en-US" w:eastAsia="zh-CN"/>
        </w:rPr>
        <w:t>2</w:t>
      </w:r>
      <w:r>
        <w:rPr>
          <w:rFonts w:hint="eastAsia" w:ascii="仿宋" w:hAnsi="仿宋" w:eastAsia="仿宋" w:cs="仿宋"/>
          <w:snapToGrid w:val="0"/>
          <w:color w:val="auto"/>
          <w:kern w:val="0"/>
          <w:sz w:val="24"/>
          <w:szCs w:val="22"/>
          <w:highlight w:val="none"/>
        </w:rPr>
        <w:t>条的约定处理，但在有关部门没有作出正式裁决之前，承包人必须无条件先行执行发包人的决定。</w:t>
      </w:r>
    </w:p>
    <w:p w14:paraId="65862EA8">
      <w:pPr>
        <w:shd w:val="clear"/>
        <w:adjustRightInd w:val="0"/>
        <w:snapToGrid w:val="0"/>
        <w:spacing w:line="360" w:lineRule="auto"/>
        <w:ind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szCs w:val="22"/>
          <w:highlight w:val="none"/>
          <w:lang w:val="en-US" w:eastAsia="zh-CN"/>
        </w:rPr>
        <w:t>9.</w:t>
      </w:r>
      <w:r>
        <w:rPr>
          <w:rFonts w:hint="eastAsia" w:ascii="仿宋" w:hAnsi="仿宋" w:eastAsia="仿宋" w:cs="仿宋"/>
          <w:snapToGrid w:val="0"/>
          <w:color w:val="auto"/>
          <w:kern w:val="0"/>
          <w:sz w:val="24"/>
          <w:szCs w:val="22"/>
          <w:highlight w:val="none"/>
        </w:rPr>
        <w:t>承包人应在收到中标通知书之日起5日内以书面形式向发包人提交其法定代表人、项目经理（项目</w:t>
      </w:r>
      <w:r>
        <w:rPr>
          <w:rFonts w:hint="eastAsia" w:ascii="仿宋" w:hAnsi="仿宋" w:eastAsia="仿宋" w:cs="仿宋"/>
          <w:bCs/>
          <w:snapToGrid w:val="0"/>
          <w:color w:val="auto"/>
          <w:kern w:val="0"/>
          <w:sz w:val="24"/>
          <w:highlight w:val="none"/>
        </w:rPr>
        <w:t>负责人）的姓名、身份证复印件、职务、职称、联系方式（包括办公电话、手机、传真号码）、通信地址等信息作为合同附件。</w:t>
      </w:r>
    </w:p>
    <w:p w14:paraId="7E3DC6C6">
      <w:pPr>
        <w:shd w:val="clea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10.</w:t>
      </w:r>
      <w:r>
        <w:rPr>
          <w:rFonts w:hint="eastAsia" w:ascii="仿宋" w:hAnsi="仿宋" w:eastAsia="仿宋" w:cs="仿宋"/>
          <w:bCs/>
          <w:snapToGrid w:val="0"/>
          <w:color w:val="auto"/>
          <w:kern w:val="0"/>
          <w:sz w:val="24"/>
          <w:highlight w:val="none"/>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w:t>
      </w:r>
    </w:p>
    <w:p w14:paraId="622F2809">
      <w:pPr>
        <w:shd w:val="clea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11.</w:t>
      </w:r>
      <w:r>
        <w:rPr>
          <w:rFonts w:hint="eastAsia" w:ascii="仿宋" w:hAnsi="仿宋" w:eastAsia="仿宋" w:cs="仿宋"/>
          <w:bCs/>
          <w:snapToGrid w:val="0"/>
          <w:color w:val="auto"/>
          <w:kern w:val="0"/>
          <w:sz w:val="24"/>
          <w:highlight w:val="none"/>
        </w:rPr>
        <w:t>在本合同有效期内，承包人更换项目经理（项目负责人）的，除按合同条款的有关约定承担违约责任外，还应在更换后7日内将新项目经理（项目负责人）的姓名、职务、职称、联系电话、通信地址等信息提交给发包人。</w:t>
      </w:r>
    </w:p>
    <w:p w14:paraId="329C437A">
      <w:pPr>
        <w:shd w:val="clea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12.</w:t>
      </w:r>
      <w:r>
        <w:rPr>
          <w:rFonts w:hint="eastAsia" w:ascii="仿宋" w:hAnsi="仿宋" w:eastAsia="仿宋" w:cs="仿宋"/>
          <w:bCs/>
          <w:snapToGrid w:val="0"/>
          <w:color w:val="auto"/>
          <w:sz w:val="24"/>
          <w:highlight w:val="none"/>
        </w:rPr>
        <w:t>承包人为联合体的，联合体主办方</w:t>
      </w:r>
      <w:r>
        <w:rPr>
          <w:rFonts w:hint="eastAsia" w:ascii="仿宋" w:hAnsi="仿宋" w:eastAsia="仿宋" w:cs="仿宋"/>
          <w:bCs/>
          <w:color w:val="auto"/>
          <w:sz w:val="24"/>
          <w:highlight w:val="none"/>
        </w:rPr>
        <w:t>作为本项目总负责单位，对本项目的进度、质量、安全、投资控制、管理、协调等负总责，同时，</w:t>
      </w:r>
      <w:r>
        <w:rPr>
          <w:rFonts w:hint="eastAsia" w:ascii="仿宋" w:hAnsi="仿宋" w:eastAsia="仿宋" w:cs="仿宋"/>
          <w:bCs/>
          <w:snapToGrid w:val="0"/>
          <w:color w:val="auto"/>
          <w:sz w:val="24"/>
          <w:highlight w:val="none"/>
        </w:rPr>
        <w:t>联合体各成员应当共同与发包人签订合同，并就合同项下彼此的责任和义务，包</w:t>
      </w:r>
      <w:r>
        <w:rPr>
          <w:rFonts w:hint="eastAsia" w:ascii="仿宋" w:hAnsi="仿宋" w:eastAsia="仿宋" w:cs="仿宋"/>
          <w:bCs/>
          <w:snapToGrid w:val="0"/>
          <w:color w:val="auto"/>
          <w:sz w:val="24"/>
          <w:highlight w:val="none"/>
          <w:lang w:eastAsia="zh-CN"/>
        </w:rPr>
        <w:t>括但</w:t>
      </w:r>
      <w:r>
        <w:rPr>
          <w:rFonts w:hint="eastAsia" w:ascii="仿宋" w:hAnsi="仿宋" w:eastAsia="仿宋" w:cs="仿宋"/>
          <w:bCs/>
          <w:snapToGrid w:val="0"/>
          <w:color w:val="auto"/>
          <w:sz w:val="24"/>
          <w:highlight w:val="none"/>
        </w:rPr>
        <w:t>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等方面，按照招标文件及合同约定向发包人承担不可撤销的连带责任，联合体各成员中任一成员的行为都视为承包人行为</w:t>
      </w:r>
      <w:r>
        <w:rPr>
          <w:rFonts w:hint="eastAsia" w:ascii="仿宋" w:hAnsi="仿宋" w:eastAsia="仿宋" w:cs="仿宋"/>
          <w:bCs/>
          <w:snapToGrid w:val="0"/>
          <w:color w:val="auto"/>
          <w:sz w:val="24"/>
          <w:highlight w:val="none"/>
          <w:lang w:eastAsia="zh-CN"/>
        </w:rPr>
        <w:t>，</w:t>
      </w:r>
      <w:r>
        <w:rPr>
          <w:rFonts w:hint="eastAsia" w:ascii="仿宋" w:hAnsi="仿宋" w:eastAsia="仿宋" w:cs="仿宋"/>
          <w:bCs/>
          <w:snapToGrid w:val="0"/>
          <w:color w:val="auto"/>
          <w:sz w:val="24"/>
          <w:highlight w:val="none"/>
        </w:rPr>
        <w:t>发包人通知任一联合体成员</w:t>
      </w:r>
      <w:r>
        <w:rPr>
          <w:rFonts w:hint="eastAsia" w:ascii="仿宋" w:hAnsi="仿宋" w:eastAsia="仿宋" w:cs="仿宋"/>
          <w:bCs/>
          <w:snapToGrid w:val="0"/>
          <w:color w:val="auto"/>
          <w:sz w:val="24"/>
          <w:highlight w:val="none"/>
          <w:lang w:eastAsia="zh-CN"/>
        </w:rPr>
        <w:t>，</w:t>
      </w:r>
      <w:r>
        <w:rPr>
          <w:rFonts w:hint="eastAsia" w:ascii="仿宋" w:hAnsi="仿宋" w:eastAsia="仿宋" w:cs="仿宋"/>
          <w:bCs/>
          <w:snapToGrid w:val="0"/>
          <w:color w:val="auto"/>
          <w:sz w:val="24"/>
          <w:highlight w:val="none"/>
        </w:rPr>
        <w:t>视为通知承包人，发包人向任一联合体成员履行合同义务，视为向承包人履行义务。</w:t>
      </w:r>
    </w:p>
    <w:p w14:paraId="75B2D3BE">
      <w:pPr>
        <w:shd w:val="clea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val="en-US" w:eastAsia="zh-CN"/>
        </w:rPr>
        <w:t>13.</w:t>
      </w:r>
      <w:r>
        <w:rPr>
          <w:rFonts w:hint="eastAsia" w:ascii="仿宋" w:hAnsi="仿宋" w:eastAsia="仿宋" w:cs="仿宋"/>
          <w:bCs/>
          <w:snapToGrid w:val="0"/>
          <w:color w:val="auto"/>
          <w:kern w:val="0"/>
          <w:sz w:val="24"/>
          <w:highlight w:val="none"/>
        </w:rPr>
        <w:t>承包人向发包人承诺按照合同约定进行设计、采购、施工、竣工验收、移交、结算、管理及配合服务，并在缺陷责任期及质量保修期内承担工程质量保修责任。</w:t>
      </w:r>
    </w:p>
    <w:p w14:paraId="3CF6D2E5">
      <w:pPr>
        <w:shd w:val="clear"/>
        <w:adjustRightInd w:val="0"/>
        <w:snapToGrid w:val="0"/>
        <w:spacing w:line="360" w:lineRule="auto"/>
        <w:ind w:right="11" w:firstLine="482" w:firstLineChars="200"/>
        <w:rPr>
          <w:rFonts w:ascii="仿宋" w:hAnsi="仿宋" w:eastAsia="仿宋" w:cs="仿宋"/>
          <w:b/>
          <w:snapToGrid w:val="0"/>
          <w:color w:val="auto"/>
          <w:highlight w:val="none"/>
          <w:u w:val="single"/>
        </w:rPr>
      </w:pPr>
      <w:r>
        <w:rPr>
          <w:rFonts w:hint="eastAsia" w:ascii="仿宋" w:hAnsi="仿宋" w:eastAsia="仿宋" w:cs="仿宋"/>
          <w:b/>
          <w:bCs/>
          <w:snapToGrid w:val="0"/>
          <w:color w:val="auto"/>
          <w:kern w:val="0"/>
          <w:sz w:val="24"/>
          <w:highlight w:val="none"/>
          <w:lang w:val="en-US" w:eastAsia="zh-CN"/>
        </w:rPr>
        <w:t>14.</w:t>
      </w:r>
      <w:r>
        <w:rPr>
          <w:rFonts w:hint="eastAsia" w:ascii="仿宋" w:hAnsi="仿宋" w:eastAsia="仿宋" w:cs="仿宋"/>
          <w:bCs/>
          <w:snapToGrid w:val="0"/>
          <w:color w:val="auto"/>
          <w:kern w:val="0"/>
          <w:sz w:val="24"/>
          <w:highlight w:val="none"/>
        </w:rPr>
        <w:t>发包人向承包人承诺按照合同约定的期限和方式支付合同价款及按合同约定应支付的其他款项。</w:t>
      </w:r>
    </w:p>
    <w:p w14:paraId="562E777E">
      <w:pPr>
        <w:shd w:val="clea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sz w:val="24"/>
          <w:szCs w:val="24"/>
          <w:highlight w:val="none"/>
          <w:lang w:val="en-US" w:eastAsia="zh-CN"/>
        </w:rPr>
        <w:t>15.</w:t>
      </w:r>
      <w:r>
        <w:rPr>
          <w:rFonts w:hint="eastAsia" w:ascii="仿宋" w:hAnsi="仿宋" w:eastAsia="仿宋" w:cs="仿宋"/>
          <w:bCs/>
          <w:snapToGrid w:val="0"/>
          <w:color w:val="auto"/>
          <w:sz w:val="24"/>
          <w:szCs w:val="24"/>
          <w:highlight w:val="none"/>
        </w:rPr>
        <w:t>合同协议书中有关词语含义与合同</w:t>
      </w:r>
      <w:r>
        <w:rPr>
          <w:rFonts w:hint="eastAsia" w:ascii="仿宋" w:hAnsi="仿宋" w:eastAsia="仿宋" w:cs="仿宋"/>
          <w:bCs/>
          <w:snapToGrid w:val="0"/>
          <w:color w:val="auto"/>
          <w:sz w:val="24"/>
          <w:szCs w:val="24"/>
          <w:highlight w:val="none"/>
          <w:lang w:val="en-US" w:eastAsia="zh-CN"/>
        </w:rPr>
        <w:t>专用</w:t>
      </w:r>
      <w:r>
        <w:rPr>
          <w:rFonts w:hint="eastAsia" w:ascii="仿宋" w:hAnsi="仿宋" w:eastAsia="仿宋" w:cs="仿宋"/>
          <w:bCs/>
          <w:snapToGrid w:val="0"/>
          <w:color w:val="auto"/>
          <w:sz w:val="24"/>
          <w:szCs w:val="24"/>
          <w:highlight w:val="none"/>
        </w:rPr>
        <w:t>条款中赋予它们的定义相同。</w:t>
      </w:r>
    </w:p>
    <w:p w14:paraId="4A1DA0C9">
      <w:pPr>
        <w:shd w:val="clea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lang w:val="en-US" w:eastAsia="zh-CN"/>
        </w:rPr>
        <w:t>6</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合同生效</w:t>
      </w:r>
    </w:p>
    <w:p w14:paraId="51A6FD30">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本合同自发包人、承包人双方法定代表人签字盖章（公章或合同专用章）之日起生效，委托代理人签字的需经另一方书面同意。本合同有效期至本工程质量保修期满且竣工结算满60日及双方的责任、义务履行完毕时终止。</w:t>
      </w:r>
    </w:p>
    <w:p w14:paraId="00810893">
      <w:pPr>
        <w:shd w:val="clear"/>
        <w:adjustRightInd w:val="0"/>
        <w:snapToGrid w:val="0"/>
        <w:spacing w:line="360" w:lineRule="auto"/>
        <w:ind w:right="11" w:firstLine="482" w:firstLineChars="200"/>
        <w:rPr>
          <w:rFonts w:ascii="仿宋" w:hAnsi="仿宋" w:eastAsia="仿宋" w:cs="仿宋"/>
          <w:b/>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lang w:val="en-US" w:eastAsia="zh-CN"/>
        </w:rPr>
        <w:t>7</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
          <w:bCs/>
          <w:snapToGrid w:val="0"/>
          <w:color w:val="auto"/>
          <w:kern w:val="0"/>
          <w:sz w:val="24"/>
          <w:highlight w:val="none"/>
        </w:rPr>
        <w:t>合同份数</w:t>
      </w:r>
    </w:p>
    <w:p w14:paraId="7A8A3600">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本合同正本一式</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份，发包人一份、承包人各执一份；副本</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份，发包人执</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份，承包人执</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份。合同正、副本具有同等效力，但当合同正本与副本的表述不一致时，以合同正本为准。</w:t>
      </w:r>
    </w:p>
    <w:p w14:paraId="206E5BFB">
      <w:pPr>
        <w:shd w:val="clear"/>
        <w:adjustRightInd w:val="0"/>
        <w:snapToGrid w:val="0"/>
        <w:spacing w:line="360" w:lineRule="auto"/>
        <w:ind w:right="11" w:firstLine="482" w:firstLineChars="200"/>
        <w:rPr>
          <w:rFonts w:ascii="仿宋" w:hAnsi="仿宋" w:eastAsia="仿宋" w:cs="仿宋"/>
          <w:bCs/>
          <w:snapToGrid w:val="0"/>
          <w:color w:val="auto"/>
          <w:kern w:val="0"/>
          <w:sz w:val="24"/>
          <w:highlight w:val="none"/>
        </w:rPr>
      </w:pPr>
      <w:r>
        <w:rPr>
          <w:rFonts w:hint="eastAsia" w:ascii="仿宋" w:hAnsi="仿宋" w:eastAsia="仿宋" w:cs="仿宋"/>
          <w:b/>
          <w:bCs/>
          <w:snapToGrid w:val="0"/>
          <w:color w:val="auto"/>
          <w:kern w:val="0"/>
          <w:sz w:val="24"/>
          <w:highlight w:val="none"/>
          <w:lang w:eastAsia="zh-CN"/>
        </w:rPr>
        <w:t>1</w:t>
      </w:r>
      <w:r>
        <w:rPr>
          <w:rFonts w:hint="eastAsia" w:ascii="仿宋" w:hAnsi="仿宋" w:eastAsia="仿宋" w:cs="仿宋"/>
          <w:b/>
          <w:bCs/>
          <w:snapToGrid w:val="0"/>
          <w:color w:val="auto"/>
          <w:kern w:val="0"/>
          <w:sz w:val="24"/>
          <w:highlight w:val="none"/>
          <w:lang w:val="en-US" w:eastAsia="zh-CN"/>
        </w:rPr>
        <w:t>8</w:t>
      </w:r>
      <w:r>
        <w:rPr>
          <w:rFonts w:hint="eastAsia" w:ascii="仿宋" w:hAnsi="仿宋" w:eastAsia="仿宋" w:cs="仿宋"/>
          <w:b/>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双方确认本合同约定的地址、邮政编码是真实有效的，如任何一方有变更，则在变更之日起10日内以书面方式通知另一方，如发包方或承包方按上述地址以邮寄方式送达文件资料的，则寄出之日（以收件单位签收或印鉴为准）起第五日视为对方已收到文件资料，即使邮件被以拒收或此地址无效等理由退回，均视为寄出方的文件资料已送达对方。</w:t>
      </w:r>
    </w:p>
    <w:p w14:paraId="3332ADB7">
      <w:pPr>
        <w:shd w:val="clear"/>
        <w:adjustRightInd w:val="0"/>
        <w:snapToGrid w:val="0"/>
        <w:spacing w:line="360" w:lineRule="auto"/>
        <w:ind w:right="11" w:firstLine="480" w:firstLineChars="200"/>
        <w:rPr>
          <w:rFonts w:hint="eastAsia"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承包方的各单位之间组成联合体，发包方对任一承包方单位送达的通知，视为对承包方全体已送达。</w:t>
      </w:r>
    </w:p>
    <w:p w14:paraId="2EAEBEE3">
      <w:pPr>
        <w:pStyle w:val="3"/>
        <w:shd w:val="clear"/>
        <w:rPr>
          <w:rFonts w:hint="eastAsia" w:ascii="仿宋" w:hAnsi="仿宋" w:eastAsia="仿宋" w:cs="仿宋"/>
          <w:b w:val="0"/>
          <w:snapToGrid w:val="0"/>
          <w:color w:val="auto"/>
          <w:kern w:val="0"/>
          <w:sz w:val="24"/>
          <w:szCs w:val="20"/>
          <w:highlight w:val="none"/>
          <w:lang w:eastAsia="zh-CN"/>
        </w:rPr>
      </w:pPr>
      <w:r>
        <w:rPr>
          <w:rFonts w:hint="eastAsia" w:ascii="仿宋" w:hAnsi="仿宋" w:eastAsia="仿宋" w:cs="仿宋"/>
          <w:b w:val="0"/>
          <w:snapToGrid w:val="0"/>
          <w:color w:val="auto"/>
          <w:kern w:val="0"/>
          <w:sz w:val="24"/>
          <w:szCs w:val="20"/>
          <w:highlight w:val="none"/>
          <w:lang w:eastAsia="zh-CN"/>
        </w:rPr>
        <w:t>（</w:t>
      </w:r>
      <w:r>
        <w:rPr>
          <w:rFonts w:hint="eastAsia" w:ascii="仿宋" w:hAnsi="仿宋" w:eastAsia="仿宋" w:cs="仿宋"/>
          <w:b w:val="0"/>
          <w:snapToGrid w:val="0"/>
          <w:color w:val="auto"/>
          <w:kern w:val="0"/>
          <w:sz w:val="24"/>
          <w:szCs w:val="20"/>
          <w:highlight w:val="none"/>
          <w:lang w:val="en-US" w:eastAsia="zh-CN"/>
        </w:rPr>
        <w:t>以下无正文</w:t>
      </w:r>
      <w:r>
        <w:rPr>
          <w:rFonts w:hint="eastAsia" w:ascii="仿宋" w:hAnsi="仿宋" w:eastAsia="仿宋" w:cs="仿宋"/>
          <w:b w:val="0"/>
          <w:snapToGrid w:val="0"/>
          <w:color w:val="auto"/>
          <w:kern w:val="0"/>
          <w:sz w:val="24"/>
          <w:szCs w:val="20"/>
          <w:highlight w:val="none"/>
          <w:lang w:eastAsia="zh-CN"/>
        </w:rPr>
        <w:t>）</w:t>
      </w:r>
    </w:p>
    <w:p w14:paraId="0CA9140C">
      <w:pPr>
        <w:shd w:val="clea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41749CB2">
      <w:pPr>
        <w:shd w:val="clea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本页为签署页</w:t>
      </w:r>
      <w:r>
        <w:rPr>
          <w:rFonts w:hint="eastAsia" w:ascii="仿宋" w:hAnsi="仿宋" w:eastAsia="仿宋" w:cs="仿宋"/>
          <w:sz w:val="24"/>
          <w:szCs w:val="24"/>
          <w:highlight w:val="none"/>
          <w:lang w:eastAsia="zh-CN"/>
        </w:rPr>
        <w:t>）</w:t>
      </w:r>
    </w:p>
    <w:p w14:paraId="2DC4D109">
      <w:pPr>
        <w:shd w:val="clear"/>
        <w:rPr>
          <w:rFonts w:hint="eastAsia" w:ascii="仿宋" w:hAnsi="仿宋" w:eastAsia="仿宋" w:cs="仿宋"/>
          <w:sz w:val="24"/>
          <w:szCs w:val="24"/>
          <w:highlight w:val="none"/>
          <w:lang w:eastAsia="zh-CN"/>
        </w:rPr>
      </w:pPr>
    </w:p>
    <w:p w14:paraId="32A0E835">
      <w:pPr>
        <w:shd w:val="clear"/>
        <w:rPr>
          <w:rFonts w:hint="eastAsia" w:ascii="仿宋" w:hAnsi="仿宋" w:eastAsia="仿宋" w:cs="仿宋"/>
          <w:sz w:val="24"/>
          <w:szCs w:val="24"/>
          <w:highlight w:val="none"/>
          <w:lang w:eastAsia="zh-CN"/>
        </w:rPr>
      </w:pPr>
    </w:p>
    <w:p w14:paraId="577398A9">
      <w:pPr>
        <w:shd w:val="clear"/>
        <w:adjustRightInd w:val="0"/>
        <w:snapToGrid w:val="0"/>
        <w:spacing w:line="360" w:lineRule="auto"/>
        <w:ind w:right="11"/>
        <w:rPr>
          <w:rFonts w:hint="eastAsia" w:ascii="仿宋" w:hAnsi="仿宋" w:eastAsia="仿宋" w:cs="仿宋"/>
          <w:color w:val="auto"/>
          <w:sz w:val="24"/>
          <w:highlight w:val="none"/>
          <w:lang w:eastAsia="zh-CN"/>
        </w:rPr>
      </w:pPr>
      <w:r>
        <w:rPr>
          <w:rFonts w:hint="eastAsia" w:ascii="仿宋" w:hAnsi="仿宋" w:eastAsia="仿宋" w:cs="仿宋"/>
          <w:snapToGrid w:val="0"/>
          <w:color w:val="auto"/>
          <w:spacing w:val="-20"/>
          <w:kern w:val="0"/>
          <w:sz w:val="24"/>
          <w:highlight w:val="none"/>
        </w:rPr>
        <w:t>发包人：</w:t>
      </w:r>
      <w:r>
        <w:rPr>
          <w:rFonts w:hint="eastAsia" w:ascii="仿宋" w:hAnsi="仿宋" w:eastAsia="仿宋" w:cs="仿宋"/>
          <w:snapToGrid w:val="0"/>
          <w:color w:val="auto"/>
          <w:spacing w:val="0"/>
          <w:kern w:val="0"/>
          <w:sz w:val="24"/>
          <w:highlight w:val="none"/>
        </w:rPr>
        <w:t>广州白云湖投资发展有限公司</w:t>
      </w:r>
      <w:r>
        <w:rPr>
          <w:rFonts w:hint="eastAsia" w:ascii="仿宋" w:hAnsi="仿宋" w:eastAsia="仿宋" w:cs="仿宋"/>
          <w:color w:val="auto"/>
          <w:sz w:val="24"/>
          <w:highlight w:val="none"/>
          <w:lang w:val="en-US" w:eastAsia="zh-CN"/>
        </w:rPr>
        <w:t xml:space="preserve"> </w:t>
      </w:r>
    </w:p>
    <w:p w14:paraId="7AA01B1D">
      <w:pPr>
        <w:shd w:val="clea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法定代表人：                           </w:t>
      </w:r>
    </w:p>
    <w:p w14:paraId="240E75F9">
      <w:pPr>
        <w:shd w:val="clear"/>
        <w:tabs>
          <w:tab w:val="left" w:pos="5460"/>
        </w:tabs>
        <w:adjustRightInd w:val="0"/>
        <w:snapToGrid w:val="0"/>
        <w:spacing w:line="360" w:lineRule="auto"/>
        <w:ind w:left="-2" w:leftChars="-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委托代理人：                           </w:t>
      </w:r>
    </w:p>
    <w:p w14:paraId="32A796F2">
      <w:pPr>
        <w:shd w:val="clea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地址：广州市白云区白云湖街道夏花一路176号云湖商会A栋2层207室     </w:t>
      </w:r>
    </w:p>
    <w:p w14:paraId="0E11DB03">
      <w:pPr>
        <w:shd w:val="clea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邮政编码</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 xml:space="preserve">                       </w:t>
      </w:r>
    </w:p>
    <w:p w14:paraId="78698F5E">
      <w:pPr>
        <w:shd w:val="clear"/>
        <w:adjustRightInd w:val="0"/>
        <w:snapToGrid w:val="0"/>
        <w:spacing w:line="360" w:lineRule="auto"/>
        <w:ind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电话：  </w:t>
      </w:r>
      <w:r>
        <w:rPr>
          <w:rFonts w:hint="eastAsia" w:ascii="仿宋" w:hAnsi="仿宋" w:eastAsia="仿宋" w:cs="仿宋"/>
          <w:snapToGrid w:val="0"/>
          <w:color w:val="auto"/>
          <w:kern w:val="0"/>
          <w:sz w:val="24"/>
          <w:highlight w:val="none"/>
          <w:lang w:val="en-US" w:eastAsia="zh-CN"/>
        </w:rPr>
        <w:t>/</w:t>
      </w:r>
      <w:r>
        <w:rPr>
          <w:rFonts w:hint="eastAsia" w:ascii="仿宋" w:hAnsi="仿宋" w:eastAsia="仿宋" w:cs="仿宋"/>
          <w:snapToGrid w:val="0"/>
          <w:color w:val="auto"/>
          <w:kern w:val="0"/>
          <w:sz w:val="24"/>
          <w:highlight w:val="none"/>
        </w:rPr>
        <w:t xml:space="preserve">              </w:t>
      </w:r>
    </w:p>
    <w:p w14:paraId="28828FA3">
      <w:pPr>
        <w:shd w:val="clear"/>
        <w:tabs>
          <w:tab w:val="left" w:pos="5460"/>
        </w:tabs>
        <w:adjustRightInd w:val="0"/>
        <w:snapToGrid w:val="0"/>
        <w:spacing w:line="360" w:lineRule="auto"/>
        <w:ind w:left="-2" w:leftChars="-1" w:right="11"/>
        <w:rPr>
          <w:highlight w:val="none"/>
        </w:rPr>
      </w:pPr>
      <w:r>
        <w:rPr>
          <w:rFonts w:hint="eastAsia" w:ascii="仿宋" w:hAnsi="仿宋" w:eastAsia="仿宋" w:cs="仿宋"/>
          <w:snapToGrid w:val="0"/>
          <w:color w:val="auto"/>
          <w:kern w:val="0"/>
          <w:sz w:val="24"/>
          <w:highlight w:val="none"/>
        </w:rPr>
        <w:t xml:space="preserve">签订时间： 年   月   日               </w:t>
      </w:r>
    </w:p>
    <w:p w14:paraId="0E96ACD6">
      <w:pPr>
        <w:shd w:val="clear"/>
        <w:tabs>
          <w:tab w:val="left" w:pos="5103"/>
        </w:tabs>
        <w:adjustRightInd w:val="0"/>
        <w:snapToGrid w:val="0"/>
        <w:spacing w:line="360" w:lineRule="auto"/>
        <w:ind w:left="2400" w:right="11" w:hanging="2400" w:hangingChars="1000"/>
        <w:jc w:val="left"/>
        <w:rPr>
          <w:rFonts w:hint="eastAsia" w:ascii="仿宋" w:hAnsi="仿宋" w:eastAsia="仿宋" w:cs="仿宋"/>
          <w:snapToGrid w:val="0"/>
          <w:color w:val="auto"/>
          <w:kern w:val="0"/>
          <w:sz w:val="24"/>
          <w:highlight w:val="none"/>
        </w:rPr>
      </w:pPr>
    </w:p>
    <w:p w14:paraId="32EF0C8A">
      <w:pPr>
        <w:shd w:val="clear"/>
        <w:tabs>
          <w:tab w:val="left" w:pos="5103"/>
        </w:tabs>
        <w:adjustRightInd w:val="0"/>
        <w:snapToGrid w:val="0"/>
        <w:spacing w:line="360" w:lineRule="auto"/>
        <w:ind w:left="2400" w:right="11" w:hanging="2400" w:hangingChars="1000"/>
        <w:jc w:val="left"/>
        <w:rPr>
          <w:rFonts w:hint="eastAsia" w:ascii="仿宋" w:hAnsi="仿宋" w:eastAsia="仿宋" w:cs="仿宋"/>
          <w:snapToGrid w:val="0"/>
          <w:color w:val="auto"/>
          <w:kern w:val="0"/>
          <w:sz w:val="24"/>
          <w:highlight w:val="none"/>
        </w:rPr>
      </w:pPr>
    </w:p>
    <w:p w14:paraId="41BA5594">
      <w:pPr>
        <w:shd w:val="clear"/>
        <w:tabs>
          <w:tab w:val="left" w:pos="5103"/>
        </w:tabs>
        <w:adjustRightInd w:val="0"/>
        <w:snapToGrid w:val="0"/>
        <w:spacing w:line="360" w:lineRule="auto"/>
        <w:ind w:left="2400" w:right="11" w:hanging="2400" w:hangingChars="10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承包人：                </w:t>
      </w:r>
    </w:p>
    <w:p w14:paraId="5F42B1D5">
      <w:pPr>
        <w:shd w:val="clear"/>
        <w:tabs>
          <w:tab w:val="center" w:pos="4535"/>
        </w:tabs>
        <w:adjustRightInd w:val="0"/>
        <w:snapToGrid w:val="0"/>
        <w:spacing w:line="360" w:lineRule="auto"/>
        <w:ind w:right="11"/>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法定代表人：</w:t>
      </w:r>
      <w:r>
        <w:rPr>
          <w:rFonts w:hint="eastAsia" w:ascii="仿宋" w:hAnsi="仿宋" w:eastAsia="仿宋" w:cs="仿宋"/>
          <w:snapToGrid w:val="0"/>
          <w:color w:val="auto"/>
          <w:kern w:val="0"/>
          <w:sz w:val="24"/>
          <w:highlight w:val="none"/>
        </w:rPr>
        <w:tab/>
      </w:r>
    </w:p>
    <w:p w14:paraId="56F50995">
      <w:pPr>
        <w:shd w:val="clear"/>
        <w:tabs>
          <w:tab w:val="left" w:pos="5460"/>
        </w:tabs>
        <w:adjustRightInd w:val="0"/>
        <w:snapToGrid w:val="0"/>
        <w:spacing w:line="360" w:lineRule="auto"/>
        <w:ind w:right="11"/>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委托代理人：                         </w:t>
      </w:r>
    </w:p>
    <w:p w14:paraId="6224FB55">
      <w:pPr>
        <w:shd w:val="clear"/>
        <w:tabs>
          <w:tab w:val="center" w:pos="4535"/>
        </w:tabs>
        <w:adjustRightInd w:val="0"/>
        <w:snapToGrid w:val="0"/>
        <w:spacing w:line="360" w:lineRule="auto"/>
        <w:ind w:right="11"/>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地址：                                </w:t>
      </w:r>
    </w:p>
    <w:p w14:paraId="16C16DC2">
      <w:pPr>
        <w:shd w:val="clear"/>
        <w:tabs>
          <w:tab w:val="center" w:pos="4535"/>
        </w:tabs>
        <w:adjustRightInd w:val="0"/>
        <w:snapToGrid w:val="0"/>
        <w:spacing w:line="360" w:lineRule="auto"/>
        <w:ind w:right="11"/>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邮政编码：                           </w:t>
      </w:r>
    </w:p>
    <w:p w14:paraId="67F6FAC3">
      <w:pPr>
        <w:shd w:val="clear"/>
        <w:tabs>
          <w:tab w:val="left" w:pos="5460"/>
        </w:tabs>
        <w:adjustRightInd w:val="0"/>
        <w:snapToGrid w:val="0"/>
        <w:spacing w:line="360" w:lineRule="auto"/>
        <w:ind w:right="11" w:firstLine="0" w:firstLineChars="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签订时间：  年  月  日               </w:t>
      </w:r>
    </w:p>
    <w:p w14:paraId="1B562259">
      <w:pPr>
        <w:shd w:val="clear"/>
        <w:adjustRightInd w:val="0"/>
        <w:snapToGrid w:val="0"/>
        <w:spacing w:line="360" w:lineRule="auto"/>
        <w:ind w:right="11" w:firstLine="0" w:firstLineChars="0"/>
        <w:rPr>
          <w:rFonts w:hint="default" w:ascii="仿宋" w:hAnsi="仿宋" w:eastAsia="仿宋" w:cs="仿宋"/>
          <w:snapToGrid w:val="0"/>
          <w:color w:val="auto"/>
          <w:kern w:val="0"/>
          <w:sz w:val="24"/>
          <w:highlight w:val="none"/>
          <w:lang w:val="en-US" w:eastAsia="zh-CN"/>
        </w:rPr>
      </w:pPr>
      <w:r>
        <w:rPr>
          <w:rFonts w:hint="eastAsia" w:ascii="仿宋" w:hAnsi="仿宋" w:eastAsia="仿宋" w:cs="仿宋"/>
          <w:snapToGrid w:val="0"/>
          <w:color w:val="auto"/>
          <w:kern w:val="0"/>
          <w:sz w:val="24"/>
          <w:highlight w:val="none"/>
        </w:rPr>
        <w:t>合同订立地点： 广州</w:t>
      </w:r>
      <w:r>
        <w:rPr>
          <w:rFonts w:hint="eastAsia" w:ascii="仿宋" w:hAnsi="仿宋" w:eastAsia="仿宋" w:cs="仿宋"/>
          <w:snapToGrid w:val="0"/>
          <w:color w:val="auto"/>
          <w:kern w:val="0"/>
          <w:sz w:val="24"/>
          <w:highlight w:val="none"/>
          <w:lang w:val="en-US" w:eastAsia="zh-CN"/>
        </w:rPr>
        <w:t>市白云区</w:t>
      </w:r>
    </w:p>
    <w:p w14:paraId="45B8AC8A">
      <w:pPr>
        <w:shd w:val="clear"/>
        <w:adjustRightInd w:val="0"/>
        <w:snapToGrid w:val="0"/>
        <w:spacing w:line="360" w:lineRule="auto"/>
        <w:ind w:right="11"/>
        <w:rPr>
          <w:rFonts w:ascii="仿宋" w:hAnsi="仿宋" w:eastAsia="仿宋" w:cs="仿宋"/>
          <w:b/>
          <w:bCs/>
          <w:color w:val="auto"/>
          <w:highlight w:val="none"/>
          <w:u w:val="single"/>
        </w:rPr>
      </w:pPr>
    </w:p>
    <w:p w14:paraId="6C363952">
      <w:pPr>
        <w:shd w:val="clear"/>
        <w:adjustRightInd w:val="0"/>
        <w:snapToGrid w:val="0"/>
        <w:spacing w:line="360" w:lineRule="auto"/>
        <w:ind w:right="11" w:firstLine="480"/>
        <w:rPr>
          <w:rFonts w:ascii="仿宋" w:hAnsi="仿宋" w:eastAsia="仿宋" w:cs="仿宋"/>
          <w:bCs/>
          <w:snapToGrid w:val="0"/>
          <w:color w:val="auto"/>
          <w:kern w:val="0"/>
          <w:sz w:val="24"/>
          <w:highlight w:val="none"/>
        </w:rPr>
        <w:sectPr>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4B73D529">
      <w:pPr>
        <w:shd w:val="clear"/>
        <w:tabs>
          <w:tab w:val="left" w:pos="5460"/>
        </w:tabs>
        <w:adjustRightInd w:val="0"/>
        <w:snapToGrid w:val="0"/>
        <w:spacing w:line="360" w:lineRule="auto"/>
        <w:ind w:left="-2" w:leftChars="-1" w:right="11"/>
        <w:jc w:val="center"/>
        <w:outlineLvl w:val="0"/>
        <w:rPr>
          <w:rFonts w:ascii="仿宋" w:hAnsi="仿宋" w:eastAsia="仿宋" w:cs="仿宋"/>
          <w:b/>
          <w:bCs/>
          <w:snapToGrid w:val="0"/>
          <w:color w:val="auto"/>
          <w:kern w:val="0"/>
          <w:sz w:val="44"/>
          <w:szCs w:val="44"/>
          <w:highlight w:val="none"/>
        </w:rPr>
      </w:pPr>
      <w:bookmarkStart w:id="6" w:name="_Toc2784852"/>
      <w:bookmarkStart w:id="7" w:name="_Toc504465874"/>
      <w:bookmarkStart w:id="8" w:name="_Toc115711031"/>
      <w:bookmarkStart w:id="9" w:name="_Toc502215471"/>
      <w:bookmarkStart w:id="10" w:name="_Toc122759216"/>
      <w:bookmarkStart w:id="11" w:name="_Toc12320"/>
      <w:bookmarkStart w:id="12" w:name="_Toc83377240"/>
      <w:r>
        <w:rPr>
          <w:rFonts w:hint="eastAsia" w:ascii="仿宋" w:hAnsi="仿宋" w:eastAsia="仿宋" w:cs="仿宋"/>
          <w:b/>
          <w:bCs/>
          <w:snapToGrid w:val="0"/>
          <w:color w:val="auto"/>
          <w:kern w:val="0"/>
          <w:sz w:val="44"/>
          <w:szCs w:val="44"/>
          <w:highlight w:val="none"/>
        </w:rPr>
        <w:t>第二篇  合同</w:t>
      </w:r>
      <w:r>
        <w:rPr>
          <w:rFonts w:hint="eastAsia" w:ascii="仿宋" w:hAnsi="仿宋" w:eastAsia="仿宋" w:cs="仿宋"/>
          <w:b/>
          <w:bCs/>
          <w:snapToGrid w:val="0"/>
          <w:color w:val="auto"/>
          <w:kern w:val="0"/>
          <w:sz w:val="44"/>
          <w:szCs w:val="44"/>
          <w:highlight w:val="none"/>
          <w:lang w:val="en-US" w:eastAsia="zh-CN"/>
        </w:rPr>
        <w:t>专用</w:t>
      </w:r>
      <w:r>
        <w:rPr>
          <w:rFonts w:hint="eastAsia" w:ascii="仿宋" w:hAnsi="仿宋" w:eastAsia="仿宋" w:cs="仿宋"/>
          <w:b/>
          <w:bCs/>
          <w:snapToGrid w:val="0"/>
          <w:color w:val="auto"/>
          <w:kern w:val="0"/>
          <w:sz w:val="44"/>
          <w:szCs w:val="44"/>
          <w:highlight w:val="none"/>
        </w:rPr>
        <w:t>条款</w:t>
      </w:r>
      <w:bookmarkEnd w:id="6"/>
      <w:bookmarkEnd w:id="7"/>
      <w:bookmarkEnd w:id="8"/>
      <w:bookmarkEnd w:id="9"/>
      <w:bookmarkEnd w:id="10"/>
      <w:bookmarkEnd w:id="11"/>
      <w:bookmarkEnd w:id="12"/>
    </w:p>
    <w:p w14:paraId="3701523B">
      <w:pPr>
        <w:shd w:val="clear"/>
        <w:adjustRightInd w:val="0"/>
        <w:snapToGrid w:val="0"/>
        <w:spacing w:line="360" w:lineRule="auto"/>
        <w:jc w:val="center"/>
        <w:outlineLvl w:val="1"/>
        <w:rPr>
          <w:rFonts w:ascii="仿宋" w:hAnsi="仿宋" w:eastAsia="仿宋" w:cs="仿宋"/>
          <w:b/>
          <w:snapToGrid w:val="0"/>
          <w:color w:val="auto"/>
          <w:kern w:val="0"/>
          <w:sz w:val="28"/>
          <w:szCs w:val="28"/>
          <w:highlight w:val="none"/>
        </w:rPr>
      </w:pPr>
      <w:bookmarkStart w:id="13" w:name="_Toc504465875"/>
      <w:bookmarkStart w:id="14" w:name="_Toc2784853"/>
      <w:bookmarkStart w:id="15" w:name="_Toc83377241"/>
      <w:bookmarkStart w:id="16" w:name="_Toc502215472"/>
      <w:bookmarkStart w:id="17" w:name="_Toc28097"/>
      <w:r>
        <w:rPr>
          <w:rFonts w:hint="eastAsia" w:ascii="仿宋" w:hAnsi="仿宋" w:eastAsia="仿宋" w:cs="仿宋"/>
          <w:b/>
          <w:snapToGrid w:val="0"/>
          <w:color w:val="auto"/>
          <w:kern w:val="0"/>
          <w:sz w:val="28"/>
          <w:szCs w:val="28"/>
          <w:highlight w:val="none"/>
        </w:rPr>
        <w:t>总  则</w:t>
      </w:r>
      <w:bookmarkEnd w:id="13"/>
      <w:bookmarkEnd w:id="14"/>
      <w:bookmarkEnd w:id="15"/>
      <w:bookmarkEnd w:id="16"/>
      <w:bookmarkEnd w:id="17"/>
    </w:p>
    <w:p w14:paraId="1E6B6CE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1.</w:t>
      </w:r>
      <w:r>
        <w:rPr>
          <w:rFonts w:hint="eastAsia" w:ascii="仿宋" w:hAnsi="仿宋" w:eastAsia="仿宋" w:cs="仿宋"/>
          <w:snapToGrid w:val="0"/>
          <w:color w:val="auto"/>
          <w:kern w:val="0"/>
          <w:sz w:val="24"/>
          <w:highlight w:val="none"/>
        </w:rPr>
        <w:t>本工程将实行社会化、专业化的管理模式。发包人将授权监理单位依据有关法律法规、规范和合同，充分行使其严格控制工程进度、质量、安全、投资以及合同、信息管理和协调处理现场有关工程问题的权力。</w:t>
      </w:r>
    </w:p>
    <w:p w14:paraId="1FE7FDA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2.</w:t>
      </w:r>
      <w:r>
        <w:rPr>
          <w:rFonts w:hint="eastAsia" w:ascii="仿宋" w:hAnsi="仿宋" w:eastAsia="仿宋" w:cs="仿宋"/>
          <w:snapToGrid w:val="0"/>
          <w:color w:val="auto"/>
          <w:kern w:val="0"/>
          <w:sz w:val="24"/>
          <w:highlight w:val="none"/>
        </w:rPr>
        <w:t>发包人通过监理单位下达指令，监督承包人履约行为，承包人所有请求事项由监理单位协调并一般均由监理单位接受或提出处理意见（发包人有特别要求和规定的除外）。</w:t>
      </w:r>
    </w:p>
    <w:p w14:paraId="4BF9235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3.</w:t>
      </w:r>
      <w:r>
        <w:rPr>
          <w:rFonts w:hint="eastAsia" w:ascii="仿宋" w:hAnsi="仿宋" w:eastAsia="仿宋" w:cs="仿宋"/>
          <w:snapToGrid w:val="0"/>
          <w:color w:val="auto"/>
          <w:kern w:val="0"/>
          <w:sz w:val="24"/>
          <w:highlight w:val="none"/>
        </w:rPr>
        <w:t>发包人根据工程推进实际情况，有权要求承包人的法定代表人或总经理必须常驻施工现场，协调各种事项。</w:t>
      </w:r>
    </w:p>
    <w:p w14:paraId="65C01A6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4.</w:t>
      </w:r>
      <w:r>
        <w:rPr>
          <w:rFonts w:hint="eastAsia" w:ascii="仿宋" w:hAnsi="仿宋" w:eastAsia="仿宋" w:cs="仿宋"/>
          <w:snapToGrid w:val="0"/>
          <w:color w:val="auto"/>
          <w:kern w:val="0"/>
          <w:sz w:val="24"/>
          <w:highlight w:val="none"/>
        </w:rPr>
        <w:t>为保证本建设项目建设有序、规范和顺利进行，承包人必须主动支持发包人工作，对发包人的指令和书面通知，若无正当理由又未提前报告、得到认可，而公开或变相拒不执行的，应按合同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.2.3（12）款的约定承担违约责任并赔偿由此造成发包人的一切经济损失。</w:t>
      </w:r>
    </w:p>
    <w:p w14:paraId="0D0FFD3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5.</w:t>
      </w:r>
      <w:r>
        <w:rPr>
          <w:rFonts w:hint="eastAsia" w:ascii="仿宋" w:hAnsi="仿宋" w:eastAsia="仿宋" w:cs="仿宋"/>
          <w:snapToGrid w:val="0"/>
          <w:color w:val="auto"/>
          <w:kern w:val="0"/>
          <w:sz w:val="24"/>
          <w:highlight w:val="none"/>
        </w:rPr>
        <w:t>承包人承诺遵守发包人所制订的针对本建设项目管理的各项制度、规定，这些管理制度、规定必须符合下列原则：</w:t>
      </w:r>
    </w:p>
    <w:p w14:paraId="147E54D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（1）符合国家、广东省、广州市的有关法律法规、规范和标准；</w:t>
      </w:r>
    </w:p>
    <w:p w14:paraId="079720B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（2）符合对本工程进行有效管理的基本精神和要求；</w:t>
      </w:r>
    </w:p>
    <w:p w14:paraId="6FA9129E">
      <w:pPr>
        <w:shd w:val="clear"/>
        <w:adjustRightInd w:val="0"/>
        <w:snapToGrid w:val="0"/>
        <w:spacing w:line="360" w:lineRule="auto"/>
        <w:ind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（3）为确保工程质量、进度、安全文明施工管理所</w:t>
      </w:r>
      <w:r>
        <w:rPr>
          <w:rFonts w:hint="eastAsia" w:ascii="仿宋" w:hAnsi="仿宋" w:eastAsia="仿宋" w:cs="仿宋"/>
          <w:snapToGrid w:val="0"/>
          <w:color w:val="auto"/>
          <w:kern w:val="0"/>
          <w:sz w:val="24"/>
          <w:highlight w:val="none"/>
          <w:lang w:eastAsia="zh-CN"/>
        </w:rPr>
        <w:t>必需</w:t>
      </w:r>
      <w:r>
        <w:rPr>
          <w:rFonts w:hint="eastAsia" w:ascii="仿宋" w:hAnsi="仿宋" w:eastAsia="仿宋" w:cs="仿宋"/>
          <w:snapToGrid w:val="0"/>
          <w:color w:val="auto"/>
          <w:kern w:val="0"/>
          <w:sz w:val="24"/>
          <w:highlight w:val="none"/>
        </w:rPr>
        <w:t>；</w:t>
      </w:r>
    </w:p>
    <w:p w14:paraId="365958A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（4）不是针对某一特定的承包人。</w:t>
      </w:r>
    </w:p>
    <w:p w14:paraId="10A45827">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p>
    <w:p w14:paraId="21F47FD4">
      <w:pPr>
        <w:pStyle w:val="13"/>
        <w:shd w:val="clear"/>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18" w:name="_Toc2784854"/>
      <w:bookmarkStart w:id="19" w:name="_Toc3237"/>
      <w:bookmarkStart w:id="20" w:name="_Toc504465876"/>
      <w:bookmarkStart w:id="21" w:name="_Toc83377242"/>
      <w:bookmarkStart w:id="22" w:name="_Toc502215473"/>
      <w:r>
        <w:rPr>
          <w:rFonts w:hint="eastAsia" w:ascii="仿宋" w:hAnsi="仿宋" w:eastAsia="仿宋" w:cs="仿宋"/>
          <w:b/>
          <w:snapToGrid w:val="0"/>
          <w:color w:val="auto"/>
          <w:sz w:val="28"/>
          <w:szCs w:val="28"/>
          <w:highlight w:val="none"/>
        </w:rPr>
        <w:t>一、词语定义及合同文件</w:t>
      </w:r>
      <w:bookmarkEnd w:id="18"/>
      <w:bookmarkEnd w:id="19"/>
      <w:bookmarkEnd w:id="20"/>
      <w:bookmarkEnd w:id="21"/>
      <w:bookmarkEnd w:id="22"/>
    </w:p>
    <w:p w14:paraId="6883AAE0">
      <w:pPr>
        <w:numPr>
          <w:ilvl w:val="0"/>
          <w:numId w:val="4"/>
        </w:num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3" w:name="_Toc504735606"/>
      <w:bookmarkStart w:id="24" w:name="_Toc504465877"/>
      <w:bookmarkStart w:id="25" w:name="_Toc19923"/>
      <w:bookmarkStart w:id="26" w:name="_Toc502215474"/>
      <w:bookmarkStart w:id="27" w:name="_Toc2784855"/>
      <w:bookmarkStart w:id="28" w:name="_Toc83377243"/>
      <w:r>
        <w:rPr>
          <w:rFonts w:hint="eastAsia" w:ascii="仿宋" w:hAnsi="仿宋" w:eastAsia="仿宋" w:cs="仿宋"/>
          <w:b/>
          <w:snapToGrid w:val="0"/>
          <w:color w:val="auto"/>
          <w:kern w:val="0"/>
          <w:sz w:val="24"/>
          <w:highlight w:val="none"/>
        </w:rPr>
        <w:t>词语定义</w:t>
      </w:r>
      <w:bookmarkEnd w:id="23"/>
      <w:bookmarkEnd w:id="24"/>
      <w:bookmarkEnd w:id="25"/>
      <w:bookmarkEnd w:id="26"/>
      <w:bookmarkEnd w:id="27"/>
      <w:bookmarkEnd w:id="28"/>
    </w:p>
    <w:p w14:paraId="616CF95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下列词语除合同另有约定外，应具有本条所赋予的定义：</w:t>
      </w:r>
    </w:p>
    <w:p w14:paraId="11B8E4B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1.1工程：指发包人、承包人在合同协议书中约定的承包范围内的工程。</w:t>
      </w:r>
    </w:p>
    <w:p w14:paraId="0F3CC5F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1.2发包人：指在合同协议书中约定，具有工程发包主体资格和支付工程价款能力的当事人以及取得该当事人资格的合法继承人。</w:t>
      </w:r>
    </w:p>
    <w:p w14:paraId="3E470FC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（1）发包人：在本合同中特指</w:t>
      </w:r>
      <w:r>
        <w:rPr>
          <w:rFonts w:hint="eastAsia" w:ascii="仿宋" w:hAnsi="仿宋" w:eastAsia="仿宋" w:cs="仿宋"/>
          <w:snapToGrid w:val="0"/>
          <w:color w:val="auto"/>
          <w:kern w:val="0"/>
          <w:sz w:val="24"/>
          <w:szCs w:val="21"/>
          <w:highlight w:val="none"/>
        </w:rPr>
        <w:t>广州白云湖投资发展有限公司</w:t>
      </w:r>
      <w:r>
        <w:rPr>
          <w:rFonts w:hint="eastAsia" w:ascii="仿宋" w:hAnsi="仿宋" w:eastAsia="仿宋" w:cs="仿宋"/>
          <w:snapToGrid w:val="0"/>
          <w:color w:val="auto"/>
          <w:kern w:val="0"/>
          <w:sz w:val="24"/>
          <w:highlight w:val="none"/>
        </w:rPr>
        <w:t>。</w:t>
      </w:r>
    </w:p>
    <w:p w14:paraId="169F851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（2）合法继承人：指工程竣工验收合格后，发包人将工程移交给其承接使用的产权管理单位。在继承生效后，合法继承人享有发包人在本合同中的一切权利及承担相应的义务。</w:t>
      </w:r>
    </w:p>
    <w:p w14:paraId="1502DBC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1.3承包人：指在合同协议书中约定，被发包人接受的具有工程设计、施工承包主体资格的当事人以及取得该当事人资格的合法继承人。</w:t>
      </w:r>
    </w:p>
    <w:p w14:paraId="5332091A">
      <w:pPr>
        <w:shd w:val="clear"/>
        <w:adjustRightInd w:val="0"/>
        <w:snapToGrid w:val="0"/>
        <w:spacing w:line="360" w:lineRule="auto"/>
        <w:ind w:firstLine="480" w:firstLineChars="200"/>
        <w:rPr>
          <w:rFonts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施工单位：在本合同中特指</w:t>
      </w:r>
      <w:r>
        <w:rPr>
          <w:rFonts w:hint="eastAsia" w:ascii="仿宋" w:hAnsi="仿宋" w:eastAsia="仿宋" w:cs="仿宋"/>
          <w:snapToGrid w:val="0"/>
          <w:color w:val="auto"/>
          <w:kern w:val="0"/>
          <w:sz w:val="24"/>
          <w:highlight w:val="none"/>
          <w:u w:val="single"/>
          <w:lang w:eastAsia="zh-CN"/>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lang w:eastAsia="zh"/>
          <w:woUserID w:val="2"/>
        </w:rPr>
        <w:t xml:space="preserve"> </w:t>
      </w:r>
      <w:r>
        <w:rPr>
          <w:rFonts w:hint="eastAsia" w:ascii="仿宋" w:hAnsi="仿宋" w:eastAsia="仿宋" w:cs="仿宋"/>
          <w:snapToGrid w:val="0"/>
          <w:color w:val="auto"/>
          <w:kern w:val="0"/>
          <w:sz w:val="24"/>
          <w:highlight w:val="none"/>
        </w:rPr>
        <w:t>。</w:t>
      </w:r>
    </w:p>
    <w:p w14:paraId="212DA6F2">
      <w:pPr>
        <w:pStyle w:val="21"/>
        <w:shd w:val="clear"/>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设计单位：在本合同中特指</w:t>
      </w:r>
      <w:r>
        <w:rPr>
          <w:rFonts w:hint="eastAsia" w:ascii="仿宋" w:hAnsi="仿宋" w:eastAsia="仿宋" w:cs="仿宋"/>
          <w:snapToGrid w:val="0"/>
          <w:color w:val="auto"/>
          <w:sz w:val="24"/>
          <w:highlight w:val="none"/>
          <w:u w:val="single"/>
          <w:lang w:val="en-US" w:eastAsia="zh-CN"/>
        </w:rPr>
        <w:t xml:space="preserve">               </w:t>
      </w:r>
      <w:r>
        <w:rPr>
          <w:rFonts w:hint="eastAsia" w:ascii="仿宋" w:hAnsi="仿宋" w:eastAsia="仿宋" w:cs="仿宋"/>
          <w:snapToGrid w:val="0"/>
          <w:color w:val="auto"/>
          <w:sz w:val="24"/>
          <w:highlight w:val="none"/>
        </w:rPr>
        <w:t xml:space="preserve">。        </w:t>
      </w:r>
    </w:p>
    <w:p w14:paraId="36661B8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1.4项目经理（项目负责人）：指承包人在合同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条款中指定的负责工程设计、施工管理和合同履行的代表。</w:t>
      </w:r>
    </w:p>
    <w:p w14:paraId="654D4F5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1.5监理人和监理单位：</w:t>
      </w:r>
    </w:p>
    <w:p w14:paraId="225D8090">
      <w:pPr>
        <w:shd w:val="clea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kern w:val="0"/>
          <w:sz w:val="24"/>
          <w:highlight w:val="none"/>
        </w:rPr>
        <w:t>监理人</w:t>
      </w:r>
      <w:r>
        <w:rPr>
          <w:rFonts w:hint="eastAsia" w:ascii="仿宋" w:hAnsi="仿宋" w:eastAsia="仿宋" w:cs="仿宋"/>
          <w:snapToGrid w:val="0"/>
          <w:color w:val="auto"/>
          <w:sz w:val="24"/>
          <w:highlight w:val="none"/>
        </w:rPr>
        <w:t>是指在专用合同条款中指明的，受发包人委托按照法律规定进行工程监督管理的法人或其他组织。</w:t>
      </w:r>
    </w:p>
    <w:p w14:paraId="5D543C83">
      <w:pPr>
        <w:shd w:val="clea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kern w:val="0"/>
          <w:sz w:val="24"/>
          <w:highlight w:val="none"/>
        </w:rPr>
        <w:t>监理单位：指发包人委托的负责本工程监理并取得相应工程监理资质等级证书的单位。</w:t>
      </w:r>
    </w:p>
    <w:p w14:paraId="07AD1B1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本合同的监理单位：                   。</w:t>
      </w:r>
    </w:p>
    <w:p w14:paraId="06A4EF7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1.6本工程的施工图审查单位是</w:t>
      </w:r>
      <w:r>
        <w:rPr>
          <w:rFonts w:hint="eastAsia" w:ascii="仿宋" w:hAnsi="仿宋" w:eastAsia="仿宋" w:cs="仿宋"/>
          <w:snapToGrid w:val="0"/>
          <w:color w:val="auto"/>
          <w:kern w:val="0"/>
          <w:sz w:val="24"/>
          <w:highlight w:val="none"/>
          <w:lang w:eastAsia="zh-CN"/>
        </w:rPr>
        <w:t>：</w:t>
      </w:r>
    </w:p>
    <w:p w14:paraId="1E3C7EA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1.7总监理工程师：指本工程监理单位委派的总监理工程师，其具体身份和职权由发包人、承包人在合同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条款中约定。</w:t>
      </w:r>
    </w:p>
    <w:p w14:paraId="1D00A15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1.8合同价款：指发包人、承包人在合同中约定，发包人用以支付承包人按照合同约定完成承包范围内全部工程并承担缺陷修复责任及质量保修责任的款项。</w:t>
      </w:r>
    </w:p>
    <w:p w14:paraId="1A32062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1.9追加合同价款：指在合同履行中发生需要增加合同价款的情况，经发包人确认后按计算合同价款的方法增加的合同价款。</w:t>
      </w:r>
    </w:p>
    <w:p w14:paraId="3E1AA25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1.10费用：指不包含在合同价款之内的应当由发包人或承包人承担的经济支出。</w:t>
      </w:r>
    </w:p>
    <w:p w14:paraId="333CE50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1.11工期：指发包人、承包人在合同协议书中约定，按总日历天数（包括法定节假日）计算的承包天数。</w:t>
      </w:r>
    </w:p>
    <w:p w14:paraId="0EF9F110">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1.12节点工期：指在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1CA2860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1.13开始工作日期：指发包人、承包人在合同协议书中约定，承包人开始工作的绝对或相对的日期。</w:t>
      </w:r>
    </w:p>
    <w:p w14:paraId="47A0737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1.14竣工日期：指发包人、承包人在合同协议书中约定，承包人完成承包范围内工程的绝对或相对的日期。</w:t>
      </w:r>
    </w:p>
    <w:p w14:paraId="4171BB6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1.15设计成果文件：指由承包人提交，能满足投资与质量控制要求和作为下阶段设计依据或能指导施工实施的设计图纸、文件、计算书及说明书（含设计变更）、效果图、政府报批所需的模型及存有AutoCAD 2004软件生成的电子格式文件的光盘、工程概算、配合发包人招标工作而提供的技术规格书等技术资料。</w:t>
      </w:r>
    </w:p>
    <w:p w14:paraId="34547A5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1.16设计完整性：指承包人每批次交付的设计文件是合同及附件中约定的全部文件，并保证与提交人自己保留的该部分文件完全一致。</w:t>
      </w:r>
    </w:p>
    <w:p w14:paraId="21CCC59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1.17设计有效性：指设计成果文件符合合同约定并符合现行相关规范和标准规定的要求。</w:t>
      </w:r>
    </w:p>
    <w:p w14:paraId="4CEEB91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1.18设计正确性：指设计成果文件均符合本合同的有关约定，同时保证设计输入的基础资料完整、正确，设计方法、计算方法与结果、技术参数的选用正确、合理，构造合理，图面表达清楚、文字叙述准确，各专业设计协调统一。</w:t>
      </w:r>
    </w:p>
    <w:p w14:paraId="0ED4139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1.19设计经济合理性：指设计成果文件是在符合有效性要求的基础上，采用方案经济比选、价值工程等评价手段，经过发包人组织的评审产生确定的。</w:t>
      </w:r>
    </w:p>
    <w:p w14:paraId="0A0E283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1.20设计可靠性：指根据设计成果文件明示的条件情况投入的设备，所采用的工艺、工法满足技术控制指标要求，之后所形成的已完工程及投入使用的系统、生产工艺满足合同约定且能够在设计年限内充分、正常地实现其设计功能。 </w:t>
      </w:r>
    </w:p>
    <w:p w14:paraId="49B5AC0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1.21设计先进性：指设计成果文件采用国内先进和适用的施工方案、技术、工艺、工法、设备。</w:t>
      </w:r>
    </w:p>
    <w:p w14:paraId="343524BF">
      <w:pPr>
        <w:shd w:val="clear"/>
        <w:adjustRightInd w:val="0"/>
        <w:snapToGrid w:val="0"/>
        <w:spacing w:line="360" w:lineRule="auto"/>
        <w:ind w:firstLine="480" w:firstLineChars="200"/>
        <w:rPr>
          <w:rFonts w:ascii="仿宋" w:hAnsi="仿宋" w:eastAsia="仿宋" w:cs="仿宋"/>
          <w:bCs/>
          <w:color w:val="auto"/>
          <w:sz w:val="20"/>
          <w:highlight w:val="none"/>
        </w:rPr>
      </w:pPr>
      <w:r>
        <w:rPr>
          <w:rFonts w:hint="eastAsia" w:ascii="仿宋" w:hAnsi="仿宋" w:eastAsia="仿宋" w:cs="仿宋"/>
          <w:snapToGrid w:val="0"/>
          <w:color w:val="auto"/>
          <w:kern w:val="0"/>
          <w:sz w:val="24"/>
          <w:highlight w:val="none"/>
        </w:rPr>
        <w:t>1.22设计清晰：是指每次交付的设计成果文件中的图样、线条、术语、符号、尺寸标准、文字说明等清楚准确。</w:t>
      </w:r>
    </w:p>
    <w:p w14:paraId="1B7A7752">
      <w:pPr>
        <w:pStyle w:val="19"/>
        <w:shd w:val="clear"/>
        <w:adjustRightInd w:val="0"/>
        <w:snapToGrid w:val="0"/>
        <w:spacing w:line="360" w:lineRule="auto"/>
        <w:ind w:firstLine="480" w:firstLineChars="200"/>
        <w:rPr>
          <w:rFonts w:ascii="仿宋" w:hAnsi="仿宋" w:eastAsia="仿宋" w:cs="仿宋"/>
          <w:snapToGrid w:val="0"/>
          <w:color w:val="auto"/>
          <w:highlight w:val="none"/>
        </w:rPr>
      </w:pPr>
      <w:r>
        <w:rPr>
          <w:rFonts w:hint="eastAsia" w:ascii="仿宋" w:hAnsi="仿宋" w:eastAsia="仿宋" w:cs="仿宋"/>
          <w:snapToGrid w:val="0"/>
          <w:color w:val="auto"/>
          <w:highlight w:val="none"/>
        </w:rPr>
        <w:t>1.23设计事故：指因承包人不履行或不完全履行合同约定的设计义务或履行的设计义务不符合合同约定，对本合同项目造成极其严重恶劣影响的行为。</w:t>
      </w:r>
    </w:p>
    <w:p w14:paraId="4531F1B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1.24施工场地：指由发包人提供的用于工程施工的场所以及发包人在图纸中具体指定的供施工使用的任何</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场所。</w:t>
      </w:r>
    </w:p>
    <w:p w14:paraId="79C291D8">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1.25违约责任：指合同任何一方不履行或不完全履行合同约定的义务或者履行义务不符合合同约定所应承担的责任。</w:t>
      </w:r>
    </w:p>
    <w:p w14:paraId="4D9F6CB0">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（1）一般违约责任：指虽然违反本合同的约定，但其违约行为不对本合同的履行造成严重影响而应承担的责任。</w:t>
      </w:r>
    </w:p>
    <w:p w14:paraId="5A612F44">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（2）严重违约责任：指违反本合同的约定且其违约行为足以对本合同的履行造成严重或实质性的影响而应承担的责任。</w:t>
      </w:r>
    </w:p>
    <w:p w14:paraId="48A4279D">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1.26安全事故等级[《安全生产事故报告和调查处理条例》]：</w:t>
      </w:r>
    </w:p>
    <w:p w14:paraId="0E35A5D9">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（1）特别重大事故，是指造成30人以</w:t>
      </w:r>
      <w:bookmarkStart w:id="29" w:name="修改1"/>
      <w:bookmarkEnd w:id="29"/>
      <w:r>
        <w:rPr>
          <w:rFonts w:hint="eastAsia" w:ascii="仿宋" w:hAnsi="仿宋" w:eastAsia="仿宋" w:cs="仿宋"/>
          <w:bCs/>
          <w:snapToGrid w:val="0"/>
          <w:color w:val="auto"/>
          <w:kern w:val="0"/>
          <w:sz w:val="24"/>
          <w:highlight w:val="none"/>
        </w:rPr>
        <w:t>上死亡，或者100人以上重伤（包括急性工业中毒，下同），或者1亿元以上直接经济损失的事故；</w:t>
      </w:r>
    </w:p>
    <w:p w14:paraId="3D3F4BF6">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（2）重大事故，是指造成10人以上30人以下死亡，或者50人以上100人以下重伤，或者5000万元以上1亿元以下直接经济损失的事故；</w:t>
      </w:r>
    </w:p>
    <w:p w14:paraId="44606C6C">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（3）较大事故，是指造成3人以上10人以下死亡，或者10人以上50人以下重伤，或者1000万元以上5000万元以下直接经济损失的事故；</w:t>
      </w:r>
    </w:p>
    <w:p w14:paraId="5F7B4697">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（4）一般事故，是指造成3人以下死亡，或者10人以下重伤，或者1000万元以下直接经济损失的事故。</w:t>
      </w:r>
    </w:p>
    <w:p w14:paraId="5076434C">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上述所称的“以上”包括本数，所称的“以下”不包括本数。</w:t>
      </w:r>
    </w:p>
    <w:p w14:paraId="6AAE178C">
      <w:pPr>
        <w:shd w:val="clea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snapToGrid w:val="0"/>
          <w:color w:val="auto"/>
          <w:kern w:val="0"/>
          <w:sz w:val="24"/>
          <w:highlight w:val="none"/>
        </w:rPr>
        <w:t>1.27质量事故等级[</w:t>
      </w:r>
      <w:r>
        <w:rPr>
          <w:rFonts w:hint="eastAsia" w:ascii="仿宋" w:hAnsi="仿宋" w:eastAsia="仿宋" w:cs="仿宋"/>
          <w:color w:val="auto"/>
          <w:sz w:val="24"/>
          <w:szCs w:val="24"/>
          <w:highlight w:val="none"/>
        </w:rPr>
        <w:t>《安全生产事故报告和调查处理条例》《关于做好房屋建筑和市政基础设施工程质量事故报告和调查处理工作的通知》（建质〔2010〕111号）]：</w:t>
      </w:r>
    </w:p>
    <w:p w14:paraId="60621CCC">
      <w:pPr>
        <w:shd w:val="clea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根据工程质量事故造成的人员伤亡或者直接经济损失，工程质量事故分为4个等级：</w:t>
      </w:r>
    </w:p>
    <w:p w14:paraId="030B7B83">
      <w:pPr>
        <w:shd w:val="clear"/>
        <w:adjustRightInd w:val="0"/>
        <w:snapToGrid w:val="0"/>
        <w:spacing w:line="360" w:lineRule="auto"/>
        <w:ind w:firstLine="360" w:firstLineChars="15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（1）特别重大事故，是指造成30人以上死亡，或者100人以上重伤（包括急性工业中毒，下同），或者1亿元以上直接经济损失的事故；</w:t>
      </w:r>
    </w:p>
    <w:p w14:paraId="36C3F246">
      <w:pPr>
        <w:shd w:val="clear"/>
        <w:adjustRightInd w:val="0"/>
        <w:snapToGrid w:val="0"/>
        <w:spacing w:line="360" w:lineRule="auto"/>
        <w:ind w:firstLine="360" w:firstLineChars="15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（2）重大事故，是指造成10人以上30人以下死亡，或者50人以上100人以下重伤，或者5000万元以上1亿元以下直接经济损失的事故；</w:t>
      </w:r>
    </w:p>
    <w:p w14:paraId="52F2E8BE">
      <w:pPr>
        <w:shd w:val="clear"/>
        <w:adjustRightInd w:val="0"/>
        <w:snapToGrid w:val="0"/>
        <w:spacing w:line="360" w:lineRule="auto"/>
        <w:ind w:firstLine="360" w:firstLineChars="15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（3）较大事故，是指造成3人以上10人以下死亡，或者10人以上50人以下重伤，或者1000万元以上5000万元以下直接经济损失的事故；</w:t>
      </w:r>
    </w:p>
    <w:p w14:paraId="00AF79CF">
      <w:pPr>
        <w:shd w:val="clear"/>
        <w:adjustRightInd w:val="0"/>
        <w:snapToGrid w:val="0"/>
        <w:spacing w:line="360" w:lineRule="auto"/>
        <w:ind w:firstLine="360" w:firstLineChars="15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highlight w:val="none"/>
        </w:rPr>
        <w:t>（4）一般事故，是指造成3人以下死亡，或者10人以下重伤，</w:t>
      </w:r>
      <w:r>
        <w:rPr>
          <w:rFonts w:hint="eastAsia" w:ascii="仿宋" w:hAnsi="仿宋" w:eastAsia="仿宋" w:cs="仿宋"/>
          <w:bCs/>
          <w:snapToGrid w:val="0"/>
          <w:color w:val="auto"/>
          <w:kern w:val="0"/>
          <w:sz w:val="24"/>
          <w:szCs w:val="22"/>
          <w:highlight w:val="none"/>
        </w:rPr>
        <w:t>或者100万元以上1000万元以下直接经济损失的事故。</w:t>
      </w:r>
    </w:p>
    <w:p w14:paraId="5C964E24">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本等级划分所称的“以上”包括本数，所称的“以下”不包括本数。</w:t>
      </w:r>
    </w:p>
    <w:p w14:paraId="2319256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1.28“综合单价（合价）包干项目</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分部分项工程量清单计价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措施项目清单计价</w:t>
      </w:r>
      <w:r>
        <w:rPr>
          <w:rFonts w:hint="eastAsia" w:ascii="仿宋" w:hAnsi="仿宋" w:eastAsia="仿宋" w:cs="仿宋"/>
          <w:bCs/>
          <w:snapToGrid w:val="0"/>
          <w:color w:val="auto"/>
          <w:kern w:val="0"/>
          <w:sz w:val="24"/>
          <w:highlight w:val="none"/>
          <w:lang w:eastAsia="zh-CN"/>
        </w:rPr>
        <w:t>”“其他</w:t>
      </w:r>
      <w:r>
        <w:rPr>
          <w:rFonts w:hint="eastAsia" w:ascii="仿宋" w:hAnsi="仿宋" w:eastAsia="仿宋" w:cs="仿宋"/>
          <w:bCs/>
          <w:snapToGrid w:val="0"/>
          <w:color w:val="auto"/>
          <w:kern w:val="0"/>
          <w:sz w:val="24"/>
          <w:highlight w:val="none"/>
        </w:rPr>
        <w:t>项目清单计价</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绿色施工安全防护措施费”等费用项目词语定义以招标文件解释的内容为准。</w:t>
      </w:r>
    </w:p>
    <w:p w14:paraId="4B4587F6">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1.29元：指人民币元。</w:t>
      </w:r>
    </w:p>
    <w:p w14:paraId="29B55BB7">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1.30变更工程和新增工程：按合同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条款第34、35、36条所定义的工程变更执行。</w:t>
      </w:r>
    </w:p>
    <w:p w14:paraId="16DAD56B">
      <w:pPr>
        <w:shd w:val="clear"/>
        <w:tabs>
          <w:tab w:val="left" w:pos="6663"/>
        </w:tabs>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1.31乙供材料设备：属承包人采购材料设备范围，是指由承包人根据招标文件和合同约定自行采购并支付货款的材料设备。</w:t>
      </w:r>
    </w:p>
    <w:p w14:paraId="5F46F683">
      <w:pPr>
        <w:shd w:val="clear"/>
        <w:tabs>
          <w:tab w:val="left" w:pos="6663"/>
        </w:tabs>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1.32工程造价管理部门：指国务院有关部门、县级以上人民政府建设行政主管部门或其委托的工程造价管理机构。</w:t>
      </w:r>
    </w:p>
    <w:p w14:paraId="0288CFCF">
      <w:pPr>
        <w:shd w:val="clear"/>
        <w:tabs>
          <w:tab w:val="left" w:pos="6663"/>
        </w:tabs>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1.33索赔：指在合同履行过程中，对于并非自己的过错，而是应由对方承担责任的情况造成的实际损失，向对方提出经济补偿和（或）工期顺延的要求。</w:t>
      </w:r>
    </w:p>
    <w:p w14:paraId="75438A7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1.34不可抗力：指不能预见、不能避免并不能克服的客观情况。</w:t>
      </w:r>
    </w:p>
    <w:p w14:paraId="771E112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1.35小时或天：本合同中规定按小时计算时间的，从事件有效开始时计算（不扣除休息时间）；规定按天计算时间的，开始当天不计入，从次日开始计算。时限的最后一天是休息日或者</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法定节假日的，以节假日次日为时限的最后一天，但竣工日期除外。时限的最后一天的截止时间为当日24时。</w:t>
      </w:r>
    </w:p>
    <w:p w14:paraId="0F94D4A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1.36书面形式：指合同书、信件和数据电文（包括电报、电传、传真、电子数据交换和电子邮件）等可以有形地表现所载内容的形式。</w:t>
      </w:r>
    </w:p>
    <w:p w14:paraId="2C22A70C">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1.37通知：指合同中所提及的各方之间传达意思表示的方式，包括但不限于申请、报告、同意、答复、批准、指令、证书、决定等。除合同有特别约定外，只有采用书面形式的通知才有效。</w:t>
      </w:r>
    </w:p>
    <w:p w14:paraId="0084488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1.38中国或国家：指中华人民共和国。</w:t>
      </w:r>
    </w:p>
    <w:p w14:paraId="25B27E9F">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1.39</w:t>
      </w:r>
      <w:r>
        <w:rPr>
          <w:rFonts w:hint="eastAsia" w:ascii="仿宋" w:hAnsi="仿宋" w:eastAsia="仿宋" w:cs="仿宋"/>
          <w:bCs/>
          <w:snapToGrid w:val="0"/>
          <w:color w:val="auto"/>
          <w:kern w:val="0"/>
          <w:sz w:val="24"/>
          <w:highlight w:val="none"/>
        </w:rPr>
        <w:t>国内：指中华人民共和国大陆境内。</w:t>
      </w:r>
    </w:p>
    <w:p w14:paraId="7985831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1.40单项工程：指具备独立施工条件并能形成独立使用功能的建筑物及构筑物。</w:t>
      </w:r>
    </w:p>
    <w:p w14:paraId="1E8B7FB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1.41单位工程：指一个独立建筑物或构筑物中的每个专业工程，如：建筑工程、土建工程、安装工程等。</w:t>
      </w:r>
    </w:p>
    <w:p w14:paraId="399966B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1.42缺陷责任期：是指承包人按照合同约定承担缺陷修复义务，且发包人预留质量保证金的期限。本工程缺陷责任期为</w:t>
      </w:r>
      <w:r>
        <w:rPr>
          <w:rFonts w:hint="eastAsia" w:ascii="仿宋" w:hAnsi="仿宋" w:eastAsia="仿宋" w:cs="仿宋"/>
          <w:snapToGrid w:val="0"/>
          <w:color w:val="auto"/>
          <w:kern w:val="0"/>
          <w:sz w:val="24"/>
          <w:highlight w:val="none"/>
          <w:lang w:val="en-US" w:eastAsia="zh-CN"/>
        </w:rPr>
        <w:t>24</w:t>
      </w:r>
      <w:r>
        <w:rPr>
          <w:rFonts w:hint="eastAsia" w:ascii="仿宋" w:hAnsi="仿宋" w:eastAsia="仿宋" w:cs="仿宋"/>
          <w:snapToGrid w:val="0"/>
          <w:color w:val="auto"/>
          <w:kern w:val="0"/>
          <w:sz w:val="24"/>
          <w:highlight w:val="none"/>
        </w:rPr>
        <w:t>个月，自工程竣工验收合格之日起计算。</w:t>
      </w:r>
    </w:p>
    <w:p w14:paraId="5A999E6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单位工程先于全部工程进行验收，经验收合格并交付使用的，该单位工程缺陷责任期自单位工程验收合格之日起算。</w:t>
      </w:r>
    </w:p>
    <w:p w14:paraId="38FF4E1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1.43质量保证金：是指发包人与承包人在本合同中约定，从应付的工程款中预留，用以保证承包人在缺陷责任期内对建设工程出现的缺陷进行维修的资金。</w:t>
      </w:r>
    </w:p>
    <w:p w14:paraId="6DB6234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szCs w:val="22"/>
          <w:highlight w:val="none"/>
        </w:rPr>
        <w:t>1.44工程保险：指建筑工程一切险、安装工程一切险（为合同工程办理）、第三者责任险（为第三者办理）及其他保险（为运至施工场地内用于永久工程材料和待安装工程设备办理）。保险期从办理保险之日起至工程竣工验收合格之日止。</w:t>
      </w:r>
    </w:p>
    <w:p w14:paraId="33DDDD70">
      <w:pPr>
        <w:numPr>
          <w:ilvl w:val="0"/>
          <w:numId w:val="4"/>
        </w:num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30" w:name="_Toc504735607"/>
      <w:bookmarkStart w:id="31" w:name="_Toc2784856"/>
      <w:bookmarkStart w:id="32" w:name="_Toc504465878"/>
      <w:bookmarkStart w:id="33" w:name="_Toc83377244"/>
      <w:bookmarkStart w:id="34" w:name="_Toc299"/>
      <w:bookmarkStart w:id="35" w:name="_Toc502215475"/>
      <w:r>
        <w:rPr>
          <w:rFonts w:hint="eastAsia" w:ascii="仿宋" w:hAnsi="仿宋" w:eastAsia="仿宋" w:cs="仿宋"/>
          <w:b/>
          <w:snapToGrid w:val="0"/>
          <w:color w:val="auto"/>
          <w:kern w:val="0"/>
          <w:sz w:val="24"/>
          <w:highlight w:val="none"/>
        </w:rPr>
        <w:t>合同文件及解释顺序</w:t>
      </w:r>
      <w:bookmarkEnd w:id="30"/>
      <w:bookmarkEnd w:id="31"/>
      <w:bookmarkEnd w:id="32"/>
      <w:bookmarkEnd w:id="33"/>
      <w:bookmarkEnd w:id="34"/>
      <w:bookmarkEnd w:id="35"/>
    </w:p>
    <w:p w14:paraId="3FDDBF3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合同文件应能相互解释，互为说明。组成本合同的文件及优先解释顺序按合同协议书第7条的约定执行。</w:t>
      </w:r>
    </w:p>
    <w:p w14:paraId="5257C045">
      <w:pPr>
        <w:shd w:val="clear"/>
        <w:adjustRightInd w:val="0"/>
        <w:snapToGrid w:val="0"/>
        <w:spacing w:line="360" w:lineRule="auto"/>
        <w:ind w:firstLine="480" w:firstLineChars="200"/>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合同履行中，发包人、承包人有关工程的洽商、变更等书面协议或文件视为本合同的组成部分。</w:t>
      </w:r>
    </w:p>
    <w:p w14:paraId="67047AC2">
      <w:pPr>
        <w:numPr>
          <w:ilvl w:val="0"/>
          <w:numId w:val="4"/>
        </w:num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36" w:name="_Toc83377245"/>
      <w:bookmarkStart w:id="37" w:name="_Toc504735608"/>
      <w:bookmarkStart w:id="38" w:name="_Toc20776"/>
      <w:bookmarkStart w:id="39" w:name="_Toc502215476"/>
      <w:bookmarkStart w:id="40" w:name="_Toc504465879"/>
      <w:bookmarkStart w:id="41" w:name="_Toc2784857"/>
      <w:r>
        <w:rPr>
          <w:rFonts w:hint="eastAsia" w:ascii="仿宋" w:hAnsi="仿宋" w:eastAsia="仿宋" w:cs="仿宋"/>
          <w:b/>
          <w:snapToGrid w:val="0"/>
          <w:color w:val="auto"/>
          <w:kern w:val="0"/>
          <w:sz w:val="24"/>
          <w:highlight w:val="none"/>
        </w:rPr>
        <w:t>语言文字</w:t>
      </w:r>
      <w:bookmarkEnd w:id="36"/>
    </w:p>
    <w:p w14:paraId="51FD479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3.1语言文字</w:t>
      </w:r>
    </w:p>
    <w:p w14:paraId="260CF04B">
      <w:pPr>
        <w:pStyle w:val="21"/>
        <w:shd w:val="clear"/>
        <w:ind w:firstLine="480" w:firstLineChars="200"/>
        <w:rPr>
          <w:rFonts w:ascii="仿宋" w:hAnsi="仿宋" w:eastAsia="仿宋" w:cs="仿宋"/>
          <w:color w:val="auto"/>
          <w:highlight w:val="none"/>
        </w:rPr>
      </w:pPr>
      <w:r>
        <w:rPr>
          <w:rFonts w:hint="eastAsia" w:ascii="仿宋" w:hAnsi="仿宋" w:eastAsia="仿宋" w:cs="仿宋"/>
          <w:snapToGrid w:val="0"/>
          <w:color w:val="auto"/>
          <w:sz w:val="24"/>
          <w:highlight w:val="none"/>
        </w:rPr>
        <w:t>本合同文件使用汉语语言文字书写、解释和说明。</w:t>
      </w:r>
    </w:p>
    <w:p w14:paraId="1493E367">
      <w:pPr>
        <w:numPr>
          <w:ilvl w:val="0"/>
          <w:numId w:val="4"/>
        </w:num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42" w:name="_Toc83377246"/>
      <w:r>
        <w:rPr>
          <w:rFonts w:hint="eastAsia" w:ascii="仿宋" w:hAnsi="仿宋" w:eastAsia="仿宋" w:cs="仿宋"/>
          <w:b/>
          <w:snapToGrid w:val="0"/>
          <w:color w:val="auto"/>
          <w:kern w:val="0"/>
          <w:sz w:val="24"/>
          <w:highlight w:val="none"/>
        </w:rPr>
        <w:t>适用法律、标准及规范</w:t>
      </w:r>
      <w:bookmarkEnd w:id="37"/>
      <w:bookmarkEnd w:id="38"/>
      <w:bookmarkEnd w:id="39"/>
      <w:bookmarkEnd w:id="40"/>
      <w:bookmarkEnd w:id="41"/>
      <w:bookmarkEnd w:id="42"/>
    </w:p>
    <w:p w14:paraId="63ACF82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4.1适用法律和法规</w:t>
      </w:r>
    </w:p>
    <w:p w14:paraId="425AC097">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适用于本合同的法律法规是中华人民共和国法律、法规，合同约定的部门规章及工程所在地的地方法规。</w:t>
      </w:r>
    </w:p>
    <w:p w14:paraId="62E1384C">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需要明示的法律、行政法规为：《中华人民共和国民法典》《中华人民共和国建筑法》</w:t>
      </w:r>
      <w:r>
        <w:rPr>
          <w:rFonts w:hint="eastAsia" w:ascii="仿宋" w:hAnsi="仿宋" w:eastAsia="仿宋" w:cs="仿宋"/>
          <w:snapToGrid w:val="0"/>
          <w:color w:val="auto"/>
          <w:kern w:val="0"/>
          <w:sz w:val="24"/>
          <w:highlight w:val="none"/>
        </w:rPr>
        <w:t>《中华人民共和国招标投标法》《中华人民共和国城乡规划法》《建设工程勘察设计管理条例》</w:t>
      </w:r>
      <w:r>
        <w:rPr>
          <w:rFonts w:hint="eastAsia" w:ascii="仿宋" w:hAnsi="仿宋" w:eastAsia="仿宋" w:cs="仿宋"/>
          <w:bCs/>
          <w:snapToGrid w:val="0"/>
          <w:color w:val="auto"/>
          <w:kern w:val="0"/>
          <w:sz w:val="24"/>
          <w:highlight w:val="none"/>
        </w:rPr>
        <w:t>《建设工程质量管理条例》《建设工程安全生产管理条例》。。</w:t>
      </w:r>
    </w:p>
    <w:p w14:paraId="316AD8B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4.2适用标准、规范</w:t>
      </w:r>
    </w:p>
    <w:p w14:paraId="54851A2D">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14:paraId="4D0635B7">
      <w:pPr>
        <w:pStyle w:val="13"/>
        <w:shd w:val="clear"/>
        <w:adjustRightInd w:val="0"/>
        <w:snapToGrid w:val="0"/>
        <w:spacing w:line="360" w:lineRule="auto"/>
        <w:ind w:left="5250"/>
        <w:rPr>
          <w:rFonts w:ascii="仿宋" w:hAnsi="仿宋" w:eastAsia="仿宋" w:cs="仿宋"/>
          <w:snapToGrid w:val="0"/>
          <w:color w:val="auto"/>
          <w:highlight w:val="none"/>
        </w:rPr>
      </w:pPr>
    </w:p>
    <w:p w14:paraId="78F8FE7E">
      <w:pPr>
        <w:pStyle w:val="13"/>
        <w:shd w:val="clear"/>
        <w:adjustRightInd w:val="0"/>
        <w:snapToGrid w:val="0"/>
        <w:spacing w:line="360" w:lineRule="auto"/>
        <w:ind w:left="99" w:leftChars="47"/>
        <w:jc w:val="left"/>
        <w:outlineLvl w:val="1"/>
        <w:rPr>
          <w:rFonts w:ascii="仿宋" w:hAnsi="仿宋" w:eastAsia="仿宋" w:cs="仿宋"/>
          <w:b/>
          <w:snapToGrid w:val="0"/>
          <w:color w:val="auto"/>
          <w:sz w:val="28"/>
          <w:szCs w:val="28"/>
          <w:highlight w:val="none"/>
        </w:rPr>
      </w:pPr>
      <w:bookmarkStart w:id="43" w:name="_Toc504465881"/>
      <w:bookmarkStart w:id="44" w:name="_Toc2784859"/>
      <w:bookmarkStart w:id="45" w:name="_Toc2003"/>
      <w:bookmarkStart w:id="46" w:name="_Toc83377247"/>
      <w:bookmarkStart w:id="47" w:name="_Toc502215478"/>
      <w:r>
        <w:rPr>
          <w:rFonts w:hint="eastAsia" w:ascii="仿宋" w:hAnsi="仿宋" w:eastAsia="仿宋" w:cs="仿宋"/>
          <w:b/>
          <w:snapToGrid w:val="0"/>
          <w:color w:val="auto"/>
          <w:sz w:val="28"/>
          <w:szCs w:val="28"/>
          <w:highlight w:val="none"/>
        </w:rPr>
        <w:t>二、双方一般权利和义务</w:t>
      </w:r>
      <w:bookmarkEnd w:id="43"/>
      <w:bookmarkEnd w:id="44"/>
      <w:bookmarkEnd w:id="45"/>
      <w:bookmarkEnd w:id="46"/>
      <w:bookmarkEnd w:id="47"/>
    </w:p>
    <w:p w14:paraId="294121F1">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48" w:name="_Toc2784860"/>
      <w:bookmarkStart w:id="49" w:name="_Toc16758"/>
      <w:bookmarkStart w:id="50" w:name="_Toc83377248"/>
      <w:bookmarkStart w:id="51" w:name="_Toc504465882"/>
      <w:bookmarkStart w:id="52" w:name="_Toc502215479"/>
      <w:r>
        <w:rPr>
          <w:rFonts w:hint="eastAsia" w:ascii="仿宋" w:hAnsi="仿宋" w:eastAsia="仿宋" w:cs="仿宋"/>
          <w:b/>
          <w:snapToGrid w:val="0"/>
          <w:color w:val="auto"/>
          <w:kern w:val="0"/>
          <w:sz w:val="24"/>
          <w:highlight w:val="none"/>
          <w:lang w:eastAsia="zh-CN"/>
        </w:rPr>
        <w:t>5.</w:t>
      </w:r>
      <w:r>
        <w:rPr>
          <w:rFonts w:hint="eastAsia" w:ascii="仿宋" w:hAnsi="仿宋" w:eastAsia="仿宋" w:cs="仿宋"/>
          <w:b/>
          <w:snapToGrid w:val="0"/>
          <w:color w:val="auto"/>
          <w:kern w:val="0"/>
          <w:sz w:val="24"/>
          <w:highlight w:val="none"/>
        </w:rPr>
        <w:t>总监理工程师</w:t>
      </w:r>
      <w:bookmarkEnd w:id="48"/>
      <w:bookmarkEnd w:id="49"/>
      <w:bookmarkEnd w:id="50"/>
      <w:bookmarkEnd w:id="51"/>
      <w:bookmarkEnd w:id="52"/>
    </w:p>
    <w:p w14:paraId="336E8DA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5.1本项目实行工程监理。</w:t>
      </w:r>
    </w:p>
    <w:p w14:paraId="242243D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5.2</w:t>
      </w:r>
      <w:r>
        <w:rPr>
          <w:rFonts w:hint="eastAsia" w:ascii="仿宋" w:hAnsi="仿宋" w:eastAsia="仿宋" w:cs="仿宋"/>
          <w:bCs/>
          <w:snapToGrid w:val="0"/>
          <w:color w:val="auto"/>
          <w:kern w:val="0"/>
          <w:sz w:val="24"/>
          <w:highlight w:val="none"/>
        </w:rPr>
        <w:t>本工程的监理单位，总监理工程师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lang w:eastAsia="zh-CN"/>
        </w:rPr>
        <w:t xml:space="preserve"> </w:t>
      </w:r>
      <w:r>
        <w:rPr>
          <w:rFonts w:hint="eastAsia" w:ascii="仿宋" w:hAnsi="仿宋" w:eastAsia="仿宋" w:cs="仿宋"/>
          <w:bCs/>
          <w:snapToGrid w:val="0"/>
          <w:color w:val="auto"/>
          <w:kern w:val="0"/>
          <w:sz w:val="24"/>
          <w:highlight w:val="none"/>
        </w:rPr>
        <w:t>。监理单位的职责以发包人与监理单位签订的委托监理合同为准。</w:t>
      </w:r>
    </w:p>
    <w:p w14:paraId="72D83E7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总监理工程师按合同约定行使职权，如涉及工程变更、工期调整、合同价款调整等事项，总监理工程师应征得发包人批准。</w:t>
      </w:r>
    </w:p>
    <w:p w14:paraId="24116A51">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5.3发包人派驻施工场地履行合同的代表在本合同中称发包人代表，</w:t>
      </w:r>
      <w:r>
        <w:rPr>
          <w:rFonts w:hint="eastAsia" w:ascii="仿宋" w:hAnsi="仿宋" w:eastAsia="仿宋" w:cs="仿宋"/>
          <w:bCs/>
          <w:snapToGrid w:val="0"/>
          <w:color w:val="auto"/>
          <w:kern w:val="0"/>
          <w:sz w:val="24"/>
          <w:highlight w:val="none"/>
        </w:rPr>
        <w:t>其姓名、职务如下：</w:t>
      </w:r>
    </w:p>
    <w:p w14:paraId="6073BFA4">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u w:val="single"/>
        </w:rPr>
      </w:pPr>
      <w:r>
        <w:rPr>
          <w:rFonts w:hint="eastAsia" w:ascii="仿宋" w:hAnsi="仿宋" w:eastAsia="仿宋" w:cs="仿宋"/>
          <w:bCs/>
          <w:snapToGrid w:val="0"/>
          <w:color w:val="auto"/>
          <w:kern w:val="0"/>
          <w:sz w:val="24"/>
          <w:highlight w:val="none"/>
        </w:rPr>
        <w:t>姓名：</w:t>
      </w:r>
      <w:r>
        <w:rPr>
          <w:rFonts w:hint="eastAsia" w:ascii="仿宋" w:hAnsi="仿宋" w:eastAsia="仿宋" w:cs="仿宋"/>
          <w:bCs/>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none"/>
        </w:rPr>
        <w:t xml:space="preserve"> 电话：</w:t>
      </w:r>
      <w:r>
        <w:rPr>
          <w:rFonts w:ascii="仿宋" w:hAnsi="仿宋" w:eastAsia="仿宋" w:cs="仿宋"/>
          <w:snapToGrid w:val="0"/>
          <w:color w:val="auto"/>
          <w:kern w:val="0"/>
          <w:sz w:val="24"/>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仿宋" w:hAnsi="仿宋" w:eastAsia="仿宋" w:cs="仿宋"/>
          <w:bCs/>
          <w:snapToGrid w:val="0"/>
          <w:color w:val="auto"/>
          <w:kern w:val="0"/>
          <w:sz w:val="24"/>
          <w:szCs w:val="20"/>
          <w:highlight w:val="none"/>
          <w:u w:val="single"/>
          <w:lang w:val="en-US" w:eastAsia="zh-CN"/>
        </w:rPr>
        <w:t xml:space="preserve"> </w:t>
      </w:r>
      <w:r>
        <w:rPr>
          <w:rFonts w:ascii="仿宋" w:hAnsi="仿宋" w:eastAsia="仿宋" w:cs="仿宋"/>
          <w:snapToGrid w:val="0"/>
          <w:color w:val="auto"/>
          <w:kern w:val="0"/>
          <w:sz w:val="24"/>
          <w:highlight w:val="none"/>
          <w:u w:val="single"/>
        </w:rPr>
        <w:t xml:space="preserve"> </w:t>
      </w:r>
      <w:r>
        <w:rPr>
          <w:rFonts w:hint="eastAsia" w:ascii="仿宋" w:hAnsi="仿宋" w:eastAsia="仿宋" w:cs="仿宋"/>
          <w:bCs/>
          <w:snapToGrid w:val="0"/>
          <w:color w:val="auto"/>
          <w:kern w:val="0"/>
          <w:sz w:val="24"/>
          <w:highlight w:val="none"/>
        </w:rPr>
        <w:t>。</w:t>
      </w:r>
    </w:p>
    <w:p w14:paraId="0BD5D8C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5.4合同履行中，发生影响发包人、承包人双方权利或义务的事件时，总监理工程师应依据合同在其职权范围内客观公正地进行处理。一方对总监理工程师的处理有异议时，按合同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条关于争议的约定处理。</w:t>
      </w:r>
    </w:p>
    <w:p w14:paraId="5ABE1CC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5.5除合同内有明确约定或经发包人同意外，总监理工程师无权解释本合同约定的承包人任何权利与义务。</w:t>
      </w:r>
    </w:p>
    <w:p w14:paraId="238950CC">
      <w:pPr>
        <w:shd w:val="clear"/>
        <w:adjustRightInd w:val="0"/>
        <w:snapToGrid w:val="0"/>
        <w:spacing w:line="360" w:lineRule="auto"/>
        <w:rPr>
          <w:rFonts w:ascii="仿宋" w:hAnsi="仿宋" w:eastAsia="仿宋" w:cs="仿宋"/>
          <w:b/>
          <w:snapToGrid w:val="0"/>
          <w:color w:val="auto"/>
          <w:kern w:val="0"/>
          <w:sz w:val="24"/>
          <w:highlight w:val="none"/>
        </w:rPr>
      </w:pPr>
    </w:p>
    <w:p w14:paraId="08E1EC4B">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53" w:name="_Toc2784861"/>
      <w:bookmarkStart w:id="54" w:name="_Toc13988"/>
      <w:bookmarkStart w:id="55" w:name="_Toc504465883"/>
      <w:bookmarkStart w:id="56" w:name="_Toc83377249"/>
      <w:bookmarkStart w:id="57" w:name="_Toc502215480"/>
      <w:r>
        <w:rPr>
          <w:rFonts w:hint="eastAsia" w:ascii="仿宋" w:hAnsi="仿宋" w:eastAsia="仿宋" w:cs="仿宋"/>
          <w:b/>
          <w:snapToGrid w:val="0"/>
          <w:color w:val="auto"/>
          <w:kern w:val="0"/>
          <w:sz w:val="24"/>
          <w:highlight w:val="none"/>
          <w:lang w:eastAsia="zh-CN"/>
        </w:rPr>
        <w:t>6.</w:t>
      </w:r>
      <w:r>
        <w:rPr>
          <w:rFonts w:hint="eastAsia" w:ascii="仿宋" w:hAnsi="仿宋" w:eastAsia="仿宋" w:cs="仿宋"/>
          <w:b/>
          <w:snapToGrid w:val="0"/>
          <w:color w:val="auto"/>
          <w:kern w:val="0"/>
          <w:sz w:val="24"/>
          <w:highlight w:val="none"/>
        </w:rPr>
        <w:t>总监理工程师的委派和指令</w:t>
      </w:r>
      <w:bookmarkEnd w:id="53"/>
      <w:bookmarkEnd w:id="54"/>
      <w:bookmarkEnd w:id="55"/>
      <w:bookmarkEnd w:id="56"/>
      <w:bookmarkEnd w:id="57"/>
    </w:p>
    <w:p w14:paraId="443C6F2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6.1总监理工程师可委派总监理工程师代表，行使合同约定的自己的职权，并可在认为必要时撤回委派。委派和撤回均应提前7天以书面形式通知承包人，总监理工程师还应将委派和撤回通知发包人。委派书和撤回通知作为合同附件。</w:t>
      </w:r>
    </w:p>
    <w:p w14:paraId="2A32552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总监理工程师代表在总监理工程师授权范围内向承包人发出的任何书面形式的函件，与总监理工程师发出的函件具有同等效力。承包人对总监理工程师代表向其发出的任何书面形式的函件有疑问时，可将此函件提交总监理工程师，总监理工程师应进行确认。总监理工程师代表发出指令有失误时，总监理工程师应进行改正。</w:t>
      </w:r>
    </w:p>
    <w:p w14:paraId="7290479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除发包人代表和总监理工程师或总监理工程师代表外，发包人派驻工地的</w:t>
      </w:r>
      <w:r>
        <w:rPr>
          <w:rFonts w:hint="eastAsia" w:ascii="仿宋" w:hAnsi="仿宋" w:eastAsia="仿宋" w:cs="仿宋"/>
          <w:snapToGrid w:val="0"/>
          <w:color w:val="auto"/>
          <w:kern w:val="0"/>
          <w:sz w:val="24"/>
          <w:highlight w:val="none"/>
          <w:lang w:eastAsia="zh-CN"/>
        </w:rPr>
        <w:t>其他人员</w:t>
      </w:r>
      <w:r>
        <w:rPr>
          <w:rFonts w:hint="eastAsia" w:ascii="仿宋" w:hAnsi="仿宋" w:eastAsia="仿宋" w:cs="仿宋"/>
          <w:snapToGrid w:val="0"/>
          <w:color w:val="auto"/>
          <w:kern w:val="0"/>
          <w:sz w:val="24"/>
          <w:highlight w:val="none"/>
        </w:rPr>
        <w:t>均无权向承包人发出任何指令。</w:t>
      </w:r>
    </w:p>
    <w:p w14:paraId="484D16CD">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14:paraId="1CE1BFF6">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6.3由于总监理工程师未能按合同约定履行义务造成工期延误的，工期顺延情形只适用于一般节点工期。</w:t>
      </w:r>
    </w:p>
    <w:p w14:paraId="679F9A0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6.4如需更换总监理工程师，发包人应至少提前7天以书面形式通知承包人，后任继续行使合同文件约定的前任的职权，履行前任的义务。</w:t>
      </w:r>
    </w:p>
    <w:p w14:paraId="29C6420A">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6.5除特别指明外，总监理工程师对承包人的任何工作、工程或其采用的材料和设备未提出否定意见的，不应视为已获批准，也不影响总监理工程师在以后拒绝该项工作、工程、材料设备的权利。</w:t>
      </w:r>
    </w:p>
    <w:p w14:paraId="15147CA6">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6.6总监理工程师的指令应该有总监理工程师的签字，并加盖监理单位驻施工场地机构印章。</w:t>
      </w:r>
    </w:p>
    <w:p w14:paraId="0A54ED49">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6.7合同约定应由承包人承担的义务和责任，不因监理单位对承包人文件的审查或批准，对工程、材料和工程设备的检查和检验，以及为实施监理作出的指示等职务行为而减轻或解除。</w:t>
      </w:r>
    </w:p>
    <w:p w14:paraId="19B5312B">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p>
    <w:p w14:paraId="7D37A82A">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58" w:name="_Toc502215481"/>
      <w:bookmarkStart w:id="59" w:name="_Toc504465884"/>
      <w:bookmarkStart w:id="60" w:name="_Toc2784862"/>
      <w:bookmarkStart w:id="61" w:name="_Toc83377250"/>
      <w:bookmarkStart w:id="62" w:name="_Toc32711"/>
      <w:r>
        <w:rPr>
          <w:rFonts w:hint="eastAsia" w:ascii="仿宋" w:hAnsi="仿宋" w:eastAsia="仿宋" w:cs="仿宋"/>
          <w:b/>
          <w:snapToGrid w:val="0"/>
          <w:color w:val="auto"/>
          <w:kern w:val="0"/>
          <w:sz w:val="24"/>
          <w:highlight w:val="none"/>
          <w:lang w:eastAsia="zh-CN"/>
        </w:rPr>
        <w:t>7.</w:t>
      </w:r>
      <w:bookmarkEnd w:id="58"/>
      <w:bookmarkEnd w:id="59"/>
      <w:r>
        <w:rPr>
          <w:rFonts w:hint="eastAsia" w:ascii="仿宋" w:hAnsi="仿宋" w:eastAsia="仿宋" w:cs="仿宋"/>
          <w:b/>
          <w:snapToGrid w:val="0"/>
          <w:color w:val="auto"/>
          <w:kern w:val="0"/>
          <w:sz w:val="24"/>
          <w:highlight w:val="none"/>
        </w:rPr>
        <w:t>项目管理团队</w:t>
      </w:r>
      <w:bookmarkEnd w:id="60"/>
      <w:bookmarkEnd w:id="61"/>
      <w:bookmarkEnd w:id="62"/>
    </w:p>
    <w:p w14:paraId="0DA478C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7.1本项目主要管理负责人：</w:t>
      </w:r>
    </w:p>
    <w:p w14:paraId="4B2C02F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w:t>
      </w: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姓名：</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06116FD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（2）设计负责人姓名：</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kern w:val="0"/>
          <w:sz w:val="24"/>
          <w:highlight w:val="none"/>
          <w:u w:val="single"/>
          <w:lang w:val="en-US" w:eastAsia="zh-CN"/>
        </w:rPr>
        <w:t xml:space="preserve">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3FC2CE5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应为承包人的员工，承包人应保证其在投标文件中向发包人提交的相关证明文件真实有效，否则施工负责人和施工协办方施工负责人（如有）无权履行职责，由此影响工程进度或发生其他问题的，由承包人承担全部责任。</w:t>
      </w:r>
    </w:p>
    <w:p w14:paraId="0A9D185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应常驻项目现场，且每月在现场的时间不得少于发包人规定的天数。</w:t>
      </w:r>
      <w:r>
        <w:rPr>
          <w:rFonts w:hint="eastAsia" w:ascii="仿宋" w:hAnsi="仿宋" w:eastAsia="仿宋" w:cs="仿宋"/>
          <w:color w:val="auto"/>
          <w:sz w:val="24"/>
          <w:szCs w:val="24"/>
          <w:highlight w:val="none"/>
        </w:rPr>
        <w:t>项目负责人（兼施工项目负责人）</w:t>
      </w:r>
      <w:r>
        <w:rPr>
          <w:rFonts w:hint="eastAsia" w:ascii="仿宋" w:hAnsi="仿宋" w:eastAsia="仿宋" w:cs="仿宋"/>
          <w:snapToGrid w:val="0"/>
          <w:color w:val="auto"/>
          <w:kern w:val="0"/>
          <w:sz w:val="24"/>
          <w:highlight w:val="none"/>
        </w:rPr>
        <w:t>不得同时担任其他项目的施工负责人。</w:t>
      </w:r>
    </w:p>
    <w:p w14:paraId="3E28F6D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7.2承包人依据合同发出的通知，以书面形式由项目经理签字后送交总监理工程师，总监理工程师在回执上签署姓名和收到时间后生效。</w:t>
      </w:r>
    </w:p>
    <w:p w14:paraId="0F48BAD6">
      <w:pPr>
        <w:shd w:val="clear"/>
        <w:adjustRightInd w:val="0"/>
        <w:snapToGrid w:val="0"/>
        <w:spacing w:line="360" w:lineRule="auto"/>
        <w:ind w:firstLine="480" w:firstLineChars="200"/>
        <w:rPr>
          <w:rFonts w:ascii="仿宋" w:hAnsi="仿宋" w:eastAsia="仿宋" w:cs="仿宋"/>
          <w:dstrike/>
          <w:snapToGrid w:val="0"/>
          <w:color w:val="auto"/>
          <w:kern w:val="0"/>
          <w:sz w:val="24"/>
          <w:highlight w:val="none"/>
        </w:rPr>
      </w:pPr>
      <w:r>
        <w:rPr>
          <w:rFonts w:hint="eastAsia" w:ascii="仿宋" w:hAnsi="仿宋" w:eastAsia="仿宋" w:cs="仿宋"/>
          <w:snapToGrid w:val="0"/>
          <w:color w:val="auto"/>
          <w:kern w:val="0"/>
          <w:sz w:val="24"/>
          <w:highlight w:val="none"/>
        </w:rPr>
        <w:t>7.3施工负责人按经总监理工程师审批认可的施工组织设计（施工方案）和总监理工程师依据合同发出的指令组织施工。在情况紧急且无法与总监理工程师联系时，施工负责人应当采取保证人员生命和工程、财产安全的紧急措施，并在采取措施后48小时内向总监理工程师送交报告。</w:t>
      </w:r>
    </w:p>
    <w:p w14:paraId="49C075F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7.4承包人如需更换设计负责人、施工负责人，应至少提前7天以书面形式通知发包人，并征得发包人同意。后任继续行使合同文件约定的前任的职权，履行前任的义务，若更换项目经理而未征得发包人同意的，不得计量项目经理的现场组织实施管理费（本合同另有约定的除外）。</w:t>
      </w:r>
    </w:p>
    <w:p w14:paraId="76D7ABF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7.5发包人有权要求承包人更换其认为不称职的</w:t>
      </w:r>
      <w:r>
        <w:rPr>
          <w:rFonts w:hint="eastAsia" w:ascii="仿宋" w:hAnsi="仿宋" w:eastAsia="仿宋" w:cs="仿宋"/>
          <w:color w:val="auto"/>
          <w:sz w:val="24"/>
          <w:szCs w:val="24"/>
          <w:highlight w:val="none"/>
        </w:rPr>
        <w:t>项目负责人（兼施工项目负责人）</w:t>
      </w:r>
    </w:p>
    <w:p w14:paraId="14EFAEA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7.6现场管理机构</w:t>
      </w:r>
    </w:p>
    <w:p w14:paraId="193EF9DC">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（1）承包人必须按照投标文件的承诺建立现场管理机构，严格执行《建设工程项目管理规范》（GB/T50326-2017），并积极主动接受建设行政主管部门的监督和检查。</w:t>
      </w:r>
    </w:p>
    <w:p w14:paraId="530BF1D1">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主要技术管理人员在开工前必须全部到位，并接受总监理工程师和发包人代表的查验。</w:t>
      </w:r>
    </w:p>
    <w:p w14:paraId="1E3EBC07">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承包人委派的现场管理机构各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主要技术管理人员不得有兼职情况存在，并需接受监理单位的监督。</w:t>
      </w:r>
    </w:p>
    <w:p w14:paraId="0DC4AA72">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7.7现场管理机构各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35050A00">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更换人员必须履行建设行政主管部门规定的人员变更手续，后任人员继续行使前任的职权，履行前任的义务。</w:t>
      </w:r>
    </w:p>
    <w:p w14:paraId="6E7387C3">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7.8现场管理机构各部主要技术管理人员的</w:t>
      </w:r>
      <w:r>
        <w:rPr>
          <w:rFonts w:hint="eastAsia" w:ascii="仿宋" w:hAnsi="仿宋" w:eastAsia="仿宋" w:cs="仿宋"/>
          <w:iCs/>
          <w:snapToGrid w:val="0"/>
          <w:color w:val="auto"/>
          <w:kern w:val="0"/>
          <w:sz w:val="24"/>
          <w:highlight w:val="none"/>
        </w:rPr>
        <w:t>实际工作能力和工作效果达不到招标文件的明确要求</w:t>
      </w:r>
      <w:r>
        <w:rPr>
          <w:rFonts w:hint="eastAsia" w:ascii="仿宋" w:hAnsi="仿宋" w:eastAsia="仿宋" w:cs="仿宋"/>
          <w:snapToGrid w:val="0"/>
          <w:color w:val="auto"/>
          <w:kern w:val="0"/>
          <w:sz w:val="24"/>
          <w:highlight w:val="none"/>
        </w:rPr>
        <w:t>或投标文件的承诺或工作态度存在严重不足，不适应现场工作需要的，发包人有权向承包人提出撤换。承包人可以提出整改意见，如发包人不予接受或认为整改效果不明显的，则承包人必须在7天内无条件撤换，所调换来人员的资质、资历、学历、职称、业绩、实际工作能力不低于原投标文件中所承诺人员的素质。</w:t>
      </w:r>
    </w:p>
    <w:p w14:paraId="12AC12D3">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发包人要求承包人撤换不合格人员，如承包人既不立即撤换，也不及时提出整改意见，则视同拒绝执行发包人的指令，承包人需按合同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.2.3（12）款的约定承担违约责任。</w:t>
      </w:r>
    </w:p>
    <w:p w14:paraId="477BBFFE">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发包人要求承包人以实际工作</w:t>
      </w:r>
      <w:r>
        <w:rPr>
          <w:rFonts w:hint="eastAsia" w:ascii="仿宋" w:hAnsi="仿宋" w:eastAsia="仿宋" w:cs="仿宋"/>
          <w:snapToGrid w:val="0"/>
          <w:color w:val="auto"/>
          <w:kern w:val="0"/>
          <w:sz w:val="24"/>
          <w:highlight w:val="none"/>
          <w:lang w:eastAsia="zh-CN"/>
        </w:rPr>
        <w:t>能力较强</w:t>
      </w:r>
      <w:r>
        <w:rPr>
          <w:rFonts w:hint="eastAsia" w:ascii="仿宋" w:hAnsi="仿宋" w:eastAsia="仿宋" w:cs="仿宋"/>
          <w:snapToGrid w:val="0"/>
          <w:color w:val="auto"/>
          <w:kern w:val="0"/>
          <w:sz w:val="24"/>
          <w:highlight w:val="none"/>
        </w:rPr>
        <w:t>的人员调换实际工作能力较低的现场人员、或者承包人主动要求以实际工作</w:t>
      </w:r>
      <w:r>
        <w:rPr>
          <w:rFonts w:hint="eastAsia" w:ascii="仿宋" w:hAnsi="仿宋" w:eastAsia="仿宋" w:cs="仿宋"/>
          <w:snapToGrid w:val="0"/>
          <w:color w:val="auto"/>
          <w:kern w:val="0"/>
          <w:sz w:val="24"/>
          <w:highlight w:val="none"/>
          <w:lang w:eastAsia="zh-CN"/>
        </w:rPr>
        <w:t>能力较强</w:t>
      </w:r>
      <w:r>
        <w:rPr>
          <w:rFonts w:hint="eastAsia" w:ascii="仿宋" w:hAnsi="仿宋" w:eastAsia="仿宋" w:cs="仿宋"/>
          <w:snapToGrid w:val="0"/>
          <w:color w:val="auto"/>
          <w:kern w:val="0"/>
          <w:sz w:val="24"/>
          <w:highlight w:val="none"/>
        </w:rPr>
        <w:t>的人员调换实际工作能力较低的现场人员并经总监理工程师及发包人批准且经实践检验证实、或者承包人有合法的理由提出申请并经总监理工程师及发包人批准更换相关人员的，承包人可不承担违约责任。</w:t>
      </w:r>
    </w:p>
    <w:p w14:paraId="1BF262CE">
      <w:pPr>
        <w:shd w:val="clea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7.9</w:t>
      </w:r>
      <w:r>
        <w:rPr>
          <w:rFonts w:hint="eastAsia" w:ascii="仿宋" w:hAnsi="仿宋" w:eastAsia="仿宋" w:cs="仿宋"/>
          <w:snapToGrid w:val="0"/>
          <w:color w:val="auto"/>
          <w:kern w:val="0"/>
          <w:sz w:val="24"/>
          <w:highlight w:val="none"/>
        </w:rPr>
        <w:t>现场管理机构各</w:t>
      </w:r>
      <w:r>
        <w:rPr>
          <w:rFonts w:hint="eastAsia" w:ascii="仿宋" w:hAnsi="仿宋" w:eastAsia="仿宋" w:cs="仿宋"/>
          <w:snapToGrid w:val="0"/>
          <w:color w:val="auto"/>
          <w:kern w:val="0"/>
          <w:sz w:val="24"/>
          <w:highlight w:val="none"/>
          <w:lang w:eastAsia="zh-CN"/>
        </w:rPr>
        <w:t>部门</w:t>
      </w:r>
      <w:r>
        <w:rPr>
          <w:rFonts w:hint="eastAsia" w:ascii="仿宋" w:hAnsi="仿宋" w:eastAsia="仿宋" w:cs="仿宋"/>
          <w:snapToGrid w:val="0"/>
          <w:color w:val="auto"/>
          <w:kern w:val="0"/>
          <w:sz w:val="24"/>
          <w:highlight w:val="none"/>
        </w:rPr>
        <w:t>主要技术管理人员</w:t>
      </w:r>
      <w:r>
        <w:rPr>
          <w:rFonts w:hint="eastAsia" w:ascii="仿宋" w:hAnsi="仿宋" w:eastAsia="仿宋" w:cs="仿宋"/>
          <w:iCs/>
          <w:snapToGrid w:val="0"/>
          <w:color w:val="auto"/>
          <w:kern w:val="0"/>
          <w:sz w:val="24"/>
          <w:highlight w:val="none"/>
        </w:rPr>
        <w:t>必须全职在现场办公，不得兼职或者擅自离岗。因特殊情况需短暂离岗的，应当事先报总监理工程师批准，且须妥善安排工作交接。</w:t>
      </w:r>
    </w:p>
    <w:p w14:paraId="1A53BBEE">
      <w:pPr>
        <w:shd w:val="clea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承包人若违反上述约定，应按照合同</w:t>
      </w:r>
      <w:r>
        <w:rPr>
          <w:rFonts w:hint="eastAsia" w:ascii="仿宋" w:hAnsi="仿宋" w:eastAsia="仿宋" w:cs="仿宋"/>
          <w:iCs/>
          <w:snapToGrid w:val="0"/>
          <w:color w:val="auto"/>
          <w:kern w:val="0"/>
          <w:sz w:val="24"/>
          <w:highlight w:val="none"/>
          <w:lang w:val="en-US" w:eastAsia="zh-CN"/>
        </w:rPr>
        <w:t>专用</w:t>
      </w:r>
      <w:r>
        <w:rPr>
          <w:rFonts w:hint="eastAsia" w:ascii="仿宋" w:hAnsi="仿宋" w:eastAsia="仿宋" w:cs="仿宋"/>
          <w:iCs/>
          <w:snapToGrid w:val="0"/>
          <w:color w:val="auto"/>
          <w:kern w:val="0"/>
          <w:sz w:val="24"/>
          <w:highlight w:val="none"/>
        </w:rPr>
        <w:t>条款第4</w:t>
      </w:r>
      <w:r>
        <w:rPr>
          <w:rFonts w:hint="eastAsia" w:ascii="仿宋" w:hAnsi="仿宋" w:eastAsia="仿宋" w:cs="仿宋"/>
          <w:iCs/>
          <w:snapToGrid w:val="0"/>
          <w:color w:val="auto"/>
          <w:kern w:val="0"/>
          <w:sz w:val="24"/>
          <w:highlight w:val="none"/>
          <w:lang w:val="en-US" w:eastAsia="zh-CN"/>
        </w:rPr>
        <w:t>0</w:t>
      </w:r>
      <w:r>
        <w:rPr>
          <w:rFonts w:hint="eastAsia" w:ascii="仿宋" w:hAnsi="仿宋" w:eastAsia="仿宋" w:cs="仿宋"/>
          <w:iCs/>
          <w:snapToGrid w:val="0"/>
          <w:color w:val="auto"/>
          <w:kern w:val="0"/>
          <w:sz w:val="24"/>
          <w:highlight w:val="none"/>
        </w:rPr>
        <w:t>.2.3（14）款的相关约定承担违约责任。</w:t>
      </w:r>
    </w:p>
    <w:p w14:paraId="2C3974D2">
      <w:pPr>
        <w:shd w:val="clea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本合同所称现场办公，是指在工程实施过程中，现场管理机构各部主要组织管理人员必须在施工场地全职上班，履行各自的职责。</w:t>
      </w:r>
    </w:p>
    <w:p w14:paraId="09DC227C">
      <w:pPr>
        <w:shd w:val="clear"/>
        <w:adjustRightInd w:val="0"/>
        <w:snapToGrid w:val="0"/>
        <w:spacing w:line="360" w:lineRule="auto"/>
        <w:ind w:right="11" w:firstLine="480" w:firstLineChars="200"/>
        <w:rPr>
          <w:rFonts w:ascii="仿宋" w:hAnsi="仿宋" w:eastAsia="仿宋" w:cs="仿宋"/>
          <w:iCs/>
          <w:snapToGrid w:val="0"/>
          <w:color w:val="auto"/>
          <w:kern w:val="0"/>
          <w:sz w:val="24"/>
          <w:highlight w:val="none"/>
        </w:rPr>
      </w:pPr>
      <w:r>
        <w:rPr>
          <w:rFonts w:hint="eastAsia" w:ascii="仿宋" w:hAnsi="仿宋" w:eastAsia="仿宋" w:cs="仿宋"/>
          <w:iCs/>
          <w:snapToGrid w:val="0"/>
          <w:color w:val="auto"/>
          <w:kern w:val="0"/>
          <w:sz w:val="24"/>
          <w:highlight w:val="none"/>
        </w:rPr>
        <w:t>现场管理机构各</w:t>
      </w:r>
      <w:r>
        <w:rPr>
          <w:rFonts w:hint="eastAsia" w:ascii="仿宋" w:hAnsi="仿宋" w:eastAsia="仿宋" w:cs="仿宋"/>
          <w:iCs/>
          <w:snapToGrid w:val="0"/>
          <w:color w:val="auto"/>
          <w:kern w:val="0"/>
          <w:sz w:val="24"/>
          <w:highlight w:val="none"/>
          <w:lang w:eastAsia="zh-CN"/>
        </w:rPr>
        <w:t>部门</w:t>
      </w:r>
      <w:r>
        <w:rPr>
          <w:rFonts w:hint="eastAsia" w:ascii="仿宋" w:hAnsi="仿宋" w:eastAsia="仿宋" w:cs="仿宋"/>
          <w:iCs/>
          <w:snapToGrid w:val="0"/>
          <w:color w:val="auto"/>
          <w:kern w:val="0"/>
          <w:sz w:val="24"/>
          <w:highlight w:val="none"/>
        </w:rPr>
        <w:t>主要组织管理人员现场办公天数，由总监理工程师及发包人现场管理负责人按实计量。</w:t>
      </w:r>
    </w:p>
    <w:p w14:paraId="7B475800">
      <w:pPr>
        <w:shd w:val="clear"/>
        <w:adjustRightInd w:val="0"/>
        <w:snapToGrid w:val="0"/>
        <w:spacing w:line="360" w:lineRule="auto"/>
        <w:rPr>
          <w:rFonts w:ascii="仿宋" w:hAnsi="仿宋" w:eastAsia="仿宋" w:cs="仿宋"/>
          <w:snapToGrid w:val="0"/>
          <w:color w:val="auto"/>
          <w:kern w:val="0"/>
          <w:sz w:val="24"/>
          <w:highlight w:val="none"/>
        </w:rPr>
      </w:pPr>
    </w:p>
    <w:p w14:paraId="3AF391A9">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63" w:name="_Toc2784863"/>
      <w:bookmarkStart w:id="64" w:name="_Toc15756"/>
      <w:bookmarkStart w:id="65" w:name="_Toc502215482"/>
      <w:bookmarkStart w:id="66" w:name="_Toc504465885"/>
      <w:bookmarkStart w:id="67" w:name="_Toc83377251"/>
      <w:r>
        <w:rPr>
          <w:rFonts w:hint="eastAsia" w:ascii="仿宋" w:hAnsi="仿宋" w:eastAsia="仿宋" w:cs="仿宋"/>
          <w:b/>
          <w:snapToGrid w:val="0"/>
          <w:color w:val="auto"/>
          <w:kern w:val="0"/>
          <w:sz w:val="24"/>
          <w:highlight w:val="none"/>
          <w:lang w:eastAsia="zh-CN"/>
        </w:rPr>
        <w:t>8.</w:t>
      </w:r>
      <w:r>
        <w:rPr>
          <w:rFonts w:hint="eastAsia" w:ascii="仿宋" w:hAnsi="仿宋" w:eastAsia="仿宋" w:cs="仿宋"/>
          <w:b/>
          <w:snapToGrid w:val="0"/>
          <w:color w:val="auto"/>
          <w:kern w:val="0"/>
          <w:sz w:val="24"/>
          <w:highlight w:val="none"/>
        </w:rPr>
        <w:t>发包人权利和义务</w:t>
      </w:r>
      <w:bookmarkEnd w:id="63"/>
      <w:bookmarkEnd w:id="64"/>
      <w:bookmarkEnd w:id="65"/>
      <w:bookmarkEnd w:id="66"/>
      <w:bookmarkEnd w:id="67"/>
    </w:p>
    <w:p w14:paraId="6CA4D07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8.1发包人的权利：</w:t>
      </w:r>
    </w:p>
    <w:p w14:paraId="12EEEC9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（1）享有承包人工作成果（包括但不限于设计文件等）的知识产权、所有权和全部使用权。</w:t>
      </w:r>
    </w:p>
    <w:p w14:paraId="5F61948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（2）承包人在设计</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施工进度、设计</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施工质量、指派人员、提供服务、协作等方面义务的履行不符合本合同约定时，发包人有追究违约责任、要求赔偿损失</w:t>
      </w:r>
      <w:r>
        <w:rPr>
          <w:rFonts w:hint="eastAsia" w:ascii="仿宋" w:hAnsi="仿宋" w:eastAsia="仿宋" w:cs="仿宋"/>
          <w:snapToGrid w:val="0"/>
          <w:color w:val="auto"/>
          <w:kern w:val="0"/>
          <w:sz w:val="24"/>
          <w:highlight w:val="none"/>
          <w:lang w:eastAsia="zh-CN"/>
        </w:rPr>
        <w:t>直至</w:t>
      </w:r>
      <w:r>
        <w:rPr>
          <w:rFonts w:hint="eastAsia" w:ascii="仿宋" w:hAnsi="仿宋" w:eastAsia="仿宋" w:cs="仿宋"/>
          <w:snapToGrid w:val="0"/>
          <w:color w:val="auto"/>
          <w:kern w:val="0"/>
          <w:sz w:val="24"/>
          <w:highlight w:val="none"/>
        </w:rPr>
        <w:t>解除合同等权利；同时，发包人还有权将承包人存在的上述违约事实</w:t>
      </w:r>
      <w:r>
        <w:rPr>
          <w:rFonts w:hint="eastAsia" w:ascii="仿宋" w:hAnsi="仿宋" w:eastAsia="仿宋" w:cs="仿宋"/>
          <w:snapToGrid w:val="0"/>
          <w:color w:val="auto"/>
          <w:kern w:val="0"/>
          <w:sz w:val="24"/>
          <w:highlight w:val="none"/>
          <w:lang w:eastAsia="zh-CN"/>
        </w:rPr>
        <w:t>公之于众</w:t>
      </w:r>
      <w:r>
        <w:rPr>
          <w:rFonts w:hint="eastAsia" w:ascii="仿宋" w:hAnsi="仿宋" w:eastAsia="仿宋" w:cs="仿宋"/>
          <w:snapToGrid w:val="0"/>
          <w:color w:val="auto"/>
          <w:kern w:val="0"/>
          <w:sz w:val="24"/>
          <w:highlight w:val="none"/>
        </w:rPr>
        <w:t>和向有关部门反映情况。</w:t>
      </w:r>
    </w:p>
    <w:p w14:paraId="6ED31BE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（3）发包人有权聘请施工图审查单位作为本合同工程的施工图设计审查单位，承包人应接受该施工图审查单位按照相关</w:t>
      </w:r>
      <w:r>
        <w:rPr>
          <w:rFonts w:hint="eastAsia" w:ascii="仿宋" w:hAnsi="仿宋" w:eastAsia="仿宋" w:cs="仿宋"/>
          <w:snapToGrid w:val="0"/>
          <w:color w:val="auto"/>
          <w:kern w:val="0"/>
          <w:sz w:val="24"/>
          <w:highlight w:val="none"/>
          <w:lang w:eastAsia="zh-CN"/>
        </w:rPr>
        <w:t>法律法规</w:t>
      </w:r>
      <w:r>
        <w:rPr>
          <w:rFonts w:hint="eastAsia" w:ascii="仿宋" w:hAnsi="仿宋" w:eastAsia="仿宋" w:cs="仿宋"/>
          <w:snapToGrid w:val="0"/>
          <w:color w:val="auto"/>
          <w:kern w:val="0"/>
          <w:sz w:val="24"/>
          <w:highlight w:val="none"/>
        </w:rPr>
        <w:t>和发包人赋予的权利所进行的施工图审查工作。</w:t>
      </w:r>
    </w:p>
    <w:p w14:paraId="6D684ED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（4）设计图纸及设计变更的审批权，设计、施工进度的监督权，材料、设备选用的审定权。</w:t>
      </w:r>
    </w:p>
    <w:p w14:paraId="2D2460B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（5）其他权利。</w:t>
      </w:r>
    </w:p>
    <w:p w14:paraId="20CC735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8.2 发包人的义务：</w:t>
      </w:r>
    </w:p>
    <w:p w14:paraId="017EE2B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（1）按本合同约定及时向承包人提供设计、施工所需的项目基础资料。</w:t>
      </w:r>
    </w:p>
    <w:p w14:paraId="254177A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（2）按本合同约定按时支付合同款项。</w:t>
      </w:r>
    </w:p>
    <w:p w14:paraId="05221C9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（3）非承包人原因变更委托设计项目、规模、条件或所提交资料作较大修改，以致造成承包人设计返工时，双方应酌情签订补充协议。</w:t>
      </w:r>
    </w:p>
    <w:p w14:paraId="16D065E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在合同实施过程中，因适用的设计规范及标准发生变化，承包人应向发包人提交有关新标准、新规范的建议书，造成承包人对已经被发包人确认的设计返工时，双方共同承担相关风险，双方须共同按照新规范、新标准推进设计工作，同时给予承包人合理设计时间和成果资料重复制作的费用，在规模投资不变的情况下，不再另行支付承包人设计修改的设计费用。设计中如遇国家和地区无相应规范、标准和依据的，由承包人提出建议，由发包人报送有关主管部门审查确认或解释所采用的标准、规定和依据。</w:t>
      </w:r>
    </w:p>
    <w:p w14:paraId="709593F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（4）发包人应做的</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工作。</w:t>
      </w:r>
    </w:p>
    <w:p w14:paraId="598B2F1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8.3发包人未能履行合同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条款第8.2款各项义务，导致工期延误或给承包人造成损失的，发包人赔偿承包人有关损失，顺延延误的工期。</w:t>
      </w:r>
    </w:p>
    <w:p w14:paraId="3F8E6AEC">
      <w:pPr>
        <w:shd w:val="clear"/>
        <w:adjustRightInd w:val="0"/>
        <w:snapToGrid w:val="0"/>
        <w:spacing w:line="360" w:lineRule="auto"/>
        <w:rPr>
          <w:rFonts w:ascii="仿宋" w:hAnsi="仿宋" w:eastAsia="仿宋" w:cs="仿宋"/>
          <w:snapToGrid w:val="0"/>
          <w:color w:val="auto"/>
          <w:kern w:val="0"/>
          <w:sz w:val="24"/>
          <w:highlight w:val="none"/>
        </w:rPr>
      </w:pPr>
    </w:p>
    <w:p w14:paraId="17625A60">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68" w:name="_Toc83377252"/>
      <w:bookmarkStart w:id="69" w:name="_Toc502215483"/>
      <w:bookmarkStart w:id="70" w:name="_Toc504465886"/>
      <w:bookmarkStart w:id="71" w:name="_Toc16161"/>
      <w:bookmarkStart w:id="72" w:name="_Toc2784864"/>
      <w:r>
        <w:rPr>
          <w:rFonts w:hint="eastAsia" w:ascii="仿宋" w:hAnsi="仿宋" w:eastAsia="仿宋" w:cs="仿宋"/>
          <w:b/>
          <w:snapToGrid w:val="0"/>
          <w:color w:val="auto"/>
          <w:kern w:val="0"/>
          <w:sz w:val="24"/>
          <w:highlight w:val="none"/>
          <w:lang w:eastAsia="zh-CN"/>
        </w:rPr>
        <w:t>9.</w:t>
      </w:r>
      <w:r>
        <w:rPr>
          <w:rFonts w:hint="eastAsia" w:ascii="仿宋" w:hAnsi="仿宋" w:eastAsia="仿宋" w:cs="仿宋"/>
          <w:b/>
          <w:snapToGrid w:val="0"/>
          <w:color w:val="auto"/>
          <w:kern w:val="0"/>
          <w:sz w:val="24"/>
          <w:highlight w:val="none"/>
        </w:rPr>
        <w:t>承包人权利和义务</w:t>
      </w:r>
      <w:bookmarkEnd w:id="68"/>
      <w:bookmarkEnd w:id="69"/>
      <w:bookmarkEnd w:id="70"/>
      <w:bookmarkEnd w:id="71"/>
      <w:bookmarkEnd w:id="72"/>
    </w:p>
    <w:p w14:paraId="72B9833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9.1承包人的权利：</w:t>
      </w:r>
    </w:p>
    <w:p w14:paraId="4DD8106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（1）根据合同约定收取设计费、施工费。</w:t>
      </w:r>
    </w:p>
    <w:p w14:paraId="4D09CA9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（2）拥有设计成果文件的署名权。</w:t>
      </w:r>
    </w:p>
    <w:p w14:paraId="789888BA">
      <w:pPr>
        <w:shd w:val="clear"/>
        <w:adjustRightInd w:val="0"/>
        <w:snapToGrid w:val="0"/>
        <w:spacing w:line="360" w:lineRule="auto"/>
        <w:ind w:firstLine="480" w:firstLineChars="200"/>
        <w:rPr>
          <w:rFonts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（3）其他。</w:t>
      </w:r>
    </w:p>
    <w:p w14:paraId="4CC3A58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9.2承包人的义务：</w:t>
      </w:r>
    </w:p>
    <w:p w14:paraId="488FFBD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（1）按照合同约定的标准、规范、工程的功能、规模、考核目标和竣工日期，完成设计、采购、施工、缺陷修复等工作，不得违反国家强制性标准、规范的规定。</w:t>
      </w:r>
    </w:p>
    <w:p w14:paraId="2BF8148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（2）按照合同约定，监理单位可以随时发出指示，要求承包人自费修复因承包人原因引起的设计、文件、设备、材料、部件、施工中存在的缺陷</w:t>
      </w:r>
      <w:r>
        <w:rPr>
          <w:rFonts w:hint="eastAsia" w:ascii="仿宋" w:hAnsi="仿宋" w:eastAsia="仿宋" w:cs="仿宋"/>
          <w:snapToGrid w:val="0"/>
          <w:color w:val="auto"/>
          <w:kern w:val="0"/>
          <w:sz w:val="24"/>
          <w:highlight w:val="none"/>
          <w:lang w:eastAsia="zh-CN"/>
        </w:rPr>
        <w:t>或</w:t>
      </w:r>
      <w:r>
        <w:rPr>
          <w:rFonts w:hint="eastAsia" w:ascii="仿宋" w:hAnsi="仿宋" w:eastAsia="仿宋" w:cs="仿宋"/>
          <w:snapToGrid w:val="0"/>
          <w:color w:val="auto"/>
          <w:kern w:val="0"/>
          <w:sz w:val="24"/>
          <w:highlight w:val="none"/>
        </w:rPr>
        <w:t>在缺陷责任期发现的缺陷，直至达到合同要求的质量标准。</w:t>
      </w:r>
    </w:p>
    <w:p w14:paraId="3142A16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（3）按照合同约定和国家有关安全生产的法律规定，对所有现场作业、所有施工方法和全部工程的完备性、稳定性和安全性负责。</w:t>
      </w:r>
    </w:p>
    <w:p w14:paraId="7ADE2C6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按照合同约定的质量标准规范，确保设计、采购、加工制造、施工、竣工验收等各项工作的质量，建立有效的质量保证体系，并按照国家有关规定和工程质量保修书约定的保修范围和保修期限履行保修责任。</w:t>
      </w:r>
    </w:p>
    <w:p w14:paraId="11976BE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（5）按照合同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14条约定的项目进度计划及施工组织设计，合理有序地组织设计、采购、施工等所需要的各类资源，采用有效的实施方法和组织措施，保证项目进度计划的实现。项目进度计划经发包人批准后实施，但发包人的批准并不能减轻或免除承包人的责任。</w:t>
      </w:r>
    </w:p>
    <w:p w14:paraId="45316BE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（6）承担其进入现场、施工开工至发包人接收单项工程或（和）工程之前的现场安全保障责任，责任范围包括但不限于施工安全等，并负责编制相关的安全制度、责任制度和报告制度，提交给发包人。</w:t>
      </w:r>
    </w:p>
    <w:p w14:paraId="4E281510">
      <w:pPr>
        <w:shd w:val="clear"/>
        <w:adjustRightInd w:val="0"/>
        <w:snapToGrid w:val="0"/>
        <w:spacing w:line="360" w:lineRule="auto"/>
        <w:ind w:firstLine="480" w:firstLineChars="200"/>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（7）根据发包人委托，</w:t>
      </w:r>
      <w:r>
        <w:rPr>
          <w:rFonts w:hint="eastAsia" w:ascii="仿宋" w:hAnsi="仿宋" w:eastAsia="仿宋" w:cs="仿宋"/>
          <w:color w:val="auto"/>
          <w:kern w:val="0"/>
          <w:sz w:val="24"/>
          <w:highlight w:val="none"/>
        </w:rPr>
        <w:t>按照法律规定以及国家、行业和地方的规范和标准完成合同范围内的设计工作，并符合设计任务书及发包人要求</w:t>
      </w:r>
      <w:r>
        <w:rPr>
          <w:rFonts w:hint="eastAsia" w:ascii="仿宋" w:hAnsi="仿宋" w:eastAsia="仿宋" w:cs="仿宋"/>
          <w:color w:val="auto"/>
          <w:kern w:val="0"/>
          <w:sz w:val="24"/>
          <w:highlight w:val="none"/>
          <w:lang w:eastAsia="zh-CN"/>
        </w:rPr>
        <w:t>，</w:t>
      </w:r>
      <w:r>
        <w:rPr>
          <w:rFonts w:hint="eastAsia" w:ascii="仿宋" w:hAnsi="仿宋" w:eastAsia="仿宋" w:cs="仿宋"/>
          <w:snapToGrid w:val="0"/>
          <w:color w:val="auto"/>
          <w:kern w:val="0"/>
          <w:sz w:val="24"/>
          <w:highlight w:val="none"/>
        </w:rPr>
        <w:t>确保通过政府主管部门的技术审查，经发包人确认后使用；</w:t>
      </w:r>
    </w:p>
    <w:p w14:paraId="72F4B82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（8）向总监理工程师提供年、季、月度工程进度计划及相应进度统计报表；</w:t>
      </w:r>
    </w:p>
    <w:p w14:paraId="33FDCC3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（9）根据工程需要，提供和维修非夜间施工使用的照明、围栏设施；</w:t>
      </w:r>
    </w:p>
    <w:p w14:paraId="242C2BE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（10）按照合同约定的数量和要求，向发包人提供施工场地办公和生活的房屋及设施。</w:t>
      </w:r>
    </w:p>
    <w:p w14:paraId="18C2E11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11）遵守政府有关主管部门对施工内外场地交通、施工噪音以及环境保护和安全生产等的管理规定，按规定办理有关手续，并以书面形式通知发包人，承包人自行办理手续及承担费用，如因承包人责任造成的罚款，亦应由承包人自行承担；</w:t>
      </w:r>
    </w:p>
    <w:p w14:paraId="7141CC3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（12）已竣工工程未交付发包人之前，承包人按合同约定负责已完工程的保护工作，保护期间发生损坏，承包人自费予以修复；如发包人要求承包人采取特殊措施保护，双方另行约定；</w:t>
      </w:r>
    </w:p>
    <w:p w14:paraId="6985DB9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（13）做好施工场地地下管线和邻近建筑物、构筑物（包括文物保护建筑）、古树名木的保护工作；</w:t>
      </w:r>
    </w:p>
    <w:p w14:paraId="1FB5385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（14）保证施工场地清洁符合环境卫生管理的有关规定，交工前清理现场达到合同约定的要求，承担因自身原因违反有关规定造成的损失和罚款；</w:t>
      </w:r>
    </w:p>
    <w:p w14:paraId="4CB51D5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承包人应在工程开工20日前，通知发包人向有关部门办理须由发包人办理的开工批准或施工许可证、工程质量监督手续及其他许可、证件、批件等。发包人需要时，承包人有义务提供协助。发包人委托承包人代办时，承包人应接受该委托事项。</w:t>
      </w:r>
    </w:p>
    <w:p w14:paraId="7F6DA3F2">
      <w:pPr>
        <w:shd w:val="clea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（16）</w:t>
      </w:r>
      <w:r>
        <w:rPr>
          <w:rFonts w:hint="eastAsia" w:ascii="仿宋" w:hAnsi="仿宋" w:eastAsia="仿宋" w:cs="仿宋"/>
          <w:color w:val="auto"/>
          <w:kern w:val="0"/>
          <w:sz w:val="24"/>
          <w:highlight w:val="none"/>
        </w:rPr>
        <w:t>其他义务：</w:t>
      </w:r>
    </w:p>
    <w:p w14:paraId="48BCF95A">
      <w:pPr>
        <w:shd w:val="clea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（a</w:t>
      </w:r>
      <w:r>
        <w:rPr>
          <w:rFonts w:hint="eastAsia" w:ascii="仿宋" w:hAnsi="仿宋" w:eastAsia="仿宋" w:cs="仿宋"/>
          <w:snapToGrid w:val="0"/>
          <w:color w:val="auto"/>
          <w:kern w:val="0"/>
          <w:sz w:val="24"/>
          <w:highlight w:val="none"/>
        </w:rPr>
        <w:t>）</w:t>
      </w:r>
      <w:r>
        <w:rPr>
          <w:rFonts w:hint="eastAsia" w:ascii="仿宋" w:hAnsi="仿宋" w:eastAsia="仿宋" w:cs="仿宋"/>
          <w:color w:val="auto"/>
          <w:kern w:val="0"/>
          <w:sz w:val="24"/>
          <w:highlight w:val="none"/>
        </w:rPr>
        <w:t>承包人应保证其设计文件的质量，并确保按期通过发包人、政府主管部门的审查。</w:t>
      </w:r>
    </w:p>
    <w:p w14:paraId="63873F79">
      <w:pPr>
        <w:shd w:val="clea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（b</w:t>
      </w:r>
      <w:r>
        <w:rPr>
          <w:rFonts w:hint="eastAsia" w:ascii="仿宋" w:hAnsi="仿宋" w:eastAsia="仿宋" w:cs="仿宋"/>
          <w:snapToGrid w:val="0"/>
          <w:color w:val="auto"/>
          <w:kern w:val="0"/>
          <w:sz w:val="24"/>
          <w:highlight w:val="none"/>
        </w:rPr>
        <w:t>）</w:t>
      </w:r>
      <w:r>
        <w:rPr>
          <w:rFonts w:hint="eastAsia" w:ascii="仿宋" w:hAnsi="仿宋" w:eastAsia="仿宋" w:cs="仿宋"/>
          <w:color w:val="auto"/>
          <w:kern w:val="0"/>
          <w:sz w:val="24"/>
          <w:highlight w:val="none"/>
        </w:rPr>
        <w:t>承包人应保证工程资料整理与工程进度同步，并接受总监理工程师的检查。</w:t>
      </w:r>
    </w:p>
    <w:p w14:paraId="0470C4F9">
      <w:pPr>
        <w:shd w:val="clear"/>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w:t>
      </w:r>
      <w:r>
        <w:rPr>
          <w:rFonts w:hint="eastAsia" w:ascii="仿宋" w:hAnsi="仿宋" w:eastAsia="仿宋" w:cs="仿宋"/>
          <w:snapToGrid w:val="0"/>
          <w:color w:val="auto"/>
          <w:kern w:val="0"/>
          <w:sz w:val="24"/>
          <w:highlight w:val="none"/>
        </w:rPr>
        <w:t>）</w:t>
      </w:r>
      <w:r>
        <w:rPr>
          <w:rFonts w:hint="eastAsia" w:ascii="仿宋" w:hAnsi="仿宋" w:eastAsia="仿宋" w:cs="仿宋"/>
          <w:color w:val="auto"/>
          <w:kern w:val="0"/>
          <w:sz w:val="24"/>
          <w:highlight w:val="none"/>
        </w:rPr>
        <w:t>承包人应当清楚地预计到施工期间对外界可能产生的必需的不可避免的干扰，并为此保证主动努力减少这些干扰对外界的影响，且应当积极主动与外界进行协调。</w:t>
      </w:r>
    </w:p>
    <w:p w14:paraId="130A622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d</w:t>
      </w:r>
      <w:r>
        <w:rPr>
          <w:rFonts w:hint="eastAsia" w:ascii="仿宋" w:hAnsi="仿宋" w:eastAsia="仿宋" w:cs="仿宋"/>
          <w:snapToGrid w:val="0"/>
          <w:color w:val="auto"/>
          <w:kern w:val="0"/>
          <w:sz w:val="24"/>
          <w:highlight w:val="none"/>
        </w:rPr>
        <w:t>）承包人在施工中若发生破坏施工成果的现象，应无条件服从现场发包人委派的监理单位人员及发包人代表协调，并承担相应的补救施工工作，由此而产生的费用自行承担。</w:t>
      </w:r>
    </w:p>
    <w:p w14:paraId="3DD321EF">
      <w:pPr>
        <w:shd w:val="clear"/>
        <w:adjustRightInd w:val="0"/>
        <w:snapToGrid w:val="0"/>
        <w:spacing w:line="360" w:lineRule="auto"/>
        <w:ind w:right="11" w:firstLine="460" w:firstLineChars="192"/>
        <w:rPr>
          <w:rFonts w:ascii="仿宋" w:hAnsi="仿宋" w:eastAsia="仿宋" w:cs="仿宋"/>
          <w:dstrike/>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hint="eastAsia" w:ascii="仿宋" w:hAnsi="仿宋" w:eastAsia="仿宋" w:cs="仿宋"/>
          <w:bCs/>
          <w:snapToGrid w:val="0"/>
          <w:color w:val="auto"/>
          <w:kern w:val="0"/>
          <w:sz w:val="24"/>
          <w:highlight w:val="none"/>
          <w:lang w:val="en-US" w:eastAsia="zh-CN"/>
        </w:rPr>
        <w:t>e</w:t>
      </w:r>
      <w:r>
        <w:rPr>
          <w:rFonts w:hint="eastAsia" w:ascii="仿宋" w:hAnsi="仿宋" w:eastAsia="仿宋" w:cs="仿宋"/>
          <w:bCs/>
          <w:snapToGrid w:val="0"/>
          <w:color w:val="auto"/>
          <w:kern w:val="0"/>
          <w:sz w:val="24"/>
          <w:highlight w:val="none"/>
        </w:rPr>
        <w:t>）</w:t>
      </w:r>
      <w:r>
        <w:rPr>
          <w:rFonts w:hint="eastAsia" w:ascii="仿宋" w:hAnsi="仿宋" w:eastAsia="仿宋" w:cs="仿宋"/>
          <w:snapToGrid w:val="0"/>
          <w:color w:val="auto"/>
          <w:kern w:val="0"/>
          <w:sz w:val="24"/>
          <w:highlight w:val="none"/>
        </w:rPr>
        <w:t>设计及施工过程中，承包人应充分尊重和理解发包人对设计成果提出的书面意见与要求，如无充分的否定理由应尽快予以处理和实施。</w:t>
      </w:r>
    </w:p>
    <w:p w14:paraId="28457094">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f</w:t>
      </w:r>
      <w:r>
        <w:rPr>
          <w:rFonts w:hint="eastAsia" w:ascii="仿宋" w:hAnsi="仿宋" w:eastAsia="仿宋" w:cs="仿宋"/>
          <w:snapToGrid w:val="0"/>
          <w:color w:val="auto"/>
          <w:kern w:val="0"/>
          <w:sz w:val="24"/>
          <w:highlight w:val="none"/>
        </w:rPr>
        <w:t>）在设计阶段，承包人应根据发包人的意见，及时修改、完善设计文件，负责完成由于设计失误未获发包人批准而出现的反复修改的工作。</w:t>
      </w:r>
    </w:p>
    <w:p w14:paraId="5CB7CB0F">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g</w:t>
      </w:r>
      <w:r>
        <w:rPr>
          <w:rFonts w:hint="eastAsia" w:ascii="仿宋" w:hAnsi="仿宋" w:eastAsia="仿宋" w:cs="仿宋"/>
          <w:snapToGrid w:val="0"/>
          <w:color w:val="auto"/>
          <w:kern w:val="0"/>
          <w:sz w:val="24"/>
          <w:highlight w:val="none"/>
        </w:rPr>
        <w:t>）承包人不享有对设计文件的留置权，由承包人或其专业承包单位完成的设计文件应依据本合同约定的时间提交给发包人的，不论承包人与其专业承包单位有何种约定或分工，均不得拒绝或拖延向发包人提交。</w:t>
      </w:r>
    </w:p>
    <w:p w14:paraId="238AE044">
      <w:pPr>
        <w:shd w:val="clear"/>
        <w:adjustRightInd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h</w:t>
      </w:r>
      <w:r>
        <w:rPr>
          <w:rFonts w:hint="eastAsia" w:ascii="仿宋" w:hAnsi="仿宋" w:eastAsia="仿宋" w:cs="仿宋"/>
          <w:snapToGrid w:val="0"/>
          <w:color w:val="auto"/>
          <w:kern w:val="0"/>
          <w:sz w:val="24"/>
          <w:highlight w:val="none"/>
        </w:rPr>
        <w:t>）承包人对设计文件及施工过程中的所有设计变更的合理性、合规性、合法性负责。</w:t>
      </w:r>
    </w:p>
    <w:p w14:paraId="43B12576">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iCs/>
          <w:snapToGrid w:val="0"/>
          <w:color w:val="auto"/>
          <w:kern w:val="0"/>
          <w:sz w:val="24"/>
          <w:highlight w:val="none"/>
        </w:rPr>
        <w:t>9.3</w:t>
      </w:r>
      <w:r>
        <w:rPr>
          <w:rFonts w:hint="eastAsia" w:ascii="仿宋" w:hAnsi="仿宋" w:eastAsia="仿宋" w:cs="仿宋"/>
          <w:snapToGrid w:val="0"/>
          <w:color w:val="auto"/>
          <w:kern w:val="0"/>
          <w:sz w:val="24"/>
          <w:highlight w:val="none"/>
        </w:rPr>
        <w:t>承包人应当按照国家及广东省、广州市的有关规定和本合同的有关约定加强其参与本工程建设人员（包括施工人员）的管理。</w:t>
      </w:r>
    </w:p>
    <w:p w14:paraId="42E35DFD">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iCs/>
          <w:snapToGrid w:val="0"/>
          <w:color w:val="auto"/>
          <w:kern w:val="0"/>
          <w:sz w:val="24"/>
          <w:highlight w:val="none"/>
        </w:rPr>
        <w:t>（1）对工人（包括施工人员，下同）工资</w:t>
      </w:r>
      <w:r>
        <w:rPr>
          <w:rFonts w:hint="eastAsia" w:ascii="仿宋" w:hAnsi="仿宋" w:eastAsia="仿宋" w:cs="仿宋"/>
          <w:bCs/>
          <w:iCs/>
          <w:snapToGrid w:val="0"/>
          <w:color w:val="auto"/>
          <w:kern w:val="0"/>
          <w:sz w:val="24"/>
          <w:highlight w:val="none"/>
          <w:lang w:eastAsia="zh-CN"/>
        </w:rPr>
        <w:t>实行分账</w:t>
      </w:r>
      <w:r>
        <w:rPr>
          <w:rFonts w:hint="eastAsia" w:ascii="仿宋" w:hAnsi="仿宋" w:eastAsia="仿宋" w:cs="仿宋"/>
          <w:bCs/>
          <w:iCs/>
          <w:snapToGrid w:val="0"/>
          <w:color w:val="auto"/>
          <w:kern w:val="0"/>
          <w:sz w:val="24"/>
          <w:highlight w:val="none"/>
        </w:rPr>
        <w:t>管理，</w:t>
      </w:r>
      <w:r>
        <w:rPr>
          <w:rFonts w:hint="eastAsia" w:ascii="仿宋" w:hAnsi="仿宋" w:eastAsia="仿宋" w:cs="仿宋"/>
          <w:snapToGrid w:val="0"/>
          <w:color w:val="auto"/>
          <w:kern w:val="0"/>
          <w:sz w:val="24"/>
          <w:highlight w:val="none"/>
        </w:rPr>
        <w:t>按时足额支付工人工资。</w:t>
      </w:r>
    </w:p>
    <w:p w14:paraId="58A8D6B0">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（a）</w:t>
      </w:r>
      <w:r>
        <w:rPr>
          <w:rFonts w:hint="eastAsia" w:ascii="仿宋" w:hAnsi="仿宋" w:eastAsia="仿宋" w:cs="仿宋"/>
          <w:snapToGrid w:val="0"/>
          <w:color w:val="auto"/>
          <w:kern w:val="0"/>
          <w:sz w:val="24"/>
          <w:highlight w:val="none"/>
        </w:rPr>
        <w:t xml:space="preserve"> 承包人应当根据劳动合同约定的工人工资标准等内容，按照依法签订的集体合同或劳动合同约定的日期按月支付工资，并不得低于当地最低工资标准。</w:t>
      </w:r>
    </w:p>
    <w:p w14:paraId="168D0DE4">
      <w:pPr>
        <w:shd w:val="clea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lang w:eastAsia="zh-CN"/>
        </w:rPr>
        <w:t>（b）</w:t>
      </w:r>
      <w:r>
        <w:rPr>
          <w:rFonts w:hint="eastAsia" w:ascii="仿宋" w:hAnsi="仿宋" w:eastAsia="仿宋" w:cs="仿宋"/>
          <w:bCs/>
          <w:iCs/>
          <w:snapToGrid w:val="0"/>
          <w:color w:val="auto"/>
          <w:kern w:val="0"/>
          <w:sz w:val="24"/>
          <w:highlight w:val="none"/>
        </w:rPr>
        <w:t xml:space="preserve"> 承包人应每月编制</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工资支付表，如实记录支付时间、支付对象、支付金额等工资支付情况，并于每月底在其现场管理机构办公场所显眼位置公示，接受监督。</w:t>
      </w:r>
    </w:p>
    <w:p w14:paraId="52FD1FE9">
      <w:pPr>
        <w:shd w:val="clea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lang w:eastAsia="zh-CN"/>
        </w:rPr>
        <w:t>（c）</w:t>
      </w:r>
      <w:r>
        <w:rPr>
          <w:rFonts w:hint="eastAsia" w:ascii="仿宋" w:hAnsi="仿宋" w:eastAsia="仿宋" w:cs="仿宋"/>
          <w:bCs/>
          <w:iCs/>
          <w:snapToGrid w:val="0"/>
          <w:color w:val="auto"/>
          <w:kern w:val="0"/>
          <w:sz w:val="24"/>
          <w:highlight w:val="none"/>
        </w:rPr>
        <w:t xml:space="preserve"> 承包人应对其专业分包或劳务分包单位工资支付进行监督，督促其依法支付</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工资。</w:t>
      </w:r>
    </w:p>
    <w:p w14:paraId="4A9B5FC2">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bCs/>
          <w:iCs/>
          <w:snapToGrid w:val="0"/>
          <w:color w:val="auto"/>
          <w:kern w:val="0"/>
          <w:sz w:val="24"/>
          <w:highlight w:val="none"/>
          <w:lang w:eastAsia="zh-CN"/>
        </w:rPr>
        <w:t>（d）</w:t>
      </w:r>
      <w:r>
        <w:rPr>
          <w:rFonts w:hint="eastAsia" w:ascii="仿宋" w:hAnsi="仿宋" w:eastAsia="仿宋" w:cs="仿宋"/>
          <w:bCs/>
          <w:iCs/>
          <w:snapToGrid w:val="0"/>
          <w:color w:val="auto"/>
          <w:kern w:val="0"/>
          <w:sz w:val="24"/>
          <w:highlight w:val="none"/>
        </w:rPr>
        <w:t xml:space="preserve"> 承包人</w:t>
      </w:r>
      <w:r>
        <w:rPr>
          <w:rFonts w:hint="eastAsia" w:ascii="仿宋" w:hAnsi="仿宋" w:eastAsia="仿宋" w:cs="仿宋"/>
          <w:snapToGrid w:val="0"/>
          <w:color w:val="auto"/>
          <w:kern w:val="0"/>
          <w:sz w:val="24"/>
          <w:highlight w:val="none"/>
        </w:rPr>
        <w:t>不按合同及有关规定按时、足额支付分包单位合同价款及工人工资而被投诉或上访属实的，发包人将严格按照合同约定追究其违约责任。</w:t>
      </w:r>
    </w:p>
    <w:p w14:paraId="7433BF55">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lang w:eastAsia="zh-CN"/>
        </w:rPr>
        <w:t>（e）</w:t>
      </w:r>
      <w:r>
        <w:rPr>
          <w:rFonts w:hint="eastAsia" w:ascii="仿宋" w:hAnsi="仿宋" w:eastAsia="仿宋" w:cs="仿宋"/>
          <w:snapToGrid w:val="0"/>
          <w:color w:val="auto"/>
          <w:kern w:val="0"/>
          <w:sz w:val="24"/>
          <w:highlight w:val="none"/>
        </w:rPr>
        <w:t xml:space="preserve"> 由于</w:t>
      </w:r>
      <w:r>
        <w:rPr>
          <w:rFonts w:hint="eastAsia" w:ascii="仿宋" w:hAnsi="仿宋" w:eastAsia="仿宋" w:cs="仿宋"/>
          <w:bCs/>
          <w:iCs/>
          <w:snapToGrid w:val="0"/>
          <w:color w:val="auto"/>
          <w:kern w:val="0"/>
          <w:sz w:val="24"/>
          <w:highlight w:val="none"/>
        </w:rPr>
        <w:t>承包人</w:t>
      </w:r>
      <w:r>
        <w:rPr>
          <w:rFonts w:hint="eastAsia" w:ascii="仿宋" w:hAnsi="仿宋" w:eastAsia="仿宋" w:cs="仿宋"/>
          <w:snapToGrid w:val="0"/>
          <w:color w:val="auto"/>
          <w:kern w:val="0"/>
          <w:sz w:val="24"/>
          <w:highlight w:val="none"/>
        </w:rPr>
        <w:t>或其管理的分包单位、劳务合作单位拖欠工人工资，致使发包人被投诉或起诉并被判令先行垫付工人工资的，发包人除追究承包人和</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相关责任单位的违约责任外，还将在工程结算时按合同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.2.3（17）款的约定扣除相关款项作为补偿。</w:t>
      </w:r>
    </w:p>
    <w:p w14:paraId="7CA72F1D">
      <w:pPr>
        <w:shd w:val="clea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snapToGrid w:val="0"/>
          <w:color w:val="auto"/>
          <w:kern w:val="0"/>
          <w:sz w:val="24"/>
          <w:highlight w:val="none"/>
          <w:lang w:eastAsia="zh-CN"/>
        </w:rPr>
        <w:t>（f）</w:t>
      </w:r>
      <w:r>
        <w:rPr>
          <w:rFonts w:hint="eastAsia" w:ascii="仿宋" w:hAnsi="仿宋" w:eastAsia="仿宋" w:cs="仿宋"/>
          <w:snapToGrid w:val="0"/>
          <w:color w:val="auto"/>
          <w:kern w:val="0"/>
          <w:sz w:val="24"/>
          <w:highlight w:val="none"/>
        </w:rPr>
        <w:t xml:space="preserve"> </w:t>
      </w:r>
      <w:r>
        <w:rPr>
          <w:rFonts w:hint="eastAsia" w:ascii="仿宋" w:hAnsi="仿宋" w:eastAsia="仿宋" w:cs="仿宋"/>
          <w:bCs/>
          <w:iCs/>
          <w:snapToGrid w:val="0"/>
          <w:color w:val="auto"/>
          <w:kern w:val="0"/>
          <w:sz w:val="24"/>
          <w:highlight w:val="none"/>
        </w:rPr>
        <w:t>承包人必须</w:t>
      </w:r>
      <w:r>
        <w:rPr>
          <w:rFonts w:hint="eastAsia" w:ascii="仿宋" w:hAnsi="仿宋" w:eastAsia="仿宋" w:cs="仿宋"/>
          <w:snapToGrid w:val="0"/>
          <w:color w:val="auto"/>
          <w:kern w:val="0"/>
          <w:sz w:val="24"/>
          <w:highlight w:val="none"/>
        </w:rPr>
        <w:t>以高度负责的态度，对存在的可能引发劳资纠纷的各种因素进行排查，及时化解、处理可能发生劳资纠纷的不稳定因素；尤其是对恶意煽动工人集体上访、集聚围阻的行为，要善于及时发现并敢于揭露、制止，创造安全、文明、和谐的环境。</w:t>
      </w:r>
    </w:p>
    <w:p w14:paraId="551E130B">
      <w:pPr>
        <w:shd w:val="clea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rPr>
        <w:t>（2）成立处理劳资纠纷的协调机构</w:t>
      </w:r>
    </w:p>
    <w:p w14:paraId="2556B674">
      <w:pPr>
        <w:shd w:val="clear"/>
        <w:adjustRightInd w:val="0"/>
        <w:snapToGrid w:val="0"/>
        <w:spacing w:line="360" w:lineRule="auto"/>
        <w:ind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rPr>
        <w:t>承包人</w:t>
      </w:r>
      <w:r>
        <w:rPr>
          <w:rFonts w:hint="eastAsia" w:ascii="仿宋" w:hAnsi="仿宋" w:eastAsia="仿宋" w:cs="仿宋"/>
          <w:snapToGrid w:val="0"/>
          <w:color w:val="auto"/>
          <w:kern w:val="0"/>
          <w:sz w:val="24"/>
          <w:highlight w:val="none"/>
        </w:rPr>
        <w:t>必须成立处理劳资纠纷的协调机构，</w:t>
      </w:r>
      <w:r>
        <w:rPr>
          <w:rFonts w:hint="eastAsia" w:ascii="仿宋" w:hAnsi="仿宋" w:eastAsia="仿宋" w:cs="仿宋"/>
          <w:bCs/>
          <w:iCs/>
          <w:snapToGrid w:val="0"/>
          <w:color w:val="auto"/>
          <w:kern w:val="0"/>
          <w:sz w:val="24"/>
          <w:highlight w:val="none"/>
        </w:rPr>
        <w:t>承包人主管领导和项目经理要亲自负责，配备专职人员，及时化解劳资矛盾及纠纷，并及时揭露、制止恶意煽动</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集体上访、集聚围阻的行为，保证不发生</w:t>
      </w:r>
      <w:r>
        <w:rPr>
          <w:rFonts w:hint="eastAsia" w:ascii="仿宋" w:hAnsi="仿宋" w:eastAsia="仿宋" w:cs="仿宋"/>
          <w:snapToGrid w:val="0"/>
          <w:color w:val="auto"/>
          <w:kern w:val="0"/>
          <w:sz w:val="24"/>
          <w:highlight w:val="none"/>
        </w:rPr>
        <w:t>工人</w:t>
      </w:r>
      <w:r>
        <w:rPr>
          <w:rFonts w:hint="eastAsia" w:ascii="仿宋" w:hAnsi="仿宋" w:eastAsia="仿宋" w:cs="仿宋"/>
          <w:bCs/>
          <w:iCs/>
          <w:snapToGrid w:val="0"/>
          <w:color w:val="auto"/>
          <w:kern w:val="0"/>
          <w:sz w:val="24"/>
          <w:highlight w:val="none"/>
        </w:rPr>
        <w:t>集体上访、集聚围阻等事件。</w:t>
      </w:r>
    </w:p>
    <w:p w14:paraId="3D4A8C4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9.4承包人未能履行合同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条款第9.2、9.3款各项义务，造成发包人损失的，承包人赔偿发包人有关损失。</w:t>
      </w:r>
    </w:p>
    <w:p w14:paraId="4DB73F26">
      <w:pPr>
        <w:shd w:val="clea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bCs/>
          <w:iCs/>
          <w:snapToGrid w:val="0"/>
          <w:color w:val="auto"/>
          <w:kern w:val="0"/>
          <w:sz w:val="24"/>
          <w:highlight w:val="none"/>
        </w:rPr>
        <w:t>9.5承包人应在签订本合同的同时按合同附件与格式与发包人签订《合同价款组成表》《工程质量保修书》等文件。</w:t>
      </w:r>
    </w:p>
    <w:p w14:paraId="3F0E0506">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9.6承包人须于每月最后一日前向总监理工程师提供综合报表（内容包括但不限于如下计划、报表或报告），经总监理工程师审核，并报发包人批准后实施：</w:t>
      </w:r>
    </w:p>
    <w:p w14:paraId="0E774D31">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1</w:t>
      </w:r>
      <w:r>
        <w:rPr>
          <w:rFonts w:hint="eastAsia" w:ascii="仿宋" w:hAnsi="仿宋" w:eastAsia="仿宋" w:cs="仿宋"/>
          <w:bCs/>
          <w:snapToGrid w:val="0"/>
          <w:color w:val="auto"/>
          <w:kern w:val="0"/>
          <w:sz w:val="24"/>
          <w:highlight w:val="none"/>
        </w:rPr>
        <w:t>）当月应完成的工程进度和实际完成进度统计报表，当月完成的工程量申报（要求分细项申报，并含有完成金额），当月工程质量、安全生产、文明施工情况报告，当月工程事故报告（如果发生时，须同时报政府相关部门），当月</w:t>
      </w:r>
      <w:r>
        <w:rPr>
          <w:rFonts w:hint="eastAsia" w:ascii="仿宋" w:hAnsi="仿宋" w:eastAsia="仿宋" w:cs="仿宋"/>
          <w:snapToGrid w:val="0"/>
          <w:color w:val="auto"/>
          <w:kern w:val="0"/>
          <w:sz w:val="24"/>
          <w:highlight w:val="none"/>
        </w:rPr>
        <w:t>其协调管理范围内各专业工程间的组织管理、协调、配合等方面情况及所出现问题的专项报告</w:t>
      </w:r>
      <w:r>
        <w:rPr>
          <w:rFonts w:hint="eastAsia" w:ascii="仿宋" w:hAnsi="仿宋" w:eastAsia="仿宋" w:cs="仿宋"/>
          <w:bCs/>
          <w:snapToGrid w:val="0"/>
          <w:color w:val="auto"/>
          <w:kern w:val="0"/>
          <w:sz w:val="24"/>
          <w:highlight w:val="none"/>
        </w:rPr>
        <w:t>（统计时段从上月二十五日至当月二十四日）。</w:t>
      </w:r>
    </w:p>
    <w:p w14:paraId="0567D340">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w:t>
      </w:r>
      <w:r>
        <w:rPr>
          <w:rFonts w:ascii="仿宋" w:hAnsi="仿宋" w:eastAsia="仿宋" w:cs="仿宋"/>
          <w:bCs/>
          <w:snapToGrid w:val="0"/>
          <w:color w:val="auto"/>
          <w:kern w:val="0"/>
          <w:sz w:val="24"/>
          <w:highlight w:val="none"/>
        </w:rPr>
        <w:t>2</w:t>
      </w:r>
      <w:r>
        <w:rPr>
          <w:rFonts w:hint="eastAsia" w:ascii="仿宋" w:hAnsi="仿宋" w:eastAsia="仿宋" w:cs="仿宋"/>
          <w:bCs/>
          <w:snapToGrid w:val="0"/>
          <w:color w:val="auto"/>
          <w:kern w:val="0"/>
          <w:sz w:val="24"/>
          <w:highlight w:val="none"/>
        </w:rPr>
        <w:t>）下月资金使用计划，下月施工进度计划，下月施工拟投入设备，劳动力计划（统计时段从本月二十五日至下月二十四日）。</w:t>
      </w:r>
    </w:p>
    <w:p w14:paraId="009EFA34">
      <w:pPr>
        <w:shd w:val="clear"/>
        <w:adjustRightInd w:val="0"/>
        <w:snapToGrid w:val="0"/>
        <w:spacing w:line="360" w:lineRule="auto"/>
        <w:ind w:right="11"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所有计划、报表及报告的具体格式，应按照发包人或监理人要求填报。</w:t>
      </w:r>
    </w:p>
    <w:p w14:paraId="167E70EB">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9.7联合体（若有）</w:t>
      </w:r>
    </w:p>
    <w:p w14:paraId="58007A1C">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本合同工程承包人如为联合体的，须遵照如下约定：</w:t>
      </w:r>
    </w:p>
    <w:p w14:paraId="077DCF13">
      <w:pPr>
        <w:shd w:val="clear"/>
        <w:adjustRightInd w:val="0"/>
        <w:snapToGrid w:val="0"/>
        <w:spacing w:line="360" w:lineRule="auto"/>
        <w:ind w:right="1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（1）联合体各成员应当按照招标文件提供的格式签订联合体协议书，明确联合体牵头人、联合体授权代表和各成员权利义务。</w:t>
      </w:r>
    </w:p>
    <w:p w14:paraId="29EA829D">
      <w:pPr>
        <w:shd w:val="clear"/>
        <w:adjustRightInd w:val="0"/>
        <w:snapToGrid w:val="0"/>
        <w:spacing w:line="360" w:lineRule="auto"/>
        <w:ind w:right="1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（2）联合体协议书经发包人确认后作为合同附件。在履行合同过程中，未经发包人同意，不得修改联合体协议书。</w:t>
      </w:r>
    </w:p>
    <w:p w14:paraId="166ABD72">
      <w:pPr>
        <w:shd w:val="clear"/>
        <w:adjustRightInd w:val="0"/>
        <w:snapToGrid w:val="0"/>
        <w:spacing w:line="360" w:lineRule="auto"/>
        <w:ind w:right="1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（3）联合体主办方或联合体授权的代表负责与发包人和监理单位联系，并接受指示，负责组织联合体各成员全面履行合同。</w:t>
      </w:r>
    </w:p>
    <w:p w14:paraId="7D27751C">
      <w:pPr>
        <w:shd w:val="clear"/>
        <w:adjustRightInd w:val="0"/>
        <w:snapToGrid w:val="0"/>
        <w:spacing w:line="360" w:lineRule="auto"/>
        <w:rPr>
          <w:rFonts w:ascii="仿宋" w:hAnsi="仿宋" w:eastAsia="仿宋" w:cs="仿宋"/>
          <w:b/>
          <w:snapToGrid w:val="0"/>
          <w:color w:val="auto"/>
          <w:kern w:val="0"/>
          <w:sz w:val="24"/>
          <w:highlight w:val="none"/>
        </w:rPr>
      </w:pPr>
    </w:p>
    <w:p w14:paraId="29C50BD0">
      <w:pPr>
        <w:shd w:val="clear"/>
        <w:adjustRightInd w:val="0"/>
        <w:snapToGrid w:val="0"/>
        <w:spacing w:line="360" w:lineRule="auto"/>
        <w:outlineLvl w:val="1"/>
        <w:rPr>
          <w:rFonts w:ascii="仿宋" w:hAnsi="仿宋" w:eastAsia="仿宋" w:cs="仿宋"/>
          <w:b/>
          <w:snapToGrid w:val="0"/>
          <w:color w:val="auto"/>
          <w:kern w:val="0"/>
          <w:sz w:val="24"/>
          <w:highlight w:val="none"/>
        </w:rPr>
      </w:pPr>
      <w:bookmarkStart w:id="73" w:name="_Toc504465887"/>
      <w:bookmarkStart w:id="74" w:name="_Toc502215484"/>
      <w:bookmarkStart w:id="75" w:name="_Toc13927"/>
      <w:bookmarkStart w:id="76" w:name="_Toc83377253"/>
      <w:bookmarkStart w:id="77" w:name="_Toc2784865"/>
      <w:r>
        <w:rPr>
          <w:rFonts w:hint="eastAsia" w:ascii="仿宋" w:hAnsi="仿宋" w:eastAsia="仿宋" w:cs="仿宋"/>
          <w:b/>
          <w:snapToGrid w:val="0"/>
          <w:color w:val="auto"/>
          <w:kern w:val="0"/>
          <w:sz w:val="24"/>
          <w:highlight w:val="none"/>
        </w:rPr>
        <w:t>三、工程设计</w:t>
      </w:r>
      <w:bookmarkEnd w:id="73"/>
      <w:bookmarkEnd w:id="74"/>
      <w:bookmarkEnd w:id="75"/>
      <w:bookmarkEnd w:id="76"/>
      <w:bookmarkEnd w:id="77"/>
    </w:p>
    <w:p w14:paraId="0932325F">
      <w:pPr>
        <w:shd w:val="clear"/>
        <w:adjustRightInd w:val="0"/>
        <w:snapToGrid w:val="0"/>
        <w:spacing w:line="360" w:lineRule="auto"/>
        <w:outlineLvl w:val="2"/>
        <w:rPr>
          <w:rFonts w:ascii="仿宋" w:hAnsi="仿宋" w:eastAsia="仿宋" w:cs="仿宋"/>
          <w:b/>
          <w:bCs/>
          <w:snapToGrid w:val="0"/>
          <w:color w:val="auto"/>
          <w:kern w:val="0"/>
          <w:sz w:val="24"/>
          <w:highlight w:val="none"/>
        </w:rPr>
      </w:pPr>
      <w:bookmarkStart w:id="78" w:name="_Toc2784866"/>
      <w:bookmarkStart w:id="79" w:name="_Toc504465888"/>
      <w:bookmarkStart w:id="80" w:name="_Toc502215485"/>
      <w:bookmarkStart w:id="81" w:name="_Toc83377254"/>
      <w:bookmarkStart w:id="82" w:name="_Toc5749"/>
      <w:r>
        <w:rPr>
          <w:rFonts w:hint="eastAsia" w:ascii="仿宋" w:hAnsi="仿宋" w:eastAsia="仿宋" w:cs="仿宋"/>
          <w:b/>
          <w:bCs/>
          <w:snapToGrid w:val="0"/>
          <w:color w:val="auto"/>
          <w:kern w:val="0"/>
          <w:sz w:val="24"/>
          <w:highlight w:val="none"/>
          <w:lang w:eastAsia="zh-CN"/>
        </w:rPr>
        <w:t>10.</w:t>
      </w:r>
      <w:r>
        <w:rPr>
          <w:rFonts w:hint="eastAsia" w:ascii="仿宋" w:hAnsi="仿宋" w:eastAsia="仿宋" w:cs="仿宋"/>
          <w:b/>
          <w:color w:val="auto"/>
          <w:sz w:val="24"/>
          <w:highlight w:val="none"/>
        </w:rPr>
        <w:t>工程</w:t>
      </w:r>
      <w:r>
        <w:rPr>
          <w:rFonts w:hint="eastAsia" w:ascii="仿宋" w:hAnsi="仿宋" w:eastAsia="仿宋" w:cs="仿宋"/>
          <w:b/>
          <w:bCs/>
          <w:snapToGrid w:val="0"/>
          <w:color w:val="auto"/>
          <w:kern w:val="0"/>
          <w:sz w:val="24"/>
          <w:highlight w:val="none"/>
        </w:rPr>
        <w:t>设计范围、内容、设计人员要求、设计成果要求</w:t>
      </w:r>
      <w:bookmarkEnd w:id="78"/>
      <w:bookmarkEnd w:id="79"/>
      <w:bookmarkEnd w:id="80"/>
      <w:bookmarkEnd w:id="81"/>
      <w:bookmarkEnd w:id="82"/>
    </w:p>
    <w:p w14:paraId="0A093C95">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10.1设计范围：按合同协议书约定。</w:t>
      </w:r>
    </w:p>
    <w:p w14:paraId="1D4D8568">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10.2设计内容：按合同协议书约定。</w:t>
      </w:r>
      <w:bookmarkStart w:id="83" w:name="_Toc357857073"/>
    </w:p>
    <w:p w14:paraId="3EB125B5">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10.3设计人员要求</w:t>
      </w:r>
      <w:bookmarkEnd w:id="83"/>
    </w:p>
    <w:p w14:paraId="40753789">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（1）应根据设计任务建立项目组，从组织上保证投入的人力、物力能满足设计开展的需要，保证设计工作的连续性和外部条件接口衔接的连贯性。</w:t>
      </w:r>
    </w:p>
    <w:p w14:paraId="56F865E1">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（2）在设计高峰或发包人认为有必要时，承包人必须集中力量确保设计进度。</w:t>
      </w:r>
    </w:p>
    <w:p w14:paraId="3FD3CDD7">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（3）在明确分工各负其责的基础上，承包人承诺为本合同约定项目指定的设计负责人为：</w:t>
      </w:r>
      <w:r>
        <w:rPr>
          <w:rFonts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ascii="仿宋" w:hAnsi="仿宋" w:eastAsia="仿宋" w:cs="仿宋"/>
          <w:sz w:val="24"/>
          <w:highlight w:val="none"/>
          <w:u w:val="single"/>
        </w:rPr>
        <w:t xml:space="preserve"> </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06B8FD3">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（4）项目设计负责人、专业设计负责人的经验、能力和健康状况应能够胜任所承担任务的设计、组织、计划、协调工作。</w:t>
      </w:r>
    </w:p>
    <w:p w14:paraId="1B5539EB">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（5）承包人须向发包人报送项目设计负责人、专业设计负责人、其他参与设计工作的人员的姓名、年龄、学历、专业、职称、职务、相关经历和主要技术成果以及在本合同约定项目中负责的设计任务等资料。</w:t>
      </w:r>
    </w:p>
    <w:p w14:paraId="38993B66">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snapToGrid w:val="0"/>
          <w:color w:val="auto"/>
          <w:kern w:val="0"/>
          <w:sz w:val="24"/>
          <w:highlight w:val="none"/>
        </w:rPr>
        <w:t>承包人如为境外机构，必须自行配备专业翻译一名。</w:t>
      </w:r>
    </w:p>
    <w:p w14:paraId="7E79B958">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认为设计负责人、</w:t>
      </w:r>
      <w:r>
        <w:rPr>
          <w:rFonts w:hint="eastAsia" w:ascii="仿宋" w:hAnsi="仿宋" w:eastAsia="仿宋" w:cs="仿宋"/>
          <w:color w:val="auto"/>
          <w:sz w:val="24"/>
          <w:highlight w:val="none"/>
        </w:rPr>
        <w:t>专业设计负责人</w:t>
      </w:r>
      <w:r>
        <w:rPr>
          <w:rFonts w:hint="eastAsia" w:ascii="仿宋" w:hAnsi="仿宋" w:eastAsia="仿宋" w:cs="仿宋"/>
          <w:snapToGrid w:val="0"/>
          <w:color w:val="auto"/>
          <w:kern w:val="0"/>
          <w:sz w:val="24"/>
          <w:highlight w:val="none"/>
        </w:rPr>
        <w:t>不称职时，有权向承包人发出书面更换人员通知，承包人应当在收到</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的书面通知后5天内更换，更换人员的职务、资历、资格不得低于本合同相应条款的要求，且更换人员须先经过发包人确认。若承包人对</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要求更换人员有异议时，可申请复议一次，若经复议后</w:t>
      </w:r>
      <w:r>
        <w:rPr>
          <w:rFonts w:hint="eastAsia" w:ascii="仿宋" w:hAnsi="仿宋" w:eastAsia="仿宋" w:cs="仿宋"/>
          <w:color w:val="auto"/>
          <w:kern w:val="0"/>
          <w:sz w:val="24"/>
          <w:highlight w:val="none"/>
        </w:rPr>
        <w:t>发包人</w:t>
      </w:r>
      <w:r>
        <w:rPr>
          <w:rFonts w:hint="eastAsia" w:ascii="仿宋" w:hAnsi="仿宋" w:eastAsia="仿宋" w:cs="仿宋"/>
          <w:snapToGrid w:val="0"/>
          <w:color w:val="auto"/>
          <w:kern w:val="0"/>
          <w:sz w:val="24"/>
          <w:highlight w:val="none"/>
        </w:rPr>
        <w:t>仍然要求更换，则承包人应无条件进行更换，否则视承包人该人员从发包人发出更换通知的时间开始擅自离岗。</w:t>
      </w:r>
    </w:p>
    <w:p w14:paraId="106FFA48">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lang w:val="en-US" w:eastAsia="zh-CN"/>
        </w:rPr>
        <w:t>8</w:t>
      </w:r>
      <w:r>
        <w:rPr>
          <w:rFonts w:hint="eastAsia" w:ascii="仿宋" w:hAnsi="仿宋" w:eastAsia="仿宋" w:cs="仿宋"/>
          <w:snapToGrid w:val="0"/>
          <w:color w:val="auto"/>
          <w:kern w:val="0"/>
          <w:sz w:val="24"/>
          <w:highlight w:val="none"/>
        </w:rPr>
        <w:t>）当发包人认为承包人的</w:t>
      </w:r>
      <w:r>
        <w:rPr>
          <w:rFonts w:hint="eastAsia" w:ascii="仿宋" w:hAnsi="仿宋" w:eastAsia="仿宋" w:cs="仿宋"/>
          <w:snapToGrid w:val="0"/>
          <w:color w:val="auto"/>
          <w:kern w:val="0"/>
          <w:sz w:val="24"/>
          <w:szCs w:val="22"/>
          <w:highlight w:val="none"/>
        </w:rPr>
        <w:t>设计人员及管理服务人员的数量、专业水平、专业配套等达不到设计所需时，发包人有权要求承包人更换及补充相关人员，直至满足设计工</w:t>
      </w:r>
      <w:r>
        <w:rPr>
          <w:rFonts w:hint="eastAsia" w:ascii="仿宋" w:hAnsi="仿宋" w:eastAsia="仿宋" w:cs="仿宋"/>
          <w:snapToGrid w:val="0"/>
          <w:color w:val="auto"/>
          <w:kern w:val="0"/>
          <w:sz w:val="24"/>
          <w:highlight w:val="none"/>
        </w:rPr>
        <w:t>作要求为止，否则发包人有权扣减设计费直至解除合同等。</w:t>
      </w:r>
    </w:p>
    <w:p w14:paraId="143AF834">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10.4设计成果文件的提交</w:t>
      </w:r>
    </w:p>
    <w:p w14:paraId="2A32500D">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（1）设计文件包括设计图纸、说明书、计算书、概算文件及其电子版本。</w:t>
      </w:r>
    </w:p>
    <w:p w14:paraId="4E8F143B">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（2）设计</w:t>
      </w:r>
      <w:r>
        <w:rPr>
          <w:rFonts w:hint="eastAsia" w:ascii="仿宋" w:hAnsi="仿宋" w:eastAsia="仿宋" w:cs="仿宋"/>
          <w:snapToGrid w:val="0"/>
          <w:color w:val="auto"/>
          <w:kern w:val="0"/>
          <w:sz w:val="24"/>
          <w:szCs w:val="22"/>
          <w:highlight w:val="none"/>
        </w:rPr>
        <w:t>成果</w:t>
      </w:r>
      <w:r>
        <w:rPr>
          <w:rFonts w:hint="eastAsia" w:ascii="仿宋" w:hAnsi="仿宋" w:eastAsia="仿宋" w:cs="仿宋"/>
          <w:color w:val="auto"/>
          <w:sz w:val="24"/>
          <w:highlight w:val="none"/>
        </w:rPr>
        <w:t>包含施工图设计。设计文件除应提供设计范围的相关图纸、总设计说明、工程项目及数量汇总表外，还应提供所需设计图纸以及必要的设计资料和设计计算书。交付设计文件和资料时应附带清单。</w:t>
      </w:r>
    </w:p>
    <w:p w14:paraId="5719D0CB">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（3）应按项目编码方式进行文件、图纸的编码，并遵守发包人制定的设计文件、图纸、资料的发放、回收和验收制度。</w:t>
      </w:r>
    </w:p>
    <w:p w14:paraId="41520715">
      <w:pPr>
        <w:shd w:val="clear"/>
        <w:spacing w:line="360" w:lineRule="auto"/>
        <w:ind w:firstLine="480" w:firstLineChars="200"/>
        <w:rPr>
          <w:rFonts w:ascii="仿宋" w:hAnsi="仿宋" w:eastAsia="仿宋" w:cs="仿宋"/>
          <w:color w:val="auto"/>
          <w:sz w:val="24"/>
          <w:szCs w:val="22"/>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szCs w:val="22"/>
          <w:highlight w:val="none"/>
        </w:rPr>
        <w:t>设计送审稿资料须向发包人提交8</w:t>
      </w:r>
      <w:r>
        <w:rPr>
          <w:rFonts w:hint="eastAsia" w:ascii="仿宋" w:hAnsi="仿宋" w:eastAsia="仿宋" w:cs="仿宋"/>
          <w:color w:val="auto"/>
          <w:highlight w:val="none"/>
        </w:rPr>
        <w:t>套</w:t>
      </w:r>
      <w:r>
        <w:rPr>
          <w:rFonts w:hint="eastAsia" w:ascii="仿宋" w:hAnsi="仿宋" w:eastAsia="仿宋" w:cs="仿宋"/>
          <w:color w:val="auto"/>
          <w:sz w:val="24"/>
          <w:szCs w:val="22"/>
          <w:highlight w:val="none"/>
        </w:rPr>
        <w:t>，含电子光盘1份。</w:t>
      </w:r>
    </w:p>
    <w:p w14:paraId="3493E2D2">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（5）设</w:t>
      </w:r>
      <w:r>
        <w:rPr>
          <w:rFonts w:hint="eastAsia" w:ascii="仿宋" w:hAnsi="仿宋" w:eastAsia="仿宋" w:cs="仿宋"/>
          <w:color w:val="auto"/>
          <w:sz w:val="24"/>
          <w:highlight w:val="none"/>
        </w:rPr>
        <w:t>计终稿资料质量须一次性通过发包人委托的第三方根据合同约定标准进行的审核，须向发包人提交份数具体如下：</w:t>
      </w:r>
    </w:p>
    <w:p w14:paraId="24A96D9B">
      <w:pPr>
        <w:shd w:val="clear"/>
        <w:rPr>
          <w:rFonts w:hint="eastAsia" w:ascii="仿宋" w:hAnsi="仿宋" w:eastAsia="仿宋" w:cs="仿宋"/>
          <w:color w:val="auto"/>
          <w:sz w:val="24"/>
          <w:highlight w:val="none"/>
        </w:rPr>
      </w:pPr>
    </w:p>
    <w:tbl>
      <w:tblPr>
        <w:tblStyle w:val="23"/>
        <w:tblW w:w="4998" w:type="pct"/>
        <w:tblInd w:w="0" w:type="dxa"/>
        <w:tblLayout w:type="autofit"/>
        <w:tblCellMar>
          <w:top w:w="0" w:type="dxa"/>
          <w:left w:w="108" w:type="dxa"/>
          <w:bottom w:w="0" w:type="dxa"/>
          <w:right w:w="108" w:type="dxa"/>
        </w:tblCellMar>
      </w:tblPr>
      <w:tblGrid>
        <w:gridCol w:w="711"/>
        <w:gridCol w:w="1773"/>
        <w:gridCol w:w="1510"/>
        <w:gridCol w:w="1508"/>
        <w:gridCol w:w="1783"/>
        <w:gridCol w:w="1234"/>
      </w:tblGrid>
      <w:tr w14:paraId="484B7609">
        <w:tblPrEx>
          <w:tblCellMar>
            <w:top w:w="0" w:type="dxa"/>
            <w:left w:w="108" w:type="dxa"/>
            <w:bottom w:w="0" w:type="dxa"/>
            <w:right w:w="108" w:type="dxa"/>
          </w:tblCellMar>
        </w:tblPrEx>
        <w:trPr>
          <w:trHeight w:val="285" w:hRule="atLeast"/>
        </w:trPr>
        <w:tc>
          <w:tcPr>
            <w:tcW w:w="417" w:type="pct"/>
            <w:tcBorders>
              <w:top w:val="single" w:color="auto" w:sz="4" w:space="0"/>
              <w:left w:val="single" w:color="auto" w:sz="4" w:space="0"/>
              <w:bottom w:val="single" w:color="auto" w:sz="4" w:space="0"/>
              <w:right w:val="single" w:color="auto" w:sz="4" w:space="0"/>
            </w:tcBorders>
            <w:vAlign w:val="center"/>
          </w:tcPr>
          <w:p w14:paraId="26403DC9">
            <w:pPr>
              <w:widowControl/>
              <w:shd w:val="clear"/>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926" w:type="pct"/>
            <w:gridSpan w:val="2"/>
            <w:tcBorders>
              <w:top w:val="single" w:color="auto" w:sz="4" w:space="0"/>
              <w:left w:val="nil"/>
              <w:bottom w:val="single" w:color="auto" w:sz="4" w:space="0"/>
              <w:right w:val="single" w:color="auto" w:sz="4" w:space="0"/>
            </w:tcBorders>
            <w:vAlign w:val="center"/>
          </w:tcPr>
          <w:p w14:paraId="7B2856EB">
            <w:pPr>
              <w:widowControl/>
              <w:shd w:val="clear"/>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成果文件名称</w:t>
            </w:r>
          </w:p>
        </w:tc>
        <w:tc>
          <w:tcPr>
            <w:tcW w:w="885" w:type="pct"/>
            <w:tcBorders>
              <w:top w:val="single" w:color="auto" w:sz="4" w:space="0"/>
              <w:left w:val="nil"/>
              <w:bottom w:val="single" w:color="auto" w:sz="4" w:space="0"/>
              <w:right w:val="single" w:color="auto" w:sz="4" w:space="0"/>
            </w:tcBorders>
            <w:vAlign w:val="center"/>
          </w:tcPr>
          <w:p w14:paraId="6E70C710">
            <w:pPr>
              <w:widowControl/>
              <w:shd w:val="clear"/>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提交日期</w:t>
            </w:r>
          </w:p>
        </w:tc>
        <w:tc>
          <w:tcPr>
            <w:tcW w:w="1046" w:type="pct"/>
            <w:tcBorders>
              <w:top w:val="single" w:color="auto" w:sz="4" w:space="0"/>
              <w:left w:val="nil"/>
              <w:bottom w:val="single" w:color="auto" w:sz="4" w:space="0"/>
              <w:right w:val="single" w:color="auto" w:sz="4" w:space="0"/>
            </w:tcBorders>
            <w:vAlign w:val="center"/>
          </w:tcPr>
          <w:p w14:paraId="7EDB0AEC">
            <w:pPr>
              <w:widowControl/>
              <w:shd w:val="clear"/>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套（份）数</w:t>
            </w:r>
          </w:p>
        </w:tc>
        <w:tc>
          <w:tcPr>
            <w:tcW w:w="724" w:type="pct"/>
            <w:tcBorders>
              <w:top w:val="single" w:color="auto" w:sz="4" w:space="0"/>
              <w:left w:val="nil"/>
              <w:bottom w:val="single" w:color="auto" w:sz="4" w:space="0"/>
              <w:right w:val="single" w:color="auto" w:sz="4" w:space="0"/>
            </w:tcBorders>
            <w:vAlign w:val="center"/>
          </w:tcPr>
          <w:p w14:paraId="212E17E0">
            <w:pPr>
              <w:widowControl/>
              <w:shd w:val="clear"/>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43FFAFCB">
        <w:tblPrEx>
          <w:tblCellMar>
            <w:top w:w="0" w:type="dxa"/>
            <w:left w:w="108" w:type="dxa"/>
            <w:bottom w:w="0" w:type="dxa"/>
            <w:right w:w="108" w:type="dxa"/>
          </w:tblCellMar>
        </w:tblPrEx>
        <w:trPr>
          <w:trHeight w:val="465" w:hRule="atLeast"/>
        </w:trPr>
        <w:tc>
          <w:tcPr>
            <w:tcW w:w="417" w:type="pct"/>
            <w:tcBorders>
              <w:top w:val="nil"/>
              <w:left w:val="single" w:color="auto" w:sz="4" w:space="0"/>
              <w:bottom w:val="single" w:color="auto" w:sz="4" w:space="0"/>
              <w:right w:val="single" w:color="auto" w:sz="4" w:space="0"/>
            </w:tcBorders>
            <w:vAlign w:val="center"/>
          </w:tcPr>
          <w:p w14:paraId="5C5FB8BC">
            <w:pPr>
              <w:widowControl/>
              <w:shd w:val="clear"/>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926" w:type="pct"/>
            <w:gridSpan w:val="2"/>
            <w:tcBorders>
              <w:top w:val="single" w:color="auto" w:sz="4" w:space="0"/>
              <w:left w:val="nil"/>
              <w:bottom w:val="single" w:color="auto" w:sz="4" w:space="0"/>
              <w:right w:val="single" w:color="auto" w:sz="4" w:space="0"/>
            </w:tcBorders>
            <w:vAlign w:val="center"/>
          </w:tcPr>
          <w:p w14:paraId="60B5FEF0">
            <w:pPr>
              <w:widowControl/>
              <w:shd w:val="clea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施工图设计成果文件（含投资分析报告、主要设备材料技术要求书）</w:t>
            </w:r>
          </w:p>
        </w:tc>
        <w:tc>
          <w:tcPr>
            <w:tcW w:w="885" w:type="pct"/>
            <w:tcBorders>
              <w:top w:val="nil"/>
              <w:left w:val="nil"/>
              <w:bottom w:val="single" w:color="auto" w:sz="4" w:space="0"/>
              <w:right w:val="single" w:color="auto" w:sz="4" w:space="0"/>
            </w:tcBorders>
            <w:vAlign w:val="center"/>
          </w:tcPr>
          <w:p w14:paraId="21E4440C">
            <w:pPr>
              <w:widowControl/>
              <w:shd w:val="clea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按工作计划或发包人要求</w:t>
            </w:r>
          </w:p>
        </w:tc>
        <w:tc>
          <w:tcPr>
            <w:tcW w:w="1046" w:type="pct"/>
            <w:tcBorders>
              <w:top w:val="nil"/>
              <w:left w:val="nil"/>
              <w:bottom w:val="single" w:color="auto" w:sz="4" w:space="0"/>
              <w:right w:val="single" w:color="auto" w:sz="4" w:space="0"/>
            </w:tcBorders>
          </w:tcPr>
          <w:p w14:paraId="3DB4E11C">
            <w:pPr>
              <w:shd w:val="clear"/>
              <w:spacing w:line="312" w:lineRule="auto"/>
              <w:rPr>
                <w:rFonts w:ascii="仿宋" w:hAnsi="仿宋" w:eastAsia="仿宋" w:cs="仿宋"/>
                <w:color w:val="auto"/>
                <w:highlight w:val="none"/>
              </w:rPr>
            </w:pPr>
            <w:r>
              <w:rPr>
                <w:rFonts w:hint="eastAsia" w:ascii="仿宋" w:hAnsi="仿宋" w:eastAsia="仿宋" w:cs="仿宋"/>
                <w:color w:val="auto"/>
                <w:highlight w:val="none"/>
                <w:lang w:eastAsia="zh-CN"/>
              </w:rPr>
              <w:t>4</w:t>
            </w:r>
            <w:r>
              <w:rPr>
                <w:rFonts w:hint="eastAsia" w:ascii="仿宋" w:hAnsi="仿宋" w:eastAsia="仿宋" w:cs="仿宋"/>
                <w:color w:val="auto"/>
                <w:highlight w:val="none"/>
                <w:lang w:val="en-US" w:eastAsia="zh-CN"/>
              </w:rPr>
              <w:t>份</w:t>
            </w:r>
            <w:r>
              <w:rPr>
                <w:rFonts w:hint="eastAsia" w:ascii="仿宋" w:hAnsi="仿宋" w:eastAsia="仿宋" w:cs="仿宋"/>
                <w:color w:val="auto"/>
                <w:highlight w:val="none"/>
              </w:rPr>
              <w:t>或按发包人要求提供</w:t>
            </w:r>
          </w:p>
        </w:tc>
        <w:tc>
          <w:tcPr>
            <w:tcW w:w="724" w:type="pct"/>
            <w:tcBorders>
              <w:top w:val="nil"/>
              <w:left w:val="nil"/>
              <w:bottom w:val="single" w:color="auto" w:sz="4" w:space="0"/>
              <w:right w:val="single" w:color="auto" w:sz="4" w:space="0"/>
            </w:tcBorders>
          </w:tcPr>
          <w:p w14:paraId="445B0793">
            <w:pPr>
              <w:shd w:val="clear"/>
              <w:spacing w:line="312" w:lineRule="auto"/>
              <w:rPr>
                <w:rFonts w:ascii="仿宋" w:hAnsi="仿宋" w:eastAsia="仿宋" w:cs="仿宋"/>
                <w:color w:val="auto"/>
                <w:highlight w:val="none"/>
              </w:rPr>
            </w:pPr>
            <w:r>
              <w:rPr>
                <w:rFonts w:hint="eastAsia" w:ascii="仿宋" w:hAnsi="仿宋" w:eastAsia="仿宋" w:cs="仿宋"/>
                <w:color w:val="auto"/>
                <w:highlight w:val="none"/>
              </w:rPr>
              <w:t>投资分析报告3份、电子文档1份</w:t>
            </w:r>
          </w:p>
        </w:tc>
      </w:tr>
      <w:tr w14:paraId="0D7A98B7">
        <w:tblPrEx>
          <w:tblCellMar>
            <w:top w:w="0" w:type="dxa"/>
            <w:left w:w="108" w:type="dxa"/>
            <w:bottom w:w="0" w:type="dxa"/>
            <w:right w:w="108" w:type="dxa"/>
          </w:tblCellMar>
        </w:tblPrEx>
        <w:trPr>
          <w:trHeight w:val="1173" w:hRule="atLeast"/>
        </w:trPr>
        <w:tc>
          <w:tcPr>
            <w:tcW w:w="417" w:type="pct"/>
            <w:vMerge w:val="restart"/>
            <w:tcBorders>
              <w:top w:val="nil"/>
              <w:left w:val="single" w:color="auto" w:sz="4" w:space="0"/>
              <w:right w:val="single" w:color="auto" w:sz="4" w:space="0"/>
            </w:tcBorders>
            <w:vAlign w:val="center"/>
          </w:tcPr>
          <w:p w14:paraId="198C4294">
            <w:pPr>
              <w:widowControl/>
              <w:shd w:val="clear"/>
              <w:spacing w:line="312"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040" w:type="pct"/>
            <w:vMerge w:val="restart"/>
            <w:tcBorders>
              <w:top w:val="single" w:color="auto" w:sz="4" w:space="0"/>
              <w:left w:val="single" w:color="auto" w:sz="4" w:space="0"/>
              <w:right w:val="single" w:color="auto" w:sz="4" w:space="0"/>
            </w:tcBorders>
            <w:vAlign w:val="center"/>
          </w:tcPr>
          <w:p w14:paraId="3845F1EC">
            <w:pPr>
              <w:widowControl/>
              <w:shd w:val="clea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施工图（主要材料设备清单和技术要求等文件）</w:t>
            </w:r>
          </w:p>
        </w:tc>
        <w:tc>
          <w:tcPr>
            <w:tcW w:w="886" w:type="pct"/>
            <w:vMerge w:val="restart"/>
            <w:tcBorders>
              <w:top w:val="nil"/>
              <w:left w:val="nil"/>
              <w:right w:val="single" w:color="auto" w:sz="4" w:space="0"/>
            </w:tcBorders>
            <w:vAlign w:val="center"/>
          </w:tcPr>
          <w:p w14:paraId="478338C1">
            <w:pPr>
              <w:shd w:val="clea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工程完工的完整版施工图</w:t>
            </w:r>
          </w:p>
        </w:tc>
        <w:tc>
          <w:tcPr>
            <w:tcW w:w="885" w:type="pct"/>
            <w:tcBorders>
              <w:top w:val="nil"/>
              <w:left w:val="nil"/>
              <w:right w:val="single" w:color="auto" w:sz="4" w:space="0"/>
            </w:tcBorders>
          </w:tcPr>
          <w:p w14:paraId="77B53571">
            <w:pPr>
              <w:shd w:val="clear"/>
              <w:spacing w:line="312" w:lineRule="auto"/>
              <w:rPr>
                <w:rFonts w:ascii="仿宋" w:hAnsi="仿宋" w:eastAsia="仿宋" w:cs="仿宋"/>
                <w:strike/>
                <w:color w:val="auto"/>
                <w:kern w:val="0"/>
                <w:szCs w:val="21"/>
                <w:highlight w:val="none"/>
              </w:rPr>
            </w:pPr>
            <w:r>
              <w:rPr>
                <w:rFonts w:hint="eastAsia" w:ascii="仿宋" w:hAnsi="仿宋" w:eastAsia="仿宋" w:cs="仿宋"/>
                <w:color w:val="auto"/>
                <w:kern w:val="0"/>
                <w:szCs w:val="21"/>
                <w:highlight w:val="none"/>
              </w:rPr>
              <w:t>按工作计划或发包人要求</w:t>
            </w:r>
          </w:p>
        </w:tc>
        <w:tc>
          <w:tcPr>
            <w:tcW w:w="1046" w:type="pct"/>
            <w:tcBorders>
              <w:top w:val="nil"/>
              <w:left w:val="nil"/>
              <w:right w:val="single" w:color="auto" w:sz="4" w:space="0"/>
            </w:tcBorders>
          </w:tcPr>
          <w:p w14:paraId="76EEE124">
            <w:pPr>
              <w:shd w:val="clear"/>
              <w:spacing w:line="312" w:lineRule="auto"/>
              <w:rPr>
                <w:rFonts w:ascii="仿宋" w:hAnsi="仿宋" w:eastAsia="仿宋" w:cs="仿宋"/>
                <w:strike/>
                <w:color w:val="auto"/>
                <w:kern w:val="0"/>
                <w:szCs w:val="21"/>
                <w:highlight w:val="none"/>
              </w:rPr>
            </w:pPr>
            <w:r>
              <w:rPr>
                <w:rFonts w:hint="eastAsia" w:ascii="仿宋" w:hAnsi="仿宋" w:eastAsia="仿宋" w:cs="仿宋"/>
                <w:color w:val="auto"/>
                <w:highlight w:val="none"/>
              </w:rPr>
              <w:t>按发包人要求提供</w:t>
            </w:r>
          </w:p>
        </w:tc>
        <w:tc>
          <w:tcPr>
            <w:tcW w:w="724" w:type="pct"/>
            <w:tcBorders>
              <w:top w:val="nil"/>
              <w:left w:val="single" w:color="auto" w:sz="4" w:space="0"/>
              <w:bottom w:val="single" w:color="auto" w:sz="4" w:space="0"/>
              <w:right w:val="single" w:color="auto" w:sz="4" w:space="0"/>
            </w:tcBorders>
          </w:tcPr>
          <w:p w14:paraId="1E3B75F8">
            <w:pPr>
              <w:shd w:val="clear"/>
              <w:spacing w:line="312" w:lineRule="auto"/>
              <w:rPr>
                <w:rFonts w:ascii="仿宋" w:hAnsi="仿宋" w:eastAsia="仿宋" w:cs="仿宋"/>
                <w:strike/>
                <w:color w:val="auto"/>
                <w:kern w:val="0"/>
                <w:szCs w:val="21"/>
                <w:highlight w:val="none"/>
              </w:rPr>
            </w:pPr>
            <w:r>
              <w:rPr>
                <w:rFonts w:hint="eastAsia" w:ascii="仿宋" w:hAnsi="仿宋" w:eastAsia="仿宋" w:cs="仿宋"/>
                <w:color w:val="auto"/>
                <w:highlight w:val="none"/>
              </w:rPr>
              <w:t>电子文档1份</w:t>
            </w:r>
          </w:p>
        </w:tc>
      </w:tr>
      <w:tr w14:paraId="12D6486B">
        <w:tblPrEx>
          <w:tblCellMar>
            <w:top w:w="0" w:type="dxa"/>
            <w:left w:w="108" w:type="dxa"/>
            <w:bottom w:w="0" w:type="dxa"/>
            <w:right w:w="108" w:type="dxa"/>
          </w:tblCellMar>
        </w:tblPrEx>
        <w:trPr>
          <w:trHeight w:val="764" w:hRule="atLeast"/>
        </w:trPr>
        <w:tc>
          <w:tcPr>
            <w:tcW w:w="417" w:type="pct"/>
            <w:vMerge w:val="continue"/>
            <w:tcBorders>
              <w:left w:val="single" w:color="auto" w:sz="4" w:space="0"/>
              <w:bottom w:val="single" w:color="auto" w:sz="4" w:space="0"/>
              <w:right w:val="single" w:color="auto" w:sz="4" w:space="0"/>
            </w:tcBorders>
            <w:vAlign w:val="center"/>
          </w:tcPr>
          <w:p w14:paraId="0A1A1293">
            <w:pPr>
              <w:widowControl/>
              <w:shd w:val="clear"/>
              <w:spacing w:line="312" w:lineRule="auto"/>
              <w:jc w:val="left"/>
              <w:rPr>
                <w:rFonts w:ascii="仿宋" w:hAnsi="仿宋" w:eastAsia="仿宋" w:cs="仿宋"/>
                <w:color w:val="auto"/>
                <w:kern w:val="0"/>
                <w:szCs w:val="21"/>
                <w:highlight w:val="none"/>
              </w:rPr>
            </w:pPr>
          </w:p>
        </w:tc>
        <w:tc>
          <w:tcPr>
            <w:tcW w:w="1040" w:type="pct"/>
            <w:vMerge w:val="continue"/>
            <w:tcBorders>
              <w:left w:val="single" w:color="auto" w:sz="4" w:space="0"/>
              <w:bottom w:val="single" w:color="auto" w:sz="4" w:space="0"/>
              <w:right w:val="single" w:color="auto" w:sz="4" w:space="0"/>
            </w:tcBorders>
            <w:vAlign w:val="center"/>
          </w:tcPr>
          <w:p w14:paraId="01D3DBE1">
            <w:pPr>
              <w:widowControl/>
              <w:shd w:val="clear"/>
              <w:spacing w:line="312" w:lineRule="auto"/>
              <w:jc w:val="left"/>
              <w:rPr>
                <w:rFonts w:ascii="仿宋" w:hAnsi="仿宋" w:eastAsia="仿宋" w:cs="仿宋"/>
                <w:color w:val="auto"/>
                <w:kern w:val="0"/>
                <w:szCs w:val="21"/>
                <w:highlight w:val="none"/>
              </w:rPr>
            </w:pPr>
          </w:p>
        </w:tc>
        <w:tc>
          <w:tcPr>
            <w:tcW w:w="886" w:type="pct"/>
            <w:vMerge w:val="continue"/>
            <w:tcBorders>
              <w:left w:val="nil"/>
              <w:bottom w:val="single" w:color="auto" w:sz="4" w:space="0"/>
              <w:right w:val="single" w:color="auto" w:sz="4" w:space="0"/>
            </w:tcBorders>
            <w:vAlign w:val="center"/>
          </w:tcPr>
          <w:p w14:paraId="7120B002">
            <w:pPr>
              <w:shd w:val="clear"/>
              <w:spacing w:line="312" w:lineRule="auto"/>
              <w:rPr>
                <w:rFonts w:ascii="仿宋" w:hAnsi="仿宋" w:eastAsia="仿宋" w:cs="仿宋"/>
                <w:color w:val="auto"/>
                <w:kern w:val="0"/>
                <w:szCs w:val="21"/>
                <w:highlight w:val="none"/>
              </w:rPr>
            </w:pPr>
          </w:p>
        </w:tc>
        <w:tc>
          <w:tcPr>
            <w:tcW w:w="885" w:type="pct"/>
            <w:tcBorders>
              <w:top w:val="single" w:color="auto" w:sz="4" w:space="0"/>
              <w:left w:val="single" w:color="auto" w:sz="4" w:space="0"/>
              <w:bottom w:val="single" w:color="auto" w:sz="4" w:space="0"/>
              <w:right w:val="single" w:color="auto" w:sz="4" w:space="0"/>
            </w:tcBorders>
          </w:tcPr>
          <w:p w14:paraId="7C449401">
            <w:pPr>
              <w:shd w:val="clea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竣工验收前</w:t>
            </w:r>
          </w:p>
        </w:tc>
        <w:tc>
          <w:tcPr>
            <w:tcW w:w="1046" w:type="pct"/>
            <w:tcBorders>
              <w:top w:val="single" w:color="auto" w:sz="4" w:space="0"/>
              <w:left w:val="single" w:color="auto" w:sz="4" w:space="0"/>
              <w:bottom w:val="single" w:color="auto" w:sz="4" w:space="0"/>
              <w:right w:val="single" w:color="auto" w:sz="4" w:space="0"/>
            </w:tcBorders>
          </w:tcPr>
          <w:p w14:paraId="6A942819">
            <w:pPr>
              <w:shd w:val="clear"/>
              <w:spacing w:line="312"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4</w:t>
            </w:r>
            <w:r>
              <w:rPr>
                <w:rFonts w:hint="eastAsia" w:ascii="仿宋" w:hAnsi="仿宋" w:eastAsia="仿宋" w:cs="仿宋"/>
                <w:color w:val="auto"/>
                <w:kern w:val="0"/>
                <w:szCs w:val="21"/>
                <w:highlight w:val="none"/>
                <w:lang w:val="en-US" w:eastAsia="zh-CN"/>
              </w:rPr>
              <w:t>份</w:t>
            </w:r>
            <w:r>
              <w:rPr>
                <w:rFonts w:hint="eastAsia" w:ascii="仿宋" w:hAnsi="仿宋" w:eastAsia="仿宋" w:cs="仿宋"/>
                <w:color w:val="auto"/>
                <w:kern w:val="0"/>
                <w:szCs w:val="21"/>
                <w:highlight w:val="none"/>
              </w:rPr>
              <w:t>或按发包人要求提供</w:t>
            </w:r>
          </w:p>
        </w:tc>
        <w:tc>
          <w:tcPr>
            <w:tcW w:w="724" w:type="pct"/>
            <w:tcBorders>
              <w:top w:val="single" w:color="auto" w:sz="4" w:space="0"/>
              <w:left w:val="single" w:color="auto" w:sz="4" w:space="0"/>
              <w:bottom w:val="single" w:color="auto" w:sz="4" w:space="0"/>
              <w:right w:val="single" w:color="auto" w:sz="4" w:space="0"/>
            </w:tcBorders>
          </w:tcPr>
          <w:p w14:paraId="437EFA5E">
            <w:pPr>
              <w:shd w:val="clear"/>
              <w:spacing w:line="312" w:lineRule="auto"/>
              <w:rPr>
                <w:rFonts w:ascii="仿宋" w:hAnsi="仿宋" w:eastAsia="仿宋" w:cs="仿宋"/>
                <w:color w:val="auto"/>
                <w:kern w:val="0"/>
                <w:szCs w:val="21"/>
                <w:highlight w:val="none"/>
              </w:rPr>
            </w:pPr>
            <w:r>
              <w:rPr>
                <w:rFonts w:hint="eastAsia" w:ascii="仿宋" w:hAnsi="仿宋" w:eastAsia="仿宋" w:cs="仿宋"/>
                <w:color w:val="auto"/>
                <w:highlight w:val="none"/>
              </w:rPr>
              <w:t>电子文档1份</w:t>
            </w:r>
          </w:p>
        </w:tc>
      </w:tr>
    </w:tbl>
    <w:p w14:paraId="0A9DCC50">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（6）项目报审需要的审查文件，按照相关主管部门要求文件及份数提交。</w:t>
      </w:r>
    </w:p>
    <w:p w14:paraId="18F75EFF">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（7）承包人按合同约定的时限将设计成果文件或资料交付至</w:t>
      </w:r>
      <w:r>
        <w:rPr>
          <w:rFonts w:hint="eastAsia" w:ascii="仿宋" w:hAnsi="仿宋" w:eastAsia="仿宋" w:cs="仿宋"/>
          <w:snapToGrid w:val="0"/>
          <w:color w:val="auto"/>
          <w:sz w:val="24"/>
          <w:highlight w:val="none"/>
        </w:rPr>
        <w:t>发包人</w:t>
      </w:r>
      <w:r>
        <w:rPr>
          <w:rFonts w:hint="eastAsia" w:ascii="仿宋" w:hAnsi="仿宋" w:eastAsia="仿宋" w:cs="仿宋"/>
          <w:snapToGrid w:val="0"/>
          <w:color w:val="auto"/>
          <w:kern w:val="0"/>
          <w:sz w:val="24"/>
          <w:highlight w:val="none"/>
        </w:rPr>
        <w:t>指定的地点，相关费用（包括运输、邮寄、电传、关税等费用）已经含于本合同价款之中。</w:t>
      </w:r>
    </w:p>
    <w:p w14:paraId="159DDB6C">
      <w:pPr>
        <w:shd w:val="clear"/>
        <w:spacing w:line="360" w:lineRule="auto"/>
        <w:ind w:firstLine="480" w:firstLineChars="200"/>
        <w:rPr>
          <w:rFonts w:ascii="仿宋" w:hAnsi="仿宋" w:eastAsia="仿宋" w:cs="仿宋"/>
          <w:snapToGrid w:val="0"/>
          <w:color w:val="auto"/>
          <w:kern w:val="0"/>
          <w:sz w:val="24"/>
          <w:szCs w:val="22"/>
          <w:highlight w:val="none"/>
        </w:rPr>
      </w:pPr>
      <w:r>
        <w:rPr>
          <w:rFonts w:hint="eastAsia" w:ascii="仿宋" w:hAnsi="仿宋" w:eastAsia="仿宋" w:cs="仿宋"/>
          <w:snapToGrid w:val="0"/>
          <w:color w:val="auto"/>
          <w:kern w:val="0"/>
          <w:sz w:val="24"/>
          <w:highlight w:val="none"/>
        </w:rPr>
        <w:t>（8）</w:t>
      </w:r>
      <w:r>
        <w:rPr>
          <w:rFonts w:hint="eastAsia" w:ascii="仿宋" w:hAnsi="仿宋" w:eastAsia="仿宋" w:cs="仿宋"/>
          <w:snapToGrid w:val="0"/>
          <w:color w:val="auto"/>
          <w:kern w:val="0"/>
          <w:sz w:val="24"/>
          <w:szCs w:val="22"/>
          <w:highlight w:val="none"/>
        </w:rPr>
        <w:t>在报审过程中需要提供设计成果文件或设计中间资料的电子文档的，承包人应无偿提供。</w:t>
      </w:r>
    </w:p>
    <w:p w14:paraId="19475C62">
      <w:pPr>
        <w:shd w:val="clear"/>
        <w:spacing w:line="360" w:lineRule="auto"/>
        <w:ind w:firstLine="480" w:firstLineChars="200"/>
        <w:rPr>
          <w:rFonts w:ascii="仿宋" w:hAnsi="仿宋" w:eastAsia="仿宋" w:cs="仿宋"/>
          <w:bCs/>
          <w:snapToGrid w:val="0"/>
          <w:color w:val="auto"/>
          <w:kern w:val="0"/>
          <w:sz w:val="24"/>
          <w:highlight w:val="none"/>
        </w:rPr>
      </w:pPr>
    </w:p>
    <w:p w14:paraId="7FCEE5DE">
      <w:pPr>
        <w:shd w:val="clear"/>
        <w:adjustRightInd w:val="0"/>
        <w:snapToGrid w:val="0"/>
        <w:spacing w:line="360" w:lineRule="auto"/>
        <w:outlineLvl w:val="2"/>
        <w:rPr>
          <w:rFonts w:ascii="仿宋" w:hAnsi="仿宋" w:eastAsia="仿宋" w:cs="仿宋"/>
          <w:b/>
          <w:bCs/>
          <w:snapToGrid w:val="0"/>
          <w:color w:val="auto"/>
          <w:kern w:val="0"/>
          <w:sz w:val="24"/>
          <w:highlight w:val="none"/>
        </w:rPr>
      </w:pPr>
      <w:bookmarkStart w:id="84" w:name="_Toc14045"/>
      <w:bookmarkStart w:id="85" w:name="_Toc2784867"/>
      <w:bookmarkStart w:id="86" w:name="_Toc83377255"/>
      <w:r>
        <w:rPr>
          <w:rFonts w:hint="eastAsia" w:ascii="仿宋" w:hAnsi="仿宋" w:eastAsia="仿宋" w:cs="仿宋"/>
          <w:b/>
          <w:bCs/>
          <w:snapToGrid w:val="0"/>
          <w:color w:val="auto"/>
          <w:kern w:val="0"/>
          <w:sz w:val="24"/>
          <w:highlight w:val="none"/>
          <w:lang w:eastAsia="zh-CN"/>
        </w:rPr>
        <w:t>11.</w:t>
      </w:r>
      <w:r>
        <w:rPr>
          <w:rFonts w:hint="eastAsia" w:ascii="仿宋" w:hAnsi="仿宋" w:eastAsia="仿宋" w:cs="仿宋"/>
          <w:b/>
          <w:bCs/>
          <w:snapToGrid w:val="0"/>
          <w:color w:val="auto"/>
          <w:kern w:val="0"/>
          <w:sz w:val="24"/>
          <w:szCs w:val="22"/>
          <w:highlight w:val="none"/>
        </w:rPr>
        <w:t>设</w:t>
      </w:r>
      <w:r>
        <w:rPr>
          <w:rFonts w:hint="eastAsia" w:ascii="仿宋" w:hAnsi="仿宋" w:eastAsia="仿宋" w:cs="仿宋"/>
          <w:b/>
          <w:bCs/>
          <w:snapToGrid w:val="0"/>
          <w:color w:val="auto"/>
          <w:kern w:val="0"/>
          <w:sz w:val="24"/>
          <w:highlight w:val="none"/>
        </w:rPr>
        <w:t>计进度计划</w:t>
      </w:r>
      <w:bookmarkEnd w:id="84"/>
      <w:bookmarkEnd w:id="85"/>
      <w:bookmarkEnd w:id="86"/>
    </w:p>
    <w:p w14:paraId="78FA9A5C">
      <w:pPr>
        <w:shd w:val="clear"/>
        <w:spacing w:line="360" w:lineRule="auto"/>
        <w:ind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highlight w:val="none"/>
        </w:rPr>
        <w:t>11.1承包人须在中标后3天内，</w:t>
      </w:r>
      <w:r>
        <w:rPr>
          <w:rFonts w:hint="eastAsia" w:ascii="仿宋" w:hAnsi="仿宋" w:eastAsia="仿宋" w:cs="仿宋"/>
          <w:bCs/>
          <w:snapToGrid w:val="0"/>
          <w:color w:val="auto"/>
          <w:kern w:val="0"/>
          <w:sz w:val="24"/>
          <w:szCs w:val="22"/>
          <w:highlight w:val="none"/>
        </w:rPr>
        <w:t>编制设计进度计划，报发包人审批后实施。设计进度计划经发包人批准后执行，但发包人的认可并不能减轻或免除承包人的合同责任。</w:t>
      </w:r>
    </w:p>
    <w:p w14:paraId="3EBCAC11">
      <w:pPr>
        <w:shd w:val="clear"/>
        <w:spacing w:line="360" w:lineRule="auto"/>
        <w:ind w:firstLine="480" w:firstLineChars="200"/>
        <w:rPr>
          <w:rFonts w:ascii="仿宋" w:hAnsi="仿宋" w:eastAsia="仿宋" w:cs="仿宋"/>
          <w:bCs/>
          <w:snapToGrid w:val="0"/>
          <w:color w:val="auto"/>
          <w:kern w:val="0"/>
          <w:sz w:val="24"/>
          <w:szCs w:val="22"/>
          <w:highlight w:val="none"/>
        </w:rPr>
      </w:pPr>
      <w:r>
        <w:rPr>
          <w:rFonts w:hint="eastAsia" w:ascii="仿宋" w:hAnsi="仿宋" w:eastAsia="仿宋" w:cs="仿宋"/>
          <w:bCs/>
          <w:snapToGrid w:val="0"/>
          <w:color w:val="auto"/>
          <w:kern w:val="0"/>
          <w:sz w:val="24"/>
          <w:szCs w:val="22"/>
          <w:highlight w:val="none"/>
        </w:rPr>
        <w:t>11.2设计进度计划的编制，应充分考虑项目的整体进度，合理安排设计工作。</w:t>
      </w:r>
    </w:p>
    <w:p w14:paraId="20A145A9">
      <w:pPr>
        <w:shd w:val="clea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11.3如因承包人原因造</w:t>
      </w:r>
      <w:r>
        <w:rPr>
          <w:rFonts w:hint="eastAsia" w:ascii="仿宋" w:hAnsi="仿宋" w:eastAsia="仿宋" w:cs="仿宋"/>
          <w:bCs/>
          <w:snapToGrid w:val="0"/>
          <w:color w:val="auto"/>
          <w:kern w:val="0"/>
          <w:sz w:val="24"/>
          <w:szCs w:val="22"/>
          <w:highlight w:val="none"/>
        </w:rPr>
        <w:t>成设</w:t>
      </w:r>
      <w:r>
        <w:rPr>
          <w:rFonts w:hint="eastAsia" w:ascii="仿宋" w:hAnsi="仿宋" w:eastAsia="仿宋" w:cs="仿宋"/>
          <w:bCs/>
          <w:snapToGrid w:val="0"/>
          <w:color w:val="auto"/>
          <w:kern w:val="0"/>
          <w:sz w:val="24"/>
          <w:highlight w:val="none"/>
        </w:rPr>
        <w:t>计进度延迟，导致项目总体进度滞后，承包人除自费采取措施赶工外，还须按合同约定承担工期违约的责任。</w:t>
      </w:r>
    </w:p>
    <w:p w14:paraId="57E10A29">
      <w:pPr>
        <w:shd w:val="clear"/>
        <w:adjustRightInd w:val="0"/>
        <w:snapToGrid w:val="0"/>
        <w:spacing w:line="360" w:lineRule="auto"/>
        <w:ind w:firstLine="472" w:firstLineChars="196"/>
        <w:rPr>
          <w:rFonts w:ascii="仿宋" w:hAnsi="仿宋" w:eastAsia="仿宋" w:cs="仿宋"/>
          <w:b/>
          <w:bCs/>
          <w:snapToGrid w:val="0"/>
          <w:color w:val="auto"/>
          <w:kern w:val="0"/>
          <w:sz w:val="24"/>
          <w:highlight w:val="none"/>
        </w:rPr>
      </w:pPr>
      <w:bookmarkStart w:id="87" w:name="_Toc504465889"/>
    </w:p>
    <w:p w14:paraId="477D0D1F">
      <w:pPr>
        <w:shd w:val="clear"/>
        <w:adjustRightInd w:val="0"/>
        <w:snapToGrid w:val="0"/>
        <w:spacing w:line="360" w:lineRule="auto"/>
        <w:outlineLvl w:val="2"/>
        <w:rPr>
          <w:rFonts w:ascii="仿宋" w:hAnsi="仿宋" w:eastAsia="仿宋" w:cs="仿宋"/>
          <w:bCs/>
          <w:snapToGrid w:val="0"/>
          <w:color w:val="auto"/>
          <w:kern w:val="0"/>
          <w:sz w:val="24"/>
          <w:highlight w:val="none"/>
        </w:rPr>
      </w:pPr>
      <w:bookmarkStart w:id="88" w:name="_Toc7514"/>
      <w:bookmarkStart w:id="89" w:name="_Toc2784868"/>
      <w:bookmarkStart w:id="90" w:name="_Toc83377256"/>
      <w:bookmarkStart w:id="91" w:name="_Toc502215486"/>
      <w:r>
        <w:rPr>
          <w:rFonts w:hint="eastAsia" w:ascii="仿宋" w:hAnsi="仿宋" w:eastAsia="仿宋" w:cs="仿宋"/>
          <w:b/>
          <w:bCs/>
          <w:snapToGrid w:val="0"/>
          <w:color w:val="auto"/>
          <w:kern w:val="0"/>
          <w:sz w:val="24"/>
          <w:highlight w:val="none"/>
          <w:lang w:eastAsia="zh-CN"/>
        </w:rPr>
        <w:t>12.</w:t>
      </w:r>
      <w:r>
        <w:rPr>
          <w:rFonts w:hint="eastAsia" w:ascii="仿宋" w:hAnsi="仿宋" w:eastAsia="仿宋" w:cs="仿宋"/>
          <w:b/>
          <w:bCs/>
          <w:snapToGrid w:val="0"/>
          <w:color w:val="auto"/>
          <w:kern w:val="0"/>
          <w:sz w:val="24"/>
          <w:highlight w:val="none"/>
        </w:rPr>
        <w:t>设计服务</w:t>
      </w:r>
      <w:bookmarkEnd w:id="87"/>
      <w:bookmarkEnd w:id="88"/>
      <w:bookmarkEnd w:id="89"/>
      <w:bookmarkEnd w:id="90"/>
      <w:bookmarkEnd w:id="91"/>
    </w:p>
    <w:p w14:paraId="5B4AE8FB">
      <w:pPr>
        <w:shd w:val="clea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12.1承包人的服务应符合国际通用的GB/T—19001质量管理体系对于工程设计所规定的标准及质量要求。承包人应及时地提供服务，满足发包人的要求。</w:t>
      </w:r>
    </w:p>
    <w:p w14:paraId="1C9E288F">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14:paraId="52950394">
      <w:pPr>
        <w:shd w:val="clear"/>
        <w:adjustRightInd w:val="0"/>
        <w:snapToGrid w:val="0"/>
        <w:spacing w:line="360" w:lineRule="auto"/>
        <w:ind w:firstLine="480"/>
        <w:rPr>
          <w:rFonts w:ascii="仿宋" w:hAnsi="仿宋" w:eastAsia="仿宋" w:cs="仿宋"/>
          <w:snapToGrid w:val="0"/>
          <w:color w:val="auto"/>
          <w:kern w:val="0"/>
          <w:sz w:val="24"/>
          <w:highlight w:val="none"/>
        </w:rPr>
      </w:pPr>
    </w:p>
    <w:p w14:paraId="5FE98A19">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12.2报审服务</w:t>
      </w:r>
    </w:p>
    <w:p w14:paraId="63FF49FC">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（1）承包人应在设计过程按照本项目报审的要求，准备好所有必需的文件、图纸及其相应的电子文件（刻制成光盘），负责报审过程中必要的技术协调、送审技术性文件等工作，直至完成所有审批手续。</w:t>
      </w:r>
    </w:p>
    <w:p w14:paraId="1844C412">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（2）对承包人提交报审资料的要求：提交的文件、图纸及其相应的电子文件按照相关报审职能部门或主管部门的要求和份数提交。</w:t>
      </w:r>
    </w:p>
    <w:p w14:paraId="26891ED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12.3施工阶段的设计服务要求</w:t>
      </w:r>
    </w:p>
    <w:p w14:paraId="127F20A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承包人承诺将根据本合同工程建设进展情况和发包人的要求提供现场设计服务，及时派出各专业工程师解决工程中涉及到的设计问题。主要工作如下（包括但不限于）：</w:t>
      </w:r>
    </w:p>
    <w:p w14:paraId="517FE2F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（1）参与设计的技术协调会。</w:t>
      </w:r>
    </w:p>
    <w:p w14:paraId="728F63A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（2）承包人应在设备、材料采购订货前对有关性能、参数、规格及主要设备数量进行确认；按发包人要求对己订购的主要设备、材料进行到货或出厂验收，必要时须进行中间验收。</w:t>
      </w:r>
    </w:p>
    <w:p w14:paraId="3B41E14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12.4缺陷责任及保修阶段的设计服务</w:t>
      </w:r>
    </w:p>
    <w:p w14:paraId="0FFAAAB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sz w:val="24"/>
          <w:highlight w:val="none"/>
        </w:rPr>
        <w:t>承包人应根据发包人的要求积极配合并参与工程的缺陷责任修复及质量保修工作，提供相应的技术支持，对工程缺陷责任期及质量保修期内发生的工程问题提交书面的技术建议及相关的工程设计资料。</w:t>
      </w:r>
    </w:p>
    <w:p w14:paraId="6A2796C3">
      <w:pPr>
        <w:shd w:val="clea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12.5材料、设备选型的设计工作</w:t>
      </w:r>
    </w:p>
    <w:p w14:paraId="4103C9F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（1）设计成果文件中选用的建筑材料、建筑构配件和设备，其质量标准必须符合国家规范、标准要求。</w:t>
      </w:r>
    </w:p>
    <w:p w14:paraId="6C34BF4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26F8031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（3）设计文件对于工艺、技术、材料、设备的选用应该满足施工工期的要求，充分考虑设计的可实施性，并充分考虑自身的施工能力。</w:t>
      </w:r>
    </w:p>
    <w:p w14:paraId="2F9CDAB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20223BB1">
      <w:pPr>
        <w:shd w:val="clear"/>
        <w:adjustRightInd w:val="0"/>
        <w:snapToGrid w:val="0"/>
        <w:spacing w:line="360" w:lineRule="auto"/>
        <w:ind w:firstLine="480" w:firstLineChars="200"/>
        <w:rPr>
          <w:rFonts w:ascii="仿宋" w:hAnsi="仿宋" w:eastAsia="仿宋" w:cs="仿宋"/>
          <w:strike/>
          <w:snapToGrid w:val="0"/>
          <w:color w:val="auto"/>
          <w:kern w:val="0"/>
          <w:sz w:val="24"/>
          <w:highlight w:val="none"/>
        </w:rPr>
      </w:pPr>
      <w:r>
        <w:rPr>
          <w:rFonts w:hint="eastAsia" w:ascii="仿宋" w:hAnsi="仿宋" w:eastAsia="仿宋" w:cs="仿宋"/>
          <w:snapToGrid w:val="0"/>
          <w:color w:val="auto"/>
          <w:kern w:val="0"/>
          <w:sz w:val="24"/>
          <w:highlight w:val="none"/>
        </w:rPr>
        <w:t>（5）承包人应及时提供工程的各主要建筑材料和设备的生产厂商及价格等资料，供发包人选择时参考。</w:t>
      </w:r>
    </w:p>
    <w:p w14:paraId="1B89CCA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（6）承包人的设计文件在对本合同工程设备材料的技术要求进行描述时不得带有倾向性、</w:t>
      </w:r>
      <w:r>
        <w:rPr>
          <w:rFonts w:hint="eastAsia" w:ascii="仿宋" w:hAnsi="仿宋" w:eastAsia="仿宋" w:cs="仿宋"/>
          <w:snapToGrid w:val="0"/>
          <w:color w:val="auto"/>
          <w:kern w:val="0"/>
          <w:sz w:val="24"/>
          <w:highlight w:val="none"/>
          <w:lang w:eastAsia="zh-CN"/>
        </w:rPr>
        <w:t>排他性</w:t>
      </w:r>
      <w:r>
        <w:rPr>
          <w:rFonts w:hint="eastAsia" w:ascii="仿宋" w:hAnsi="仿宋" w:eastAsia="仿宋" w:cs="仿宋"/>
          <w:snapToGrid w:val="0"/>
          <w:color w:val="auto"/>
          <w:kern w:val="0"/>
          <w:sz w:val="24"/>
          <w:highlight w:val="none"/>
        </w:rPr>
        <w:t>、指向某一特定厂商品牌或指向某一具有独一性的材料设备。如根据项目的定位、功能等的要求必须选用某种品牌或某一具有独一性的材料、设备时，承包人应事前书面详细报告发包人并获得发包人批准。</w:t>
      </w:r>
    </w:p>
    <w:p w14:paraId="5011EDE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对于由发包人拟定的候选建筑材料和设备，在厂商提供符合设计要求的技术资料后，承包人须协助发包人鉴别其优劣并提供相关咨询意见。同时，承包人应派本项目专业负责人参与发包人组织的相关看样定板工作，出具材料</w:t>
      </w:r>
      <w:r>
        <w:rPr>
          <w:rFonts w:hint="eastAsia" w:ascii="仿宋" w:hAnsi="仿宋" w:eastAsia="仿宋" w:cs="仿宋"/>
          <w:snapToGrid w:val="0"/>
          <w:color w:val="auto"/>
          <w:kern w:val="0"/>
          <w:sz w:val="24"/>
          <w:highlight w:val="none"/>
          <w:lang w:eastAsia="zh-CN"/>
        </w:rPr>
        <w:t>和</w:t>
      </w:r>
      <w:r>
        <w:rPr>
          <w:rFonts w:hint="eastAsia" w:ascii="仿宋" w:hAnsi="仿宋" w:eastAsia="仿宋" w:cs="仿宋"/>
          <w:snapToGrid w:val="0"/>
          <w:color w:val="auto"/>
          <w:kern w:val="0"/>
          <w:sz w:val="24"/>
          <w:highlight w:val="none"/>
        </w:rPr>
        <w:t>设备选型的相关技术意见。</w:t>
      </w:r>
    </w:p>
    <w:p w14:paraId="7572512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6501D71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14:paraId="6B30F17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承包人应详细了解市场上本合同工程的主要材料和设备生产商的供货能力和供货周期（包括生产时间和运输时间），并据此向发包人提出各种主要材料和设备（包括国产和国外进口的）的提前订货时间的建议。</w:t>
      </w:r>
    </w:p>
    <w:p w14:paraId="01DC64F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12.6承包人应认真阅读、复核发包人提供的项目基础资料，如发现项目基础资料中存在短缺、遗漏、错误、疑问的，承包人应在收到发包人提供的项目基础资料后10日内及时书面通知发包人并向发包人提出进一步的要求。因承包人未能在上述时间内提出要求而发生的损失由承包人自行承担。</w:t>
      </w:r>
    </w:p>
    <w:p w14:paraId="1021DA5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12.7承包人应按照发包人提供的项目基础资料和国家相关部门、行业工程建设标准规范规定的设计深度开展工程设计，并对其设计的工艺技术或建筑功能，及工程的安全、环境保护、职业健康的标准，设备材料的质量、工程质量和完成的时间负责。因承包人原因造成设计文件存在遗漏、错误、缺陷或不足的，承包人应自费修复、弥补、纠正和完善。由此造成设计进度延误的，承包人应自费采取措施赶上。</w:t>
      </w:r>
    </w:p>
    <w:p w14:paraId="77224CB1">
      <w:pPr>
        <w:shd w:val="clear"/>
        <w:adjustRightInd w:val="0"/>
        <w:snapToGrid w:val="0"/>
        <w:spacing w:line="360" w:lineRule="auto"/>
        <w:ind w:firstLine="0" w:firstLineChars="0"/>
        <w:rPr>
          <w:rFonts w:ascii="仿宋" w:hAnsi="仿宋" w:eastAsia="仿宋" w:cs="仿宋"/>
          <w:bCs/>
          <w:snapToGrid w:val="0"/>
          <w:color w:val="auto"/>
          <w:kern w:val="0"/>
          <w:sz w:val="24"/>
          <w:highlight w:val="none"/>
        </w:rPr>
      </w:pPr>
    </w:p>
    <w:p w14:paraId="6DFA2EA5">
      <w:pPr>
        <w:shd w:val="clear"/>
        <w:adjustRightInd w:val="0"/>
        <w:snapToGrid w:val="0"/>
        <w:spacing w:line="360" w:lineRule="auto"/>
        <w:outlineLvl w:val="2"/>
        <w:rPr>
          <w:rFonts w:ascii="仿宋" w:hAnsi="仿宋" w:eastAsia="仿宋" w:cs="仿宋"/>
          <w:b/>
          <w:bCs/>
          <w:snapToGrid w:val="0"/>
          <w:color w:val="auto"/>
          <w:kern w:val="0"/>
          <w:sz w:val="24"/>
          <w:highlight w:val="none"/>
        </w:rPr>
      </w:pPr>
      <w:bookmarkStart w:id="92" w:name="_Toc83377257"/>
      <w:bookmarkStart w:id="93" w:name="_Toc2784869"/>
      <w:bookmarkStart w:id="94" w:name="_Toc504465890"/>
      <w:bookmarkStart w:id="95" w:name="_Toc13941"/>
      <w:bookmarkStart w:id="96" w:name="_Toc502215487"/>
      <w:r>
        <w:rPr>
          <w:rFonts w:hint="eastAsia" w:ascii="仿宋" w:hAnsi="仿宋" w:eastAsia="仿宋" w:cs="仿宋"/>
          <w:b/>
          <w:bCs/>
          <w:snapToGrid w:val="0"/>
          <w:color w:val="auto"/>
          <w:kern w:val="0"/>
          <w:sz w:val="24"/>
          <w:highlight w:val="none"/>
          <w:lang w:eastAsia="zh-CN"/>
        </w:rPr>
        <w:t>13.</w:t>
      </w:r>
      <w:r>
        <w:rPr>
          <w:rFonts w:hint="eastAsia" w:ascii="仿宋" w:hAnsi="仿宋" w:eastAsia="仿宋" w:cs="仿宋"/>
          <w:b/>
          <w:bCs/>
          <w:snapToGrid w:val="0"/>
          <w:color w:val="auto"/>
          <w:kern w:val="0"/>
          <w:sz w:val="24"/>
          <w:highlight w:val="none"/>
        </w:rPr>
        <w:t>设计评审</w:t>
      </w:r>
      <w:bookmarkEnd w:id="92"/>
      <w:bookmarkEnd w:id="93"/>
      <w:bookmarkEnd w:id="94"/>
      <w:bookmarkEnd w:id="95"/>
      <w:bookmarkEnd w:id="96"/>
    </w:p>
    <w:p w14:paraId="6467FFE9">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13.1承包人设计成果文件需经国家相关行政主管部门及行业主管部门的审查。</w:t>
      </w:r>
    </w:p>
    <w:p w14:paraId="0E567EDE">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13.2设计评审的依据包括：</w:t>
      </w:r>
    </w:p>
    <w:p w14:paraId="22E8D825">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（1）国家、省、市的施工图设计审查的相关规定；</w:t>
      </w:r>
    </w:p>
    <w:p w14:paraId="6963EB47">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（2）消防、节能、环保、抗震、卫生等有关工程建设的强制性标准和规范；</w:t>
      </w:r>
    </w:p>
    <w:p w14:paraId="12FBB04D">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（3）本合同工程的相关政府批文（包括但不限于立项许可文件、用地规划文件等）；</w:t>
      </w:r>
    </w:p>
    <w:p w14:paraId="54DA6466">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（4）本合同中与设计工作的内容、范围、管理、服务相关的约定；</w:t>
      </w:r>
    </w:p>
    <w:p w14:paraId="7A1A4A8B">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（5）发包人关于设计、图档、图文、工程等的相关管理办法及规定；</w:t>
      </w:r>
    </w:p>
    <w:p w14:paraId="5C4956F5">
      <w:pPr>
        <w:shd w:val="clear"/>
        <w:adjustRightInd w:val="0"/>
        <w:snapToGrid w:val="0"/>
        <w:spacing w:line="360" w:lineRule="auto"/>
        <w:ind w:firstLine="48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（6）政府相关行政主管部门、行业主管部门对承包人设计成果文件的审批意见；</w:t>
      </w:r>
    </w:p>
    <w:p w14:paraId="01F90F98">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（7）发包人在设计过程中提出的明确书面意见。</w:t>
      </w:r>
    </w:p>
    <w:p w14:paraId="238DD58F">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13.3承包人应根据政府相关行政主管部门、行业主管部门的审批意见无条件地修改、完善设计成果文件（包括概算调整），确保其满足相关的审批要求；承包人应根据发包人的设计评审、发包人组织的专家评审的意见对设计成果文件进行修改、完善。</w:t>
      </w:r>
    </w:p>
    <w:p w14:paraId="2958F999">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13.4承包人对发包人组织的专家评审意见存在异议的，在不违反消防、节能、环保、抗震、卫生等国家有关工程建设的强制性标准和规范以及不影响安全的前提下，以发包人最终认定的意见为准。承包人应在设计评审的最终意见发出之日起7日内完成其设计范围内设计成果文件的修改完善并提交发包人。</w:t>
      </w:r>
    </w:p>
    <w:p w14:paraId="3C559452">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13.5如承包人未能在设计评审的最终意见发出之日起7日内积极响应或逾期未能完成相关设计成果文件的修改完善工作，承包人应按合同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0200B42C">
      <w:pPr>
        <w:shd w:val="clear"/>
        <w:adjustRightInd w:val="0"/>
        <w:snapToGrid w:val="0"/>
        <w:spacing w:line="360" w:lineRule="auto"/>
        <w:ind w:firstLine="48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13.6发包人根据承包人提交的设计成果文件的设计评审意见、承包人在履行合同提供的设计服务（包括报审服务，施工阶段的现场服务，概算、设计变更预算、结算服务，缺陷责任及保修阶段的服务）的实际情况对承包人进行考核。</w:t>
      </w:r>
    </w:p>
    <w:p w14:paraId="2ADFE886">
      <w:pPr>
        <w:shd w:val="clear"/>
        <w:adjustRightInd w:val="0"/>
        <w:snapToGrid w:val="0"/>
        <w:spacing w:line="360" w:lineRule="auto"/>
        <w:ind w:firstLine="480"/>
        <w:rPr>
          <w:rFonts w:ascii="仿宋" w:hAnsi="仿宋" w:eastAsia="仿宋" w:cs="仿宋"/>
          <w:bCs/>
          <w:snapToGrid w:val="0"/>
          <w:color w:val="auto"/>
          <w:kern w:val="0"/>
          <w:sz w:val="24"/>
          <w:highlight w:val="none"/>
        </w:rPr>
      </w:pPr>
    </w:p>
    <w:p w14:paraId="646F87E7">
      <w:pPr>
        <w:pStyle w:val="13"/>
        <w:shd w:val="clear"/>
        <w:adjustRightInd w:val="0"/>
        <w:snapToGrid w:val="0"/>
        <w:spacing w:line="360" w:lineRule="auto"/>
        <w:ind w:left="0" w:leftChars="0"/>
        <w:outlineLvl w:val="1"/>
        <w:rPr>
          <w:rFonts w:ascii="仿宋" w:hAnsi="仿宋" w:eastAsia="仿宋" w:cs="仿宋"/>
          <w:b/>
          <w:snapToGrid w:val="0"/>
          <w:color w:val="auto"/>
          <w:sz w:val="28"/>
          <w:szCs w:val="28"/>
          <w:highlight w:val="none"/>
        </w:rPr>
      </w:pPr>
      <w:bookmarkStart w:id="97" w:name="_Toc83377258"/>
      <w:bookmarkStart w:id="98" w:name="_Toc504465891"/>
      <w:bookmarkStart w:id="99" w:name="_Toc23139"/>
      <w:bookmarkStart w:id="100" w:name="_Toc502215488"/>
      <w:bookmarkStart w:id="101" w:name="_Toc2784870"/>
      <w:r>
        <w:rPr>
          <w:rFonts w:hint="eastAsia" w:ascii="仿宋" w:hAnsi="仿宋" w:eastAsia="仿宋" w:cs="仿宋"/>
          <w:b/>
          <w:snapToGrid w:val="0"/>
          <w:color w:val="auto"/>
          <w:sz w:val="28"/>
          <w:szCs w:val="28"/>
          <w:highlight w:val="none"/>
        </w:rPr>
        <w:t>四、总承包组织实施</w:t>
      </w:r>
      <w:bookmarkEnd w:id="97"/>
      <w:bookmarkEnd w:id="98"/>
      <w:bookmarkEnd w:id="99"/>
      <w:bookmarkEnd w:id="100"/>
      <w:bookmarkEnd w:id="101"/>
    </w:p>
    <w:p w14:paraId="0EA86284">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02" w:name="_Toc502215489"/>
      <w:bookmarkStart w:id="103" w:name="_Toc504465892"/>
      <w:bookmarkStart w:id="104" w:name="_Toc83377259"/>
      <w:bookmarkStart w:id="105" w:name="_Toc25101"/>
      <w:bookmarkStart w:id="106" w:name="_Toc2784871"/>
      <w:r>
        <w:rPr>
          <w:rFonts w:hint="eastAsia" w:ascii="仿宋" w:hAnsi="仿宋" w:eastAsia="仿宋" w:cs="仿宋"/>
          <w:b/>
          <w:snapToGrid w:val="0"/>
          <w:color w:val="auto"/>
          <w:kern w:val="0"/>
          <w:sz w:val="24"/>
          <w:highlight w:val="none"/>
          <w:lang w:eastAsia="zh-CN"/>
        </w:rPr>
        <w:t>14.</w:t>
      </w:r>
      <w:r>
        <w:rPr>
          <w:rFonts w:hint="eastAsia" w:ascii="仿宋" w:hAnsi="仿宋" w:eastAsia="仿宋" w:cs="仿宋"/>
          <w:b/>
          <w:snapToGrid w:val="0"/>
          <w:color w:val="auto"/>
          <w:kern w:val="0"/>
          <w:sz w:val="24"/>
          <w:highlight w:val="none"/>
        </w:rPr>
        <w:t>施工组织设计及</w:t>
      </w:r>
      <w:bookmarkEnd w:id="102"/>
      <w:bookmarkEnd w:id="103"/>
      <w:r>
        <w:rPr>
          <w:rFonts w:hint="eastAsia" w:ascii="仿宋" w:hAnsi="仿宋" w:eastAsia="仿宋" w:cs="仿宋"/>
          <w:b/>
          <w:snapToGrid w:val="0"/>
          <w:color w:val="auto"/>
          <w:kern w:val="0"/>
          <w:sz w:val="24"/>
          <w:highlight w:val="none"/>
        </w:rPr>
        <w:t>项目进度计划</w:t>
      </w:r>
      <w:bookmarkEnd w:id="104"/>
      <w:bookmarkEnd w:id="105"/>
      <w:bookmarkEnd w:id="106"/>
    </w:p>
    <w:p w14:paraId="106704E7">
      <w:pPr>
        <w:shd w:val="clea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14.1项目进度计划</w:t>
      </w:r>
    </w:p>
    <w:p w14:paraId="725D1DE4">
      <w:pPr>
        <w:shd w:val="clea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0"/>
          <w:sz w:val="24"/>
          <w:highlight w:val="none"/>
        </w:rPr>
        <w:t>项目进度计划</w:t>
      </w:r>
      <w:r>
        <w:rPr>
          <w:rFonts w:hint="eastAsia" w:ascii="仿宋" w:hAnsi="仿宋" w:eastAsia="仿宋" w:cs="仿宋"/>
          <w:color w:val="auto"/>
          <w:kern w:val="0"/>
          <w:sz w:val="24"/>
          <w:highlight w:val="none"/>
        </w:rPr>
        <w:t>及施工组织设计的提交时间约定：合同签订后3日内提供项目整体进度节点计划。</w:t>
      </w:r>
    </w:p>
    <w:p w14:paraId="1C6C01F6">
      <w:pPr>
        <w:shd w:val="clea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进度计划的内容约定：承包人应按合同约定的内容和期限，编制详细的工程进度计划，进度计划内容应全面详实，包括但不限于设计计划、承包人文件提交、材料设备采购及制作计划、运达现场、现场施工安装计划、试验验收计划等。除此之外，还应提出现场工作面的移交时间计划等。</w:t>
      </w:r>
    </w:p>
    <w:p w14:paraId="4B0956A6">
      <w:pPr>
        <w:shd w:val="clea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（3）监理单位批复项目进度计划时间的约定：监理单位应在收到承包人提交的完整项目进度计划后7日内批复或提出修改意见。</w:t>
      </w:r>
    </w:p>
    <w:p w14:paraId="286DFA7C">
      <w:pPr>
        <w:shd w:val="clea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（4）项目进度计划的修订</w:t>
      </w:r>
    </w:p>
    <w:p w14:paraId="025A7156">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1）承包人提交项目进度计划的修订报告的时间约定：在承包人能够预计可能会实际进度计划不符后的7日内或实际已经不符的3日内提出。</w:t>
      </w:r>
    </w:p>
    <w:p w14:paraId="4F3F2C50">
      <w:pPr>
        <w:shd w:val="clea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2）监理单位批复项目进度计划修订报告时间的约定：监理单位应在收到承包人提交的完整合同计划修订报告后</w:t>
      </w:r>
      <w:r>
        <w:rPr>
          <w:rFonts w:hint="eastAsia" w:ascii="仿宋" w:hAnsi="仿宋" w:eastAsia="仿宋" w:cs="仿宋"/>
          <w:color w:val="auto"/>
          <w:kern w:val="0"/>
          <w:sz w:val="24"/>
          <w:highlight w:val="none"/>
          <w:u w:val="single"/>
        </w:rPr>
        <w:t>5</w:t>
      </w:r>
      <w:r>
        <w:rPr>
          <w:rFonts w:hint="eastAsia" w:ascii="仿宋" w:hAnsi="仿宋" w:eastAsia="仿宋" w:cs="仿宋"/>
          <w:color w:val="auto"/>
          <w:kern w:val="0"/>
          <w:sz w:val="24"/>
          <w:highlight w:val="none"/>
        </w:rPr>
        <w:t>日内批复或提出修改意见。</w:t>
      </w:r>
    </w:p>
    <w:p w14:paraId="30F0F659">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14.2施工组织设计</w:t>
      </w:r>
    </w:p>
    <w:p w14:paraId="7AB61629">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（1）承包人应当根据经发包人确认的项目进度计划在施工开始前将施工组织设计报送监理单位审批。承包人提交的施工组织设计应当载明如下内容</w:t>
      </w:r>
      <w:r>
        <w:rPr>
          <w:rFonts w:hint="eastAsia" w:ascii="仿宋" w:hAnsi="仿宋" w:eastAsia="仿宋" w:cs="仿宋"/>
          <w:bCs/>
          <w:snapToGrid w:val="0"/>
          <w:color w:val="auto"/>
          <w:kern w:val="0"/>
          <w:sz w:val="24"/>
          <w:highlight w:val="none"/>
        </w:rPr>
        <w:t>（包括但不限于）</w:t>
      </w:r>
      <w:r>
        <w:rPr>
          <w:rFonts w:hint="eastAsia" w:ascii="仿宋" w:hAnsi="仿宋" w:eastAsia="仿宋" w:cs="仿宋"/>
          <w:snapToGrid w:val="0"/>
          <w:color w:val="auto"/>
          <w:kern w:val="0"/>
          <w:sz w:val="24"/>
          <w:highlight w:val="none"/>
        </w:rPr>
        <w:t>：</w:t>
      </w:r>
    </w:p>
    <w:p w14:paraId="7DD43D36">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1）各分部分项工程完整的施工方案；</w:t>
      </w:r>
    </w:p>
    <w:p w14:paraId="3C9DAD64">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2）施工资源投入计划，包括：机械设备进场计划、工程材料和物料进场及仓储计划、施工人员进场计划等；</w:t>
      </w:r>
    </w:p>
    <w:p w14:paraId="533AE2F9">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3）施工现场平面布置图（包括施工道路平面图、各种临时设施、施工用水、监控设施、施工机具、材料构配件存放位置）；</w:t>
      </w:r>
    </w:p>
    <w:p w14:paraId="6D69E4C3">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4）季节性施工措施；</w:t>
      </w:r>
    </w:p>
    <w:p w14:paraId="3419BE58">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5）地下管线及其它地下设施的处理措施；</w:t>
      </w:r>
    </w:p>
    <w:p w14:paraId="3BC7C923">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6）保证工期、质量的措施；</w:t>
      </w:r>
    </w:p>
    <w:p w14:paraId="16DF6353">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7）保证安全生产、文明施工、减少扰民，且满足环境保护要求的措施；</w:t>
      </w:r>
    </w:p>
    <w:p w14:paraId="61429478">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8）妥善处理与相邻施工作业现场关系的措施；</w:t>
      </w:r>
    </w:p>
    <w:p w14:paraId="21968D73">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9）消防、安全、健康等各类事故的应急预案；</w:t>
      </w:r>
    </w:p>
    <w:p w14:paraId="217D1870">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10）</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与工程施工有关的管理方案、措施。</w:t>
      </w:r>
    </w:p>
    <w:p w14:paraId="4724E8E9">
      <w:pPr>
        <w:shd w:val="clear"/>
        <w:autoSpaceDE w:val="0"/>
        <w:autoSpaceDN w:val="0"/>
        <w:adjustRightInd w:val="0"/>
        <w:spacing w:line="360" w:lineRule="auto"/>
        <w:ind w:firstLine="470" w:firstLineChars="196"/>
        <w:jc w:val="left"/>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总监理工程师和发包人在接到承包人提交的施工组织设计后7天内予以确认或提出修改意见（总监理工程师在4天内审核并签署意见，发包人在3天内审核并签署意见）。逾期既不确认，也不提出书面意见的视为同意，但如遇到重大或技术复杂、难度大的施工方案，则应按政府有关规定召开专家评审会评审。</w:t>
      </w:r>
    </w:p>
    <w:p w14:paraId="50361FFC">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14.3项目进度计划及施工组织设计的执行</w:t>
      </w:r>
    </w:p>
    <w:p w14:paraId="423AEC1C">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（1）承包人应当加强计划管理，严格按照总监理工程师确认的工程进度计划组织设计、施工，并接受总监理工程师对设计、施工进度的检查、监督。</w:t>
      </w:r>
    </w:p>
    <w:p w14:paraId="38F7301C">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程实际进度与经确认的进度计划不符时，承包人应按总监理工程师的要求提出改进措施，经总监理工程师确认后执行。因承包人的原因导致实际进度与进度计划不符，承包人无权就改进措施提出追加合同价款。</w:t>
      </w:r>
    </w:p>
    <w:p w14:paraId="235E1F21">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（3）为便于总监理工程师掌握和控制工期，承包人应于每月底向总监理工程师填报当月工程进度计划完成情况（没完成计划的必须说明原因），</w:t>
      </w:r>
      <w:r>
        <w:rPr>
          <w:rFonts w:hint="eastAsia" w:ascii="仿宋" w:hAnsi="仿宋" w:eastAsia="仿宋" w:cs="仿宋"/>
          <w:bCs/>
          <w:snapToGrid w:val="0"/>
          <w:color w:val="auto"/>
          <w:kern w:val="0"/>
          <w:sz w:val="24"/>
          <w:highlight w:val="none"/>
        </w:rPr>
        <w:t>并在此基础上更新工程进度计划、</w:t>
      </w:r>
      <w:r>
        <w:rPr>
          <w:rFonts w:hint="eastAsia" w:ascii="仿宋" w:hAnsi="仿宋" w:eastAsia="仿宋" w:cs="仿宋"/>
          <w:snapToGrid w:val="0"/>
          <w:color w:val="auto"/>
          <w:kern w:val="0"/>
          <w:sz w:val="24"/>
          <w:highlight w:val="none"/>
        </w:rPr>
        <w:t>资金计划和</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工作计划。总监理工程师在接到报告后应当予以确认或提出书面意见，承包人必须按照总监理工程师的确认或者书面意见执行。</w:t>
      </w:r>
    </w:p>
    <w:p w14:paraId="586BF585">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rFonts w:hint="eastAsia" w:ascii="仿宋" w:hAnsi="仿宋" w:eastAsia="仿宋" w:cs="仿宋"/>
          <w:iCs/>
          <w:snapToGrid w:val="0"/>
          <w:color w:val="auto"/>
          <w:kern w:val="0"/>
          <w:sz w:val="24"/>
          <w:highlight w:val="none"/>
        </w:rPr>
        <w:t>后10天不采取措施推动工程进度，</w:t>
      </w:r>
      <w:r>
        <w:rPr>
          <w:rFonts w:hint="eastAsia" w:ascii="仿宋" w:hAnsi="仿宋" w:eastAsia="仿宋" w:cs="仿宋"/>
          <w:iCs/>
          <w:snapToGrid w:val="0"/>
          <w:kern w:val="0"/>
          <w:sz w:val="24"/>
          <w:highlight w:val="none"/>
        </w:rPr>
        <w:t>工程进度仍然无明显改</w:t>
      </w:r>
      <w:r>
        <w:rPr>
          <w:rFonts w:hint="eastAsia" w:ascii="仿宋" w:hAnsi="仿宋" w:eastAsia="仿宋" w:cs="仿宋"/>
          <w:snapToGrid w:val="0"/>
          <w:kern w:val="0"/>
          <w:sz w:val="24"/>
          <w:highlight w:val="none"/>
        </w:rPr>
        <w:t>进或滞后的</w:t>
      </w:r>
      <w:r>
        <w:rPr>
          <w:rFonts w:hint="eastAsia" w:ascii="仿宋" w:hAnsi="仿宋" w:eastAsia="仿宋" w:cs="仿宋"/>
          <w:snapToGrid w:val="0"/>
          <w:kern w:val="0"/>
          <w:sz w:val="24"/>
          <w:highlight w:val="none"/>
          <w:lang w:val="en-US" w:eastAsia="zh-CN"/>
        </w:rPr>
        <w:t>或</w:t>
      </w:r>
      <w:r>
        <w:rPr>
          <w:rFonts w:hint="eastAsia" w:ascii="仿宋" w:hAnsi="仿宋" w:eastAsia="仿宋" w:cs="仿宋"/>
          <w:iCs/>
          <w:snapToGrid w:val="0"/>
          <w:color w:val="auto"/>
          <w:kern w:val="0"/>
          <w:sz w:val="24"/>
          <w:highlight w:val="none"/>
        </w:rPr>
        <w:t>明确表明不再继续施工的</w:t>
      </w:r>
      <w:r>
        <w:rPr>
          <w:rFonts w:hint="eastAsia" w:ascii="仿宋" w:hAnsi="仿宋" w:eastAsia="仿宋" w:cs="仿宋"/>
          <w:snapToGrid w:val="0"/>
          <w:color w:val="auto"/>
          <w:kern w:val="0"/>
          <w:sz w:val="24"/>
          <w:highlight w:val="none"/>
        </w:rPr>
        <w:t>，发包人有权部分或全部解除合同，承包单位按合同第十一条约定承担违约责任，发包人有权将未完工程另行发包给其它有能力的施工单位；承包人必须无条件服从，由此所造成的损失全部由承包人承担。</w:t>
      </w:r>
    </w:p>
    <w:p w14:paraId="321798C7">
      <w:pPr>
        <w:shd w:val="clear"/>
        <w:autoSpaceDE w:val="0"/>
        <w:autoSpaceDN w:val="0"/>
        <w:adjustRightInd w:val="0"/>
        <w:spacing w:line="360" w:lineRule="auto"/>
        <w:ind w:firstLine="470" w:firstLineChars="196"/>
        <w:jc w:val="left"/>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14.4</w:t>
      </w:r>
      <w:r>
        <w:rPr>
          <w:rFonts w:hint="eastAsia" w:ascii="仿宋" w:hAnsi="仿宋" w:eastAsia="仿宋" w:cs="仿宋"/>
          <w:color w:val="auto"/>
          <w:kern w:val="0"/>
          <w:sz w:val="24"/>
          <w:highlight w:val="none"/>
        </w:rPr>
        <w:t>项目进度计划及施工组织设计经监理单位和发包人批准后实施，但监理单位和发包人的批准并不能减轻或免除承包人的合同责任。</w:t>
      </w:r>
    </w:p>
    <w:p w14:paraId="7C8F6900">
      <w:pPr>
        <w:shd w:val="clear"/>
        <w:autoSpaceDE w:val="0"/>
        <w:autoSpaceDN w:val="0"/>
        <w:adjustRightInd w:val="0"/>
        <w:spacing w:line="360" w:lineRule="auto"/>
        <w:ind w:firstLine="470" w:firstLineChars="196"/>
        <w:jc w:val="left"/>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14.5因承包人原因使工程实际进度明显落后于项目进度计划及施工组织设计时，承包人有义务、发包人也有权利要求承包人自费采取措施，赶上项目进度计划。</w:t>
      </w:r>
    </w:p>
    <w:p w14:paraId="3E740D66">
      <w:pPr>
        <w:shd w:val="clear"/>
        <w:autoSpaceDE w:val="0"/>
        <w:autoSpaceDN w:val="0"/>
        <w:adjustRightInd w:val="0"/>
        <w:spacing w:line="360" w:lineRule="auto"/>
        <w:ind w:firstLine="472" w:firstLineChars="196"/>
        <w:jc w:val="left"/>
        <w:rPr>
          <w:rFonts w:ascii="仿宋" w:hAnsi="仿宋" w:eastAsia="仿宋" w:cs="仿宋"/>
          <w:b/>
          <w:snapToGrid w:val="0"/>
          <w:color w:val="auto"/>
          <w:kern w:val="0"/>
          <w:sz w:val="24"/>
          <w:highlight w:val="none"/>
        </w:rPr>
      </w:pPr>
    </w:p>
    <w:p w14:paraId="03731777">
      <w:pPr>
        <w:shd w:val="clear"/>
        <w:adjustRightInd w:val="0"/>
        <w:snapToGrid w:val="0"/>
        <w:spacing w:line="360" w:lineRule="auto"/>
        <w:ind w:right="11"/>
        <w:outlineLvl w:val="2"/>
        <w:rPr>
          <w:rFonts w:ascii="仿宋" w:hAnsi="仿宋" w:eastAsia="仿宋" w:cs="仿宋"/>
          <w:snapToGrid w:val="0"/>
          <w:color w:val="auto"/>
          <w:kern w:val="0"/>
          <w:sz w:val="24"/>
          <w:highlight w:val="none"/>
        </w:rPr>
      </w:pPr>
      <w:bookmarkStart w:id="107" w:name="_Toc502215490"/>
      <w:bookmarkStart w:id="108" w:name="_Toc504465893"/>
      <w:bookmarkStart w:id="109" w:name="_Toc83377260"/>
      <w:bookmarkStart w:id="110" w:name="_Toc2784872"/>
      <w:bookmarkStart w:id="111" w:name="_Toc27938"/>
      <w:r>
        <w:rPr>
          <w:rFonts w:hint="eastAsia" w:ascii="仿宋" w:hAnsi="仿宋" w:eastAsia="仿宋" w:cs="仿宋"/>
          <w:b/>
          <w:snapToGrid w:val="0"/>
          <w:color w:val="auto"/>
          <w:kern w:val="0"/>
          <w:sz w:val="24"/>
          <w:highlight w:val="none"/>
          <w:lang w:eastAsia="zh-CN"/>
        </w:rPr>
        <w:t>15.</w:t>
      </w:r>
      <w:r>
        <w:rPr>
          <w:rFonts w:hint="eastAsia" w:ascii="仿宋" w:hAnsi="仿宋" w:eastAsia="仿宋" w:cs="仿宋"/>
          <w:b/>
          <w:snapToGrid w:val="0"/>
          <w:color w:val="auto"/>
          <w:kern w:val="0"/>
          <w:sz w:val="24"/>
          <w:highlight w:val="none"/>
        </w:rPr>
        <w:t>暂停施工</w:t>
      </w:r>
      <w:bookmarkEnd w:id="107"/>
      <w:bookmarkEnd w:id="108"/>
      <w:r>
        <w:rPr>
          <w:rFonts w:hint="eastAsia" w:ascii="仿宋" w:hAnsi="仿宋" w:eastAsia="仿宋" w:cs="仿宋"/>
          <w:b/>
          <w:snapToGrid w:val="0"/>
          <w:color w:val="auto"/>
          <w:kern w:val="0"/>
          <w:sz w:val="24"/>
          <w:highlight w:val="none"/>
        </w:rPr>
        <w:t>和复工</w:t>
      </w:r>
      <w:bookmarkEnd w:id="109"/>
      <w:bookmarkEnd w:id="110"/>
      <w:bookmarkEnd w:id="111"/>
    </w:p>
    <w:p w14:paraId="7C77425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15.1</w:t>
      </w:r>
      <w:r>
        <w:rPr>
          <w:rFonts w:hint="eastAsia" w:ascii="仿宋" w:hAnsi="仿宋" w:eastAsia="仿宋" w:cs="仿宋"/>
          <w:snapToGrid w:val="0"/>
          <w:color w:val="auto"/>
          <w:kern w:val="0"/>
          <w:sz w:val="24"/>
          <w:highlight w:val="none"/>
        </w:rPr>
        <w:t>因下列原因，总监理工程师报经发包人同意，可通知承包人暂停施工：</w:t>
      </w:r>
    </w:p>
    <w:p w14:paraId="568883CE">
      <w:pPr>
        <w:shd w:val="clea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（1）非承包人原因导致工程设计发生重大变更；</w:t>
      </w:r>
    </w:p>
    <w:p w14:paraId="6AECDD72">
      <w:pPr>
        <w:shd w:val="clea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（2）不可抗力；</w:t>
      </w:r>
    </w:p>
    <w:p w14:paraId="7051082B">
      <w:pPr>
        <w:shd w:val="clea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（3）质量事故；</w:t>
      </w:r>
    </w:p>
    <w:p w14:paraId="0753D043">
      <w:pPr>
        <w:shd w:val="clear"/>
        <w:adjustRightInd w:val="0"/>
        <w:snapToGrid w:val="0"/>
        <w:spacing w:line="360" w:lineRule="auto"/>
        <w:ind w:left="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（4）安全生产事故。</w:t>
      </w:r>
    </w:p>
    <w:p w14:paraId="7C70CEC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因发生上述（1）、（2）项原因而暂停施工，工期调整适用合同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条款第16条的有关约定</w:t>
      </w:r>
      <w:r>
        <w:rPr>
          <w:rFonts w:hint="eastAsia" w:ascii="仿宋" w:hAnsi="仿宋" w:eastAsia="仿宋" w:cs="仿宋"/>
          <w:snapToGrid w:val="0"/>
          <w:color w:val="auto"/>
          <w:kern w:val="0"/>
          <w:sz w:val="24"/>
          <w:highlight w:val="none"/>
          <w:lang w:val="en-US" w:eastAsia="zh-CN"/>
        </w:rPr>
        <w:t>并赔偿</w:t>
      </w:r>
      <w:r>
        <w:rPr>
          <w:rFonts w:hint="eastAsia" w:ascii="仿宋" w:hAnsi="仿宋" w:eastAsia="仿宋" w:cs="仿宋"/>
          <w:i w:val="0"/>
          <w:iCs w:val="0"/>
          <w:caps w:val="0"/>
          <w:snapToGrid w:val="0"/>
          <w:color w:val="auto"/>
          <w:spacing w:val="0"/>
          <w:kern w:val="0"/>
          <w:sz w:val="24"/>
          <w:szCs w:val="20"/>
          <w:highlight w:val="none"/>
        </w:rPr>
        <w:t>承包人因此造成的</w:t>
      </w:r>
      <w:r>
        <w:rPr>
          <w:rFonts w:hint="eastAsia" w:ascii="仿宋" w:hAnsi="仿宋" w:eastAsia="仿宋" w:cs="仿宋"/>
          <w:i w:val="0"/>
          <w:iCs w:val="0"/>
          <w:caps w:val="0"/>
          <w:snapToGrid w:val="0"/>
          <w:color w:val="auto"/>
          <w:spacing w:val="0"/>
          <w:kern w:val="0"/>
          <w:sz w:val="24"/>
          <w:szCs w:val="20"/>
          <w:highlight w:val="none"/>
          <w:lang w:val="en-US" w:eastAsia="zh-CN"/>
        </w:rPr>
        <w:t>损失及预期利润</w:t>
      </w:r>
      <w:r>
        <w:rPr>
          <w:rFonts w:hint="eastAsia" w:ascii="仿宋" w:hAnsi="仿宋" w:eastAsia="仿宋" w:cs="仿宋"/>
          <w:snapToGrid w:val="0"/>
          <w:color w:val="auto"/>
          <w:kern w:val="0"/>
          <w:sz w:val="24"/>
          <w:highlight w:val="none"/>
        </w:rPr>
        <w:t>；因发生上述第（3）、（4）项原因而暂停施工，工期不予顺延，承包人必须承担由此发生的费用，并按合同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.2款约定向发包人承担违约责任。</w:t>
      </w:r>
    </w:p>
    <w:p w14:paraId="16A399B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15.2为了保证工程质量安全，凡出现下列情况之一（不限于此）的，总监理工程师有权下达停工令，责令承包人停工整改，由此造成的损失由承包人自行负责，造成工期延误的由承包人按合同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.2款的有关约定承担违约责任：</w:t>
      </w:r>
    </w:p>
    <w:p w14:paraId="16E18EE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（1）拒绝监理等单位管理；</w:t>
      </w:r>
    </w:p>
    <w:p w14:paraId="1A6FF2D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（2）施工组织设计（方案）未获总监理工程师批准而进行施工；</w:t>
      </w:r>
    </w:p>
    <w:p w14:paraId="5A33D3C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（3）未经监理单位检验而进行下一道工序作业；</w:t>
      </w:r>
    </w:p>
    <w:p w14:paraId="748DE41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（4）擅自采用未经监理单位及发包人认可或批准的材料，或者使用的原材料、构配件不合格或未经检查确认，或者擅自采用未经认可的代用材料；</w:t>
      </w:r>
    </w:p>
    <w:p w14:paraId="5901ED2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（5）擅自变更设计图纸的要求；</w:t>
      </w:r>
    </w:p>
    <w:p w14:paraId="2D775DE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（6）转包工程；</w:t>
      </w:r>
    </w:p>
    <w:p w14:paraId="516C1AC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（7）违法分包或擅自让未经发包人批准的分包单位进场作业；</w:t>
      </w:r>
    </w:p>
    <w:p w14:paraId="7CAAB82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（8）存在安全隐患，未按监理单位要求及时进行整改；</w:t>
      </w:r>
    </w:p>
    <w:p w14:paraId="41C0B55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（9）未按双方约定的要求上报所需的资料。</w:t>
      </w:r>
    </w:p>
    <w:p w14:paraId="34FF58B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15.3当发生</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15.1款约定的暂停施工时，承包人应立即停止现场的实施工作，并根据合同约定负责在暂停期间，对工程、工程物资及承包人文件等进行照管和保护。因承包人原因未能尽到照管、保护的责任，造成损坏、丢失等，使发包人的费用增减，和（或）竣工日期延误的，承包人承担足额损害赔偿责任。</w:t>
      </w:r>
    </w:p>
    <w:p w14:paraId="29D1402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15.4当工程具备复工条件时，监理单位应当及时发出复工通知；或承包人可直接向监理单位提出复工建议，经发包人批准后，监理单位发出复工通知。承包人应当按通知要求立即组织实施复工工作，不得拖延，否则按</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.2约定承担违约责任。</w:t>
      </w:r>
    </w:p>
    <w:p w14:paraId="5AC1E79B">
      <w:pPr>
        <w:shd w:val="clear"/>
        <w:adjustRightInd w:val="0"/>
        <w:snapToGrid w:val="0"/>
        <w:spacing w:line="360" w:lineRule="auto"/>
        <w:ind w:right="11"/>
        <w:rPr>
          <w:rFonts w:ascii="仿宋" w:hAnsi="仿宋" w:eastAsia="仿宋" w:cs="仿宋"/>
          <w:snapToGrid w:val="0"/>
          <w:color w:val="auto"/>
          <w:kern w:val="0"/>
          <w:sz w:val="24"/>
          <w:highlight w:val="none"/>
        </w:rPr>
      </w:pPr>
    </w:p>
    <w:p w14:paraId="50061132">
      <w:pPr>
        <w:shd w:val="clear"/>
        <w:adjustRightInd w:val="0"/>
        <w:snapToGrid w:val="0"/>
        <w:spacing w:line="360" w:lineRule="auto"/>
        <w:ind w:right="11"/>
        <w:outlineLvl w:val="2"/>
        <w:rPr>
          <w:rFonts w:ascii="仿宋" w:hAnsi="仿宋" w:eastAsia="仿宋" w:cs="仿宋"/>
          <w:b/>
          <w:snapToGrid w:val="0"/>
          <w:color w:val="auto"/>
          <w:kern w:val="0"/>
          <w:sz w:val="24"/>
          <w:highlight w:val="none"/>
        </w:rPr>
      </w:pPr>
      <w:bookmarkStart w:id="112" w:name="_Toc504465894"/>
      <w:bookmarkStart w:id="113" w:name="_Toc83377261"/>
      <w:bookmarkStart w:id="114" w:name="_Toc502215491"/>
      <w:bookmarkStart w:id="115" w:name="_Toc2784873"/>
      <w:bookmarkStart w:id="116" w:name="_Toc12376"/>
      <w:r>
        <w:rPr>
          <w:rFonts w:hint="eastAsia" w:ascii="仿宋" w:hAnsi="仿宋" w:eastAsia="仿宋" w:cs="仿宋"/>
          <w:b/>
          <w:snapToGrid w:val="0"/>
          <w:color w:val="auto"/>
          <w:kern w:val="0"/>
          <w:sz w:val="24"/>
          <w:highlight w:val="none"/>
          <w:lang w:eastAsia="zh-CN"/>
        </w:rPr>
        <w:t>16.</w:t>
      </w:r>
      <w:r>
        <w:rPr>
          <w:rFonts w:hint="eastAsia" w:ascii="仿宋" w:hAnsi="仿宋" w:eastAsia="仿宋" w:cs="仿宋"/>
          <w:b/>
          <w:snapToGrid w:val="0"/>
          <w:color w:val="auto"/>
          <w:kern w:val="0"/>
          <w:sz w:val="24"/>
          <w:highlight w:val="none"/>
        </w:rPr>
        <w:t>工期</w:t>
      </w:r>
      <w:bookmarkEnd w:id="112"/>
      <w:bookmarkEnd w:id="113"/>
      <w:bookmarkEnd w:id="114"/>
      <w:bookmarkEnd w:id="115"/>
      <w:bookmarkEnd w:id="116"/>
    </w:p>
    <w:p w14:paraId="2F2FF5C4">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16.1工期控制与调整</w:t>
      </w:r>
    </w:p>
    <w:p w14:paraId="55DF0E8C">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（1）本工程工期分为关键节点工期和一般节点工期两类，承包人必须在施工组织设计文件中分专业详细区分和列明本工程的关键节点工期和一般节点工期，并报总监理工程师和发包人批准后实施。</w:t>
      </w:r>
    </w:p>
    <w:p w14:paraId="7C28DD7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w:t>
      </w:r>
      <w:r>
        <w:rPr>
          <w:rFonts w:hint="eastAsia" w:ascii="仿宋" w:hAnsi="仿宋" w:eastAsia="仿宋" w:cs="仿宋"/>
          <w:snapToGrid w:val="0"/>
          <w:color w:val="auto"/>
          <w:kern w:val="0"/>
          <w:sz w:val="24"/>
          <w:szCs w:val="22"/>
          <w:highlight w:val="none"/>
        </w:rPr>
        <w:t>承包人应当采取合理有效的赶工措施予以消化，相关赶工措施费</w:t>
      </w:r>
      <w:r>
        <w:rPr>
          <w:rFonts w:hint="eastAsia" w:ascii="仿宋" w:hAnsi="仿宋" w:eastAsia="仿宋" w:cs="仿宋"/>
          <w:snapToGrid w:val="0"/>
          <w:color w:val="auto"/>
          <w:kern w:val="0"/>
          <w:sz w:val="24"/>
          <w:highlight w:val="none"/>
        </w:rPr>
        <w:t>由发包人和承包人双方另行签订补充协议约定</w:t>
      </w:r>
      <w:r>
        <w:rPr>
          <w:rFonts w:hint="eastAsia" w:ascii="仿宋" w:hAnsi="仿宋" w:eastAsia="仿宋" w:cs="仿宋"/>
          <w:snapToGrid w:val="0"/>
          <w:color w:val="auto"/>
          <w:kern w:val="0"/>
          <w:sz w:val="24"/>
          <w:szCs w:val="22"/>
          <w:highlight w:val="none"/>
        </w:rPr>
        <w:t>。</w:t>
      </w:r>
    </w:p>
    <w:p w14:paraId="26E95A1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在特殊情况下，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w:t>
      </w:r>
      <w:r>
        <w:rPr>
          <w:rFonts w:hint="eastAsia" w:ascii="仿宋" w:hAnsi="仿宋" w:eastAsia="仿宋" w:cs="仿宋"/>
          <w:bCs/>
          <w:snapToGrid w:val="0"/>
          <w:color w:val="auto"/>
          <w:kern w:val="0"/>
          <w:sz w:val="24"/>
          <w:highlight w:val="none"/>
        </w:rPr>
        <w:t>承包人必须按照调整后的总工期控制计划和关键节点工期计划执行。</w:t>
      </w:r>
    </w:p>
    <w:p w14:paraId="46E39A17">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16.2工期延误的原因及其处理</w:t>
      </w:r>
    </w:p>
    <w:p w14:paraId="33F8754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hint="eastAsia" w:ascii="仿宋" w:hAnsi="仿宋" w:eastAsia="仿宋" w:cs="仿宋"/>
          <w:snapToGrid w:val="0"/>
          <w:color w:val="auto"/>
          <w:kern w:val="0"/>
          <w:sz w:val="24"/>
          <w:highlight w:val="none"/>
        </w:rPr>
        <w:t>非承包人原因造成的工期延误中的特殊情况，是指有确凿证据证实因下列原因而直接造成承包人的原定工期计划延误：</w:t>
      </w:r>
    </w:p>
    <w:p w14:paraId="7D9B5CB6">
      <w:pPr>
        <w:shd w:val="clea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1）不可抗力（含政府对本工程建设项目作出停建、缓建的决定）；</w:t>
      </w:r>
    </w:p>
    <w:p w14:paraId="24BF7602">
      <w:pPr>
        <w:shd w:val="clear"/>
        <w:adjustRightInd w:val="0"/>
        <w:snapToGrid w:val="0"/>
        <w:spacing w:line="360" w:lineRule="auto"/>
        <w:ind w:firstLine="566" w:firstLineChars="23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2）工程设计有重大变更，并经总监理工程师和发包人确认会造成工期延误的；</w:t>
      </w:r>
    </w:p>
    <w:p w14:paraId="2F126810">
      <w:pPr>
        <w:shd w:val="clea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3）发包人延期交付施工场地；</w:t>
      </w:r>
    </w:p>
    <w:p w14:paraId="755620EF">
      <w:pPr>
        <w:shd w:val="clea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4）发包人指令（非承包人原因）引起的停工；</w:t>
      </w:r>
    </w:p>
    <w:p w14:paraId="24682077">
      <w:pPr>
        <w:shd w:val="clea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5）发包人不按合同约定支付工程款而影响工期进度，并经总监理工程师确认的；</w:t>
      </w:r>
    </w:p>
    <w:p w14:paraId="630E5F7E">
      <w:pPr>
        <w:shd w:val="clea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6）由于政府部门举行特殊活动引起暂停工作的；</w:t>
      </w:r>
    </w:p>
    <w:p w14:paraId="603C9E59">
      <w:pPr>
        <w:shd w:val="clear"/>
        <w:adjustRightInd w:val="0"/>
        <w:snapToGrid w:val="0"/>
        <w:spacing w:line="360" w:lineRule="auto"/>
        <w:ind w:left="461" w:right="11" w:firstLine="105" w:firstLineChars="44"/>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7）其余非承包人原因导致的。</w:t>
      </w:r>
    </w:p>
    <w:p w14:paraId="4B360717">
      <w:pPr>
        <w:shd w:val="clear"/>
        <w:adjustRightInd w:val="0"/>
        <w:snapToGrid w:val="0"/>
        <w:spacing w:line="360" w:lineRule="auto"/>
        <w:ind w:right="11" w:firstLine="424" w:firstLineChars="177"/>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（2）因承包人原因造成的工期延误，工期一概不得顺延。承包人还应当按照</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.2款的有关约定承担违约责任。</w:t>
      </w:r>
    </w:p>
    <w:p w14:paraId="5370CACD">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（3）因承包人对</w:t>
      </w:r>
      <w:r>
        <w:rPr>
          <w:rFonts w:hint="eastAsia" w:ascii="仿宋" w:hAnsi="仿宋" w:eastAsia="仿宋" w:cs="仿宋"/>
          <w:bCs/>
          <w:snapToGrid w:val="0"/>
          <w:color w:val="auto"/>
          <w:kern w:val="0"/>
          <w:sz w:val="24"/>
          <w:highlight w:val="none"/>
        </w:rPr>
        <w:t>现场组织管理不力或未能提供协调、配合服务，以致专业工程的进度影响工期，承包人不得以此为由提出延长工期的要求。</w:t>
      </w:r>
    </w:p>
    <w:p w14:paraId="4CD7D378">
      <w:pPr>
        <w:shd w:val="clea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snapToGrid w:val="0"/>
          <w:color w:val="auto"/>
          <w:kern w:val="0"/>
          <w:sz w:val="24"/>
          <w:highlight w:val="none"/>
        </w:rPr>
        <w:t>16.3</w:t>
      </w:r>
      <w:r>
        <w:rPr>
          <w:rFonts w:hint="eastAsia" w:ascii="仿宋" w:hAnsi="仿宋" w:eastAsia="仿宋" w:cs="仿宋"/>
          <w:color w:val="auto"/>
          <w:sz w:val="24"/>
          <w:szCs w:val="24"/>
          <w:highlight w:val="none"/>
        </w:rPr>
        <w:t>承包人应当对工期全面负责，对项目进度计划和各阶段的进度进行管理，通过设计、采购、施工、试运行各阶段的协调、配合与合理交叉，科学制定、实施、控制进度计划，确保工程按期竣工。</w:t>
      </w:r>
    </w:p>
    <w:p w14:paraId="6A3C3F9C">
      <w:pPr>
        <w:shd w:val="clea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16.4因非承包人原因造成的工期延误，需</w:t>
      </w:r>
      <w:r>
        <w:rPr>
          <w:rFonts w:hint="eastAsia" w:ascii="仿宋" w:hAnsi="仿宋" w:eastAsia="仿宋" w:cs="仿宋"/>
          <w:color w:val="auto"/>
          <w:kern w:val="0"/>
          <w:sz w:val="24"/>
          <w:szCs w:val="24"/>
          <w:highlight w:val="none"/>
        </w:rPr>
        <w:t>报监理人审批同意后报发包人才予以认可及顺延。</w:t>
      </w:r>
    </w:p>
    <w:p w14:paraId="39A9C67C">
      <w:pPr>
        <w:shd w:val="clear"/>
        <w:adjustRightInd w:val="0"/>
        <w:snapToGrid w:val="0"/>
        <w:spacing w:line="360" w:lineRule="auto"/>
        <w:rPr>
          <w:rFonts w:ascii="仿宋" w:hAnsi="仿宋" w:eastAsia="仿宋" w:cs="仿宋"/>
          <w:b/>
          <w:snapToGrid w:val="0"/>
          <w:color w:val="auto"/>
          <w:kern w:val="0"/>
          <w:sz w:val="24"/>
          <w:highlight w:val="none"/>
        </w:rPr>
      </w:pPr>
    </w:p>
    <w:p w14:paraId="5DF2C069">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17" w:name="_Toc6465"/>
      <w:bookmarkStart w:id="118" w:name="_Toc83377262"/>
      <w:bookmarkStart w:id="119" w:name="_Toc2784874"/>
      <w:bookmarkStart w:id="120" w:name="_Toc504465895"/>
      <w:bookmarkStart w:id="121" w:name="_Toc502215492"/>
      <w:r>
        <w:rPr>
          <w:rFonts w:hint="eastAsia" w:ascii="仿宋" w:hAnsi="仿宋" w:eastAsia="仿宋" w:cs="仿宋"/>
          <w:b/>
          <w:snapToGrid w:val="0"/>
          <w:color w:val="auto"/>
          <w:kern w:val="0"/>
          <w:sz w:val="24"/>
          <w:highlight w:val="none"/>
          <w:lang w:eastAsia="zh-CN"/>
        </w:rPr>
        <w:t>17.</w:t>
      </w:r>
      <w:r>
        <w:rPr>
          <w:rFonts w:hint="eastAsia" w:ascii="仿宋" w:hAnsi="仿宋" w:eastAsia="仿宋" w:cs="仿宋"/>
          <w:b/>
          <w:snapToGrid w:val="0"/>
          <w:color w:val="auto"/>
          <w:kern w:val="0"/>
          <w:sz w:val="24"/>
          <w:highlight w:val="none"/>
        </w:rPr>
        <w:t>工程竣工</w:t>
      </w:r>
      <w:bookmarkEnd w:id="117"/>
      <w:bookmarkEnd w:id="118"/>
      <w:bookmarkEnd w:id="119"/>
      <w:bookmarkEnd w:id="120"/>
      <w:bookmarkEnd w:id="121"/>
    </w:p>
    <w:p w14:paraId="7016A1FC">
      <w:pPr>
        <w:shd w:val="clear"/>
        <w:adjustRightInd w:val="0"/>
        <w:snapToGrid w:val="0"/>
        <w:spacing w:line="360" w:lineRule="auto"/>
        <w:ind w:right="11" w:firstLine="460" w:firstLineChars="192"/>
        <w:outlineLvl w:val="3"/>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承包人必须采取一切有效措施保证按照合同协议书约定或者</w:t>
      </w:r>
      <w:r>
        <w:rPr>
          <w:rFonts w:hint="eastAsia" w:ascii="仿宋" w:hAnsi="仿宋" w:eastAsia="仿宋" w:cs="仿宋"/>
          <w:bCs/>
          <w:snapToGrid w:val="0"/>
          <w:color w:val="auto"/>
          <w:kern w:val="0"/>
          <w:sz w:val="24"/>
          <w:highlight w:val="none"/>
        </w:rPr>
        <w:t>发包人根据工程实施情况调整</w:t>
      </w:r>
      <w:r>
        <w:rPr>
          <w:rFonts w:hint="eastAsia" w:ascii="仿宋" w:hAnsi="仿宋" w:eastAsia="仿宋" w:cs="仿宋"/>
          <w:snapToGrid w:val="0"/>
          <w:color w:val="auto"/>
          <w:kern w:val="0"/>
          <w:sz w:val="24"/>
          <w:highlight w:val="none"/>
        </w:rPr>
        <w:t>的竣工日期竣工，不得延误，除非发生了以下情形：</w:t>
      </w:r>
    </w:p>
    <w:p w14:paraId="36164D84">
      <w:pPr>
        <w:shd w:val="clea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（1）政府对本工程建设项目作出停建、缓建的决定；</w:t>
      </w:r>
    </w:p>
    <w:p w14:paraId="0713DC6E">
      <w:pPr>
        <w:shd w:val="clea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（2）重大设计变更导致本工程在规划、使用、功能方面有重大调整；</w:t>
      </w:r>
    </w:p>
    <w:p w14:paraId="3AE42B6C">
      <w:pPr>
        <w:shd w:val="clea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（3）非因承包人原因造成关键节点工期延误达到30天以上；</w:t>
      </w:r>
    </w:p>
    <w:p w14:paraId="3F32D957">
      <w:pPr>
        <w:shd w:val="clear"/>
        <w:adjustRightInd w:val="0"/>
        <w:snapToGrid w:val="0"/>
        <w:spacing w:line="360" w:lineRule="auto"/>
        <w:ind w:left="461" w:right="11"/>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（4）其他非因承包人原因造成的竣工日期延误。</w:t>
      </w:r>
    </w:p>
    <w:p w14:paraId="149A2084">
      <w:pPr>
        <w:pStyle w:val="13"/>
        <w:shd w:val="clear"/>
        <w:adjustRightInd w:val="0"/>
        <w:snapToGrid w:val="0"/>
        <w:spacing w:line="360" w:lineRule="auto"/>
        <w:ind w:left="5250"/>
        <w:rPr>
          <w:rFonts w:ascii="仿宋" w:hAnsi="仿宋" w:eastAsia="仿宋" w:cs="仿宋"/>
          <w:snapToGrid w:val="0"/>
          <w:color w:val="auto"/>
          <w:highlight w:val="none"/>
        </w:rPr>
      </w:pPr>
    </w:p>
    <w:p w14:paraId="1FF9AC48">
      <w:pPr>
        <w:pStyle w:val="13"/>
        <w:shd w:val="clear"/>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122" w:name="_Toc502215493"/>
      <w:bookmarkStart w:id="123" w:name="_Toc83377263"/>
      <w:bookmarkStart w:id="124" w:name="_Toc2784875"/>
      <w:bookmarkStart w:id="125" w:name="_Toc26390"/>
      <w:bookmarkStart w:id="126" w:name="_Toc504465896"/>
      <w:r>
        <w:rPr>
          <w:rFonts w:hint="eastAsia" w:ascii="仿宋" w:hAnsi="仿宋" w:eastAsia="仿宋" w:cs="仿宋"/>
          <w:b/>
          <w:snapToGrid w:val="0"/>
          <w:color w:val="auto"/>
          <w:sz w:val="28"/>
          <w:szCs w:val="28"/>
          <w:highlight w:val="none"/>
        </w:rPr>
        <w:t>五、质量与检验</w:t>
      </w:r>
      <w:bookmarkEnd w:id="122"/>
      <w:bookmarkEnd w:id="123"/>
      <w:bookmarkEnd w:id="124"/>
      <w:bookmarkEnd w:id="125"/>
      <w:bookmarkEnd w:id="126"/>
    </w:p>
    <w:p w14:paraId="29DE7668">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27" w:name="_Toc83377264"/>
      <w:bookmarkStart w:id="128" w:name="_Toc17236"/>
      <w:bookmarkStart w:id="129" w:name="_Toc2784876"/>
      <w:bookmarkStart w:id="130" w:name="_Toc504465897"/>
      <w:bookmarkStart w:id="131" w:name="_Toc502215494"/>
      <w:r>
        <w:rPr>
          <w:rFonts w:hint="eastAsia" w:ascii="仿宋" w:hAnsi="仿宋" w:eastAsia="仿宋" w:cs="仿宋"/>
          <w:b/>
          <w:snapToGrid w:val="0"/>
          <w:color w:val="auto"/>
          <w:kern w:val="0"/>
          <w:sz w:val="24"/>
          <w:highlight w:val="none"/>
          <w:lang w:eastAsia="zh-CN"/>
        </w:rPr>
        <w:t>18.</w:t>
      </w:r>
      <w:r>
        <w:rPr>
          <w:rFonts w:hint="eastAsia" w:ascii="仿宋" w:hAnsi="仿宋" w:eastAsia="仿宋" w:cs="仿宋"/>
          <w:b/>
          <w:snapToGrid w:val="0"/>
          <w:color w:val="auto"/>
          <w:kern w:val="0"/>
          <w:sz w:val="24"/>
          <w:highlight w:val="none"/>
        </w:rPr>
        <w:t>工程质量</w:t>
      </w:r>
      <w:bookmarkEnd w:id="127"/>
      <w:bookmarkEnd w:id="128"/>
      <w:bookmarkEnd w:id="129"/>
      <w:bookmarkEnd w:id="130"/>
      <w:bookmarkEnd w:id="131"/>
    </w:p>
    <w:p w14:paraId="588D7BA1">
      <w:pPr>
        <w:shd w:val="clear"/>
        <w:adjustRightInd w:val="0"/>
        <w:snapToGrid w:val="0"/>
        <w:spacing w:line="360" w:lineRule="auto"/>
        <w:ind w:firstLine="420" w:firstLineChars="175"/>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18.1工程质量标准</w:t>
      </w:r>
    </w:p>
    <w:p w14:paraId="0B17323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（1）本合同工程质量标准按合同协议书第4条的约定执行。</w:t>
      </w:r>
    </w:p>
    <w:p w14:paraId="285D2C2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（2）承包人必须确保工程一次验收合格。因承包人原因致使工程未一次验收合格的，由承包人按照</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lang w:val="en-US" w:eastAsia="zh-CN"/>
        </w:rPr>
        <w:t>款</w:t>
      </w:r>
      <w:r>
        <w:rPr>
          <w:rFonts w:hint="eastAsia" w:ascii="仿宋" w:hAnsi="仿宋" w:eastAsia="仿宋" w:cs="仿宋"/>
          <w:snapToGrid w:val="0"/>
          <w:color w:val="auto"/>
          <w:kern w:val="0"/>
          <w:sz w:val="24"/>
          <w:highlight w:val="none"/>
        </w:rPr>
        <w:t>约定承担违约责任。</w:t>
      </w:r>
    </w:p>
    <w:p w14:paraId="493E74E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18.2</w:t>
      </w:r>
      <w:r>
        <w:rPr>
          <w:rFonts w:hint="eastAsia" w:ascii="仿宋" w:hAnsi="仿宋" w:eastAsia="仿宋" w:cs="仿宋"/>
          <w:snapToGrid w:val="0"/>
          <w:color w:val="auto"/>
          <w:kern w:val="0"/>
          <w:sz w:val="24"/>
          <w:highlight w:val="none"/>
        </w:rPr>
        <w:t>工程质量应当达到合同协议书约定的质量标准，质量标准的评定以国家或行业的质量检验评定标准为依据。因承包人原因工程质量达不到约定的质量标准，承包人承担违约责任。</w:t>
      </w:r>
    </w:p>
    <w:p w14:paraId="778DE289">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18.3因承包人原因造成工程质量不符合法律的规定和合同约定的，发包人有权要求承包人返工直至符合合同要求为止，由此造成的费用增加和（或）工期延误由承包人承担。</w:t>
      </w:r>
    </w:p>
    <w:p w14:paraId="099D5A7E">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18.4因发包人原因造成工程质量达不到合同约定验收标准的，发包人应承担由于承包人返工造成的费用增加和（或）工期延误。</w:t>
      </w:r>
    </w:p>
    <w:p w14:paraId="6CFC3979">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18.5设计质量要求：</w:t>
      </w:r>
    </w:p>
    <w:p w14:paraId="7BF2C922">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设计是安全、可行、实用、经济、美观的、符合建设工程设计的技术规范及本项目设计任务书的要求，并能顺利通过主管部门或其委托部门的技术审查及发包人组织的设计成果验收。</w:t>
      </w:r>
      <w:bookmarkStart w:id="132" w:name="_Toc496887378"/>
      <w:bookmarkStart w:id="133" w:name="_Toc497206412"/>
    </w:p>
    <w:bookmarkEnd w:id="132"/>
    <w:bookmarkEnd w:id="133"/>
    <w:p w14:paraId="7FA1427D">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bookmarkStart w:id="134" w:name="_Toc497206415"/>
      <w:bookmarkStart w:id="135" w:name="_Toc496887381"/>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0"/>
          <w:sz w:val="24"/>
          <w:highlight w:val="none"/>
        </w:rPr>
        <w:t>设计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bookmarkEnd w:id="134"/>
      <w:bookmarkEnd w:id="135"/>
    </w:p>
    <w:p w14:paraId="3573A02F">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w:t>
      </w:r>
      <w:r>
        <w:rPr>
          <w:rFonts w:hint="eastAsia" w:ascii="仿宋" w:hAnsi="仿宋" w:eastAsia="仿宋" w:cs="仿宋"/>
          <w:snapToGrid w:val="0"/>
          <w:color w:val="auto"/>
          <w:kern w:val="0"/>
          <w:sz w:val="24"/>
          <w:highlight w:val="none"/>
        </w:rPr>
        <w:t>承包人的设计成果文件应满足《建筑工程设计文件编制深度规定》（2016年版）、</w:t>
      </w:r>
      <w:r>
        <w:rPr>
          <w:rFonts w:hint="eastAsia" w:ascii="仿宋" w:hAnsi="仿宋" w:eastAsia="仿宋" w:cs="仿宋"/>
          <w:bCs/>
          <w:snapToGrid w:val="0"/>
          <w:color w:val="auto"/>
          <w:kern w:val="0"/>
          <w:sz w:val="24"/>
          <w:highlight w:val="none"/>
        </w:rPr>
        <w:t>本工程设计任务书要求</w:t>
      </w:r>
      <w:r>
        <w:rPr>
          <w:rFonts w:hint="eastAsia" w:ascii="仿宋" w:hAnsi="仿宋" w:eastAsia="仿宋" w:cs="仿宋"/>
          <w:snapToGrid w:val="0"/>
          <w:color w:val="auto"/>
          <w:kern w:val="0"/>
          <w:sz w:val="24"/>
          <w:highlight w:val="none"/>
        </w:rPr>
        <w:t>，并按照专家评审意见和发包人要求对设计进行深化、优化。承包人对本合同范围内的设计成果文件达到合同约定的相应设计深度负总体责任。</w:t>
      </w:r>
    </w:p>
    <w:p w14:paraId="46277506">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（3）承包人在设计过程中应考虑工程实施的可操作性，对工序方案提出相应的技术要求，应明确提出关键工序的工艺要求、质量控制要求及安全技术措施方案。</w:t>
      </w:r>
    </w:p>
    <w:p w14:paraId="7DCE0784">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（4）设计成果文件的计量单位均应采用国际标准计量单位。</w:t>
      </w:r>
    </w:p>
    <w:p w14:paraId="003784E1">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（5）设计图纸必须按照国家对工程图纸规格的规定绘制，保持同类图纸规格统一。</w:t>
      </w:r>
    </w:p>
    <w:p w14:paraId="7CEE92AA">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snapToGrid w:val="0"/>
          <w:color w:val="auto"/>
          <w:kern w:val="0"/>
          <w:sz w:val="24"/>
          <w:highlight w:val="none"/>
        </w:rPr>
        <w:t>（6）承包人应根据政府主管部门、发包人的审核意见对设计成果文件进行必要的修改。当承包人提交的设计成果文件不符合本合同所约定的质量要求时，承包人应在收到政府主管部门、发包人的通知后5天内将经过修改的符合规定的设计文件交付发包人。</w:t>
      </w:r>
    </w:p>
    <w:p w14:paraId="19D3835C">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18.6现场施工质量</w:t>
      </w:r>
    </w:p>
    <w:p w14:paraId="49C57788">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（1）符合国家、地方及相关行业质量技术及安全规范的要求；</w:t>
      </w:r>
    </w:p>
    <w:p w14:paraId="60A1A91E">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（2）符合经监理单位和发包人以及政府主管部门审批通过的深化设计图纸要求；</w:t>
      </w:r>
    </w:p>
    <w:p w14:paraId="5AB8362E">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（3）符合国家、地方及发包人认可的施工验收标准。</w:t>
      </w:r>
    </w:p>
    <w:p w14:paraId="0D751BBA">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18.7工程质量争议与鉴定</w:t>
      </w:r>
    </w:p>
    <w:p w14:paraId="2F3A554A">
      <w:pPr>
        <w:shd w:val="clear"/>
        <w:autoSpaceDE w:val="0"/>
        <w:autoSpaceDN w:val="0"/>
        <w:adjustRightInd w:val="0"/>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双方一致同意，对于本合同履行过程中的工程质量争议，由工程所在地负责工程质量监督的政府主管机构或部门依据《建筑工程施工质量验收统一标准》（GB50300-2013）（如有新版本颁发，则按最新版本执行）系列各专业验收规范及设计文件等进行鉴定并按鉴定结论及有关规定承担责任。</w:t>
      </w:r>
    </w:p>
    <w:p w14:paraId="4FC1DCBB">
      <w:pPr>
        <w:shd w:val="clear"/>
        <w:adjustRightInd w:val="0"/>
        <w:snapToGrid w:val="0"/>
        <w:spacing w:line="360" w:lineRule="auto"/>
        <w:rPr>
          <w:rFonts w:ascii="仿宋" w:hAnsi="仿宋" w:eastAsia="仿宋" w:cs="仿宋"/>
          <w:color w:val="auto"/>
          <w:kern w:val="0"/>
          <w:sz w:val="24"/>
          <w:highlight w:val="none"/>
          <w:u w:val="single"/>
        </w:rPr>
      </w:pPr>
    </w:p>
    <w:p w14:paraId="02F794B0">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36" w:name="_Toc83377265"/>
      <w:bookmarkStart w:id="137" w:name="_Toc32533"/>
      <w:bookmarkStart w:id="138" w:name="_Toc502215495"/>
      <w:bookmarkStart w:id="139" w:name="_Toc504465898"/>
      <w:bookmarkStart w:id="140" w:name="_Toc2784877"/>
      <w:r>
        <w:rPr>
          <w:rFonts w:hint="eastAsia" w:ascii="仿宋" w:hAnsi="仿宋" w:eastAsia="仿宋" w:cs="仿宋"/>
          <w:b/>
          <w:snapToGrid w:val="0"/>
          <w:color w:val="auto"/>
          <w:kern w:val="0"/>
          <w:sz w:val="24"/>
          <w:highlight w:val="none"/>
          <w:lang w:eastAsia="zh-CN"/>
        </w:rPr>
        <w:t>19.</w:t>
      </w:r>
      <w:r>
        <w:rPr>
          <w:rFonts w:hint="eastAsia" w:ascii="仿宋" w:hAnsi="仿宋" w:eastAsia="仿宋" w:cs="仿宋"/>
          <w:b/>
          <w:snapToGrid w:val="0"/>
          <w:color w:val="auto"/>
          <w:kern w:val="0"/>
          <w:sz w:val="24"/>
          <w:highlight w:val="none"/>
        </w:rPr>
        <w:t>工程质量保证体系</w:t>
      </w:r>
      <w:bookmarkEnd w:id="136"/>
      <w:bookmarkEnd w:id="137"/>
      <w:bookmarkEnd w:id="138"/>
      <w:bookmarkEnd w:id="139"/>
      <w:bookmarkEnd w:id="140"/>
    </w:p>
    <w:p w14:paraId="1A968C1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应当完善质量管理制度，建立质量控制流程，进行全面质量管理（TQC），以《质量管理体系标准要求》（GB/T19000-2016）为标准，建立并保持一个有效的工程质量管理体系。为此，承包人必须做到（不限于）：</w:t>
      </w:r>
    </w:p>
    <w:p w14:paraId="06B7E1EE">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r>
        <w:rPr>
          <w:rFonts w:hint="eastAsia" w:ascii="仿宋" w:hAnsi="仿宋" w:eastAsia="仿宋" w:cs="仿宋"/>
          <w:bCs/>
          <w:snapToGrid w:val="0"/>
          <w:color w:val="auto"/>
          <w:kern w:val="0"/>
          <w:sz w:val="24"/>
          <w:highlight w:val="none"/>
        </w:rPr>
        <w:t>同时，承包人应积极配合工程质量第三方检测工作，并积极采用新材料、新工艺、新技术。</w:t>
      </w:r>
    </w:p>
    <w:p w14:paraId="06C09009">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（2）承包人提交总监理工程师批准的施工组织设计或者施工方案必须附有完备的工程质量保证措施，包括：工程质量预控措施，</w:t>
      </w:r>
      <w:r>
        <w:rPr>
          <w:rFonts w:hint="eastAsia" w:ascii="仿宋" w:hAnsi="仿宋" w:eastAsia="仿宋" w:cs="仿宋"/>
          <w:iCs/>
          <w:snapToGrid w:val="0"/>
          <w:color w:val="auto"/>
          <w:kern w:val="0"/>
          <w:sz w:val="24"/>
          <w:highlight w:val="none"/>
        </w:rPr>
        <w:t>工序质量控制点，</w:t>
      </w:r>
      <w:r>
        <w:rPr>
          <w:rFonts w:hint="eastAsia" w:ascii="仿宋" w:hAnsi="仿宋" w:eastAsia="仿宋" w:cs="仿宋"/>
          <w:snapToGrid w:val="0"/>
          <w:color w:val="auto"/>
          <w:kern w:val="0"/>
          <w:sz w:val="24"/>
          <w:highlight w:val="none"/>
        </w:rPr>
        <w:t>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3D237EA1">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（3）单项工程开工前，承包人必须按要求对职工分级进行技术交底，组织学习有关规程、标准、规范和工艺要求（规程包括但不限于施工企业标准和作业指导书），在施工中必须按规程及工艺进行操作。</w:t>
      </w:r>
    </w:p>
    <w:p w14:paraId="6A443C7E">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74768507">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按照《关于加强房屋建筑和市政基础设施工程混凝土试件标准养护管理的通知》的要求，在建房屋建筑和市政基础设施工程，现场有混凝土结构施工部位的，必须在施工现场建立混凝土试件标准养护室或放置标准养护箱，而且监督见证检验次数不少于同类材料进场检验频次的10%且不少于一次。</w:t>
      </w:r>
    </w:p>
    <w:p w14:paraId="0863450F">
      <w:pPr>
        <w:shd w:val="clear"/>
        <w:adjustRightInd w:val="0"/>
        <w:snapToGrid w:val="0"/>
        <w:spacing w:line="360" w:lineRule="auto"/>
        <w:rPr>
          <w:rFonts w:ascii="仿宋" w:hAnsi="仿宋" w:eastAsia="仿宋" w:cs="仿宋"/>
          <w:color w:val="auto"/>
          <w:highlight w:val="none"/>
        </w:rPr>
      </w:pPr>
    </w:p>
    <w:p w14:paraId="0D6310B8">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41" w:name="_Toc504465899"/>
      <w:bookmarkStart w:id="142" w:name="_Toc2784878"/>
      <w:bookmarkStart w:id="143" w:name="_Toc13651"/>
      <w:bookmarkStart w:id="144" w:name="_Toc502215496"/>
      <w:bookmarkStart w:id="145" w:name="_Toc83377266"/>
      <w:r>
        <w:rPr>
          <w:rFonts w:hint="eastAsia" w:ascii="仿宋" w:hAnsi="仿宋" w:eastAsia="仿宋" w:cs="仿宋"/>
          <w:b/>
          <w:snapToGrid w:val="0"/>
          <w:color w:val="auto"/>
          <w:kern w:val="0"/>
          <w:sz w:val="24"/>
          <w:highlight w:val="none"/>
          <w:lang w:eastAsia="zh-CN"/>
        </w:rPr>
        <w:t>20.</w:t>
      </w:r>
      <w:r>
        <w:rPr>
          <w:rFonts w:hint="eastAsia" w:ascii="仿宋" w:hAnsi="仿宋" w:eastAsia="仿宋" w:cs="仿宋"/>
          <w:b/>
          <w:snapToGrid w:val="0"/>
          <w:color w:val="auto"/>
          <w:kern w:val="0"/>
          <w:sz w:val="24"/>
          <w:highlight w:val="none"/>
        </w:rPr>
        <w:t>检查和返工</w:t>
      </w:r>
      <w:bookmarkEnd w:id="141"/>
      <w:bookmarkEnd w:id="142"/>
      <w:bookmarkEnd w:id="143"/>
      <w:bookmarkEnd w:id="144"/>
      <w:bookmarkEnd w:id="145"/>
    </w:p>
    <w:p w14:paraId="79A9502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20.1承包人应认真按照标准、规范和经批准的设计图纸要求以及总监理工程师依据合同发出的指令施工，随时接受总监理工程师的检查检验，为检查检验提供便利条件。</w:t>
      </w:r>
    </w:p>
    <w:p w14:paraId="239D7E4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20.2工程质量达不到约定标准的部分，总监理工程师一经发现，应要求承包人拆除和重新施工，承包人应按总监理工程师的要求拆除和重新施工，直到符合约定标准。因承包人原因达不到约定标准，由承包人承担拆除和重新施工的费用，工期不予顺延。</w:t>
      </w:r>
    </w:p>
    <w:p w14:paraId="62355D1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20.3总监理工程师的检查检验不应影响施工正常进行。如影响施工正常进行，检查检验不合格时，影响正常施工的费用由承包人承担，工期不予顺延。除此之外影响正常施工的追加合同价款由发包人承担，相应顺延工期。</w:t>
      </w:r>
    </w:p>
    <w:p w14:paraId="3CFE766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20.4因总监理工程师指令失误或</w:t>
      </w:r>
      <w:r>
        <w:rPr>
          <w:rFonts w:hint="eastAsia" w:ascii="仿宋" w:hAnsi="仿宋" w:eastAsia="仿宋" w:cs="仿宋"/>
          <w:snapToGrid w:val="0"/>
          <w:color w:val="auto"/>
          <w:kern w:val="0"/>
          <w:sz w:val="24"/>
          <w:highlight w:val="none"/>
          <w:lang w:eastAsia="zh-CN"/>
        </w:rPr>
        <w:t>其他</w:t>
      </w:r>
      <w:r>
        <w:rPr>
          <w:rFonts w:hint="eastAsia" w:ascii="仿宋" w:hAnsi="仿宋" w:eastAsia="仿宋" w:cs="仿宋"/>
          <w:snapToGrid w:val="0"/>
          <w:color w:val="auto"/>
          <w:kern w:val="0"/>
          <w:sz w:val="24"/>
          <w:highlight w:val="none"/>
        </w:rPr>
        <w:t>非承包人原因发生的追加合同价款，由发包人承担。</w:t>
      </w:r>
    </w:p>
    <w:p w14:paraId="2740C435">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20.5对承包人采购的工程材料、设备及采用的工艺的查验</w:t>
      </w:r>
    </w:p>
    <w:p w14:paraId="284A3FD5">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实施工程的一切材料、设备及工艺，都必须符合经批准的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34508B3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04B7DD33">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发包人和总监理工程师认为有必要的，有权对已检查、检验过的材料、设备进行重复检查、检验，承包人应遵照执行。重复检查、检验的程序和内容适用前述约定。</w:t>
      </w:r>
    </w:p>
    <w:p w14:paraId="3BD343E7">
      <w:pPr>
        <w:shd w:val="clear"/>
        <w:adjustRightInd w:val="0"/>
        <w:snapToGrid w:val="0"/>
        <w:spacing w:line="360" w:lineRule="auto"/>
        <w:ind w:firstLine="420"/>
        <w:rPr>
          <w:rFonts w:ascii="仿宋" w:hAnsi="仿宋" w:eastAsia="仿宋" w:cs="仿宋"/>
          <w:iCs/>
          <w:snapToGrid w:val="0"/>
          <w:color w:val="auto"/>
          <w:kern w:val="0"/>
          <w:sz w:val="24"/>
          <w:highlight w:val="none"/>
        </w:rPr>
      </w:pPr>
      <w:r>
        <w:rPr>
          <w:rFonts w:hint="eastAsia" w:ascii="仿宋" w:hAnsi="仿宋" w:eastAsia="仿宋" w:cs="仿宋"/>
          <w:bCs/>
          <w:snapToGrid w:val="0"/>
          <w:color w:val="auto"/>
          <w:kern w:val="0"/>
          <w:sz w:val="24"/>
          <w:highlight w:val="none"/>
        </w:rPr>
        <w:t>（3）</w:t>
      </w:r>
      <w:r>
        <w:rPr>
          <w:rFonts w:hint="eastAsia" w:ascii="仿宋" w:hAnsi="仿宋" w:eastAsia="仿宋" w:cs="仿宋"/>
          <w:snapToGrid w:val="0"/>
          <w:color w:val="auto"/>
          <w:kern w:val="0"/>
          <w:sz w:val="24"/>
          <w:highlight w:val="none"/>
        </w:rPr>
        <w:t>在施工过程中，总监理工程师有权随时对工程材料、设备的使用进行抽查，包括成品、半成品、器具、设备、附件、小五金等。抽查范围、比例、数量、批次及检查深度可比国家</w:t>
      </w:r>
      <w:r>
        <w:rPr>
          <w:rFonts w:hint="eastAsia" w:ascii="仿宋" w:hAnsi="仿宋" w:eastAsia="仿宋" w:cs="仿宋"/>
          <w:iCs/>
          <w:snapToGrid w:val="0"/>
          <w:color w:val="auto"/>
          <w:kern w:val="0"/>
          <w:sz w:val="24"/>
          <w:highlight w:val="none"/>
        </w:rPr>
        <w:t>现行施工质量验收规范和</w:t>
      </w:r>
      <w:r>
        <w:rPr>
          <w:rFonts w:hint="eastAsia" w:ascii="仿宋" w:hAnsi="仿宋" w:eastAsia="仿宋" w:cs="仿宋"/>
          <w:snapToGrid w:val="0"/>
          <w:color w:val="auto"/>
          <w:kern w:val="0"/>
          <w:sz w:val="24"/>
          <w:highlight w:val="none"/>
        </w:rPr>
        <w:t>相关规定有所提高。</w:t>
      </w:r>
    </w:p>
    <w:p w14:paraId="1EDB822D">
      <w:pPr>
        <w:shd w:val="clea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工程材料、设备的质量依据下列顺序之标准认定（排序在前者优先）：</w:t>
      </w:r>
    </w:p>
    <w:p w14:paraId="42CBE329">
      <w:pPr>
        <w:shd w:val="clea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1）本工程经批准的设计图纸规定的设计标准和发包人制定的材料标准及技术要求[不符合下列第2）项标准要求的除外]；</w:t>
      </w:r>
    </w:p>
    <w:p w14:paraId="7A150A02">
      <w:pPr>
        <w:shd w:val="clea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2）国家或行业强制执行的技术标准、技术规范。</w:t>
      </w:r>
    </w:p>
    <w:p w14:paraId="62AF8291">
      <w:pPr>
        <w:shd w:val="clear"/>
        <w:adjustRightInd w:val="0"/>
        <w:snapToGrid w:val="0"/>
        <w:spacing w:line="360" w:lineRule="auto"/>
        <w:ind w:firstLine="42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工程材料、设备的抽查、检验结果与前款约定不符的，总监理工程师必须扩大对该批材料的抽查范围、增加数量抽检，同时，涉及工程结构安全和使用功能的检测必须配合发包人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70C982A5">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iCs/>
          <w:snapToGrid w:val="0"/>
          <w:color w:val="auto"/>
          <w:kern w:val="0"/>
          <w:sz w:val="24"/>
          <w:highlight w:val="none"/>
        </w:rPr>
        <w:t>（4）总监理工程师对材料、设备或工程进行检查、检验的费用由承包人负担。总监理工程师或发包人进</w:t>
      </w:r>
      <w:r>
        <w:rPr>
          <w:rFonts w:hint="eastAsia" w:ascii="仿宋" w:hAnsi="仿宋" w:eastAsia="仿宋" w:cs="仿宋"/>
          <w:snapToGrid w:val="0"/>
          <w:color w:val="auto"/>
          <w:kern w:val="0"/>
          <w:sz w:val="24"/>
          <w:highlight w:val="none"/>
        </w:rPr>
        <w:t>行</w:t>
      </w:r>
      <w:r>
        <w:rPr>
          <w:rFonts w:hint="eastAsia" w:ascii="仿宋" w:hAnsi="仿宋" w:eastAsia="仿宋" w:cs="仿宋"/>
          <w:bCs/>
          <w:snapToGrid w:val="0"/>
          <w:color w:val="auto"/>
          <w:kern w:val="0"/>
          <w:sz w:val="24"/>
          <w:highlight w:val="none"/>
        </w:rPr>
        <w:t>重复检查、检验的，检查、检验的结果证明材料、设备或工程不符合合同、技术规范要求的，费用由承包人承担；符合合同、招标文件、技术规范要求的，费用由发包人承担。</w:t>
      </w:r>
    </w:p>
    <w:p w14:paraId="1B44E5F4">
      <w:pPr>
        <w:shd w:val="clear"/>
        <w:adjustRightInd w:val="0"/>
        <w:snapToGrid w:val="0"/>
        <w:spacing w:line="360" w:lineRule="auto"/>
        <w:ind w:firstLine="42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20.6承包人应当</w:t>
      </w:r>
      <w:r>
        <w:rPr>
          <w:rFonts w:hint="eastAsia" w:ascii="仿宋" w:hAnsi="仿宋" w:eastAsia="仿宋" w:cs="仿宋"/>
          <w:snapToGrid w:val="0"/>
          <w:color w:val="auto"/>
          <w:kern w:val="0"/>
          <w:sz w:val="24"/>
          <w:highlight w:val="none"/>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rFonts w:hint="eastAsia" w:ascii="仿宋" w:hAnsi="仿宋" w:eastAsia="仿宋" w:cs="仿宋"/>
          <w:bCs/>
          <w:snapToGrid w:val="0"/>
          <w:color w:val="auto"/>
          <w:kern w:val="0"/>
          <w:sz w:val="24"/>
          <w:highlight w:val="none"/>
        </w:rPr>
        <w:t>由此所产生的工期延误和费用增加等全部损失由承包人承担，并由承包人按照</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w:t>
      </w:r>
      <w:r>
        <w:rPr>
          <w:rFonts w:hint="eastAsia" w:ascii="仿宋" w:hAnsi="仿宋" w:eastAsia="仿宋" w:cs="仿宋"/>
          <w:bCs/>
          <w:snapToGrid w:val="0"/>
          <w:color w:val="auto"/>
          <w:kern w:val="0"/>
          <w:sz w:val="24"/>
          <w:highlight w:val="none"/>
        </w:rPr>
        <w:t>款的约定承担违约责任。</w:t>
      </w:r>
    </w:p>
    <w:p w14:paraId="1F981678">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20.7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逾期未提出整改措施或拒绝整改的，视为承包人严重违约，发包人有权暂停拨付工程款，同时，发包人有权部分或全部解除合同，承包单位按合同第十一条约定承担违约责任，并有权将未完工程另行发包。</w:t>
      </w:r>
    </w:p>
    <w:p w14:paraId="4B3B227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14:paraId="702270D5">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20.9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.2款的约定承担违约责任。若发现原始记录数据不存在、不真实、不完整，经监理单位确认，发包人有权拒绝相应部分工程的工程量计量与支付，并视情节轻重，由承包人按照</w:t>
      </w:r>
      <w:r>
        <w:rPr>
          <w:rFonts w:hint="eastAsia" w:ascii="仿宋" w:hAnsi="仿宋" w:eastAsia="仿宋" w:cs="仿宋"/>
          <w:snapToGrid w:val="0"/>
          <w:color w:val="auto"/>
          <w:kern w:val="0"/>
          <w:sz w:val="24"/>
          <w:highlight w:val="none"/>
          <w:lang w:eastAsia="zh-CN"/>
        </w:rPr>
        <w:t>合同专用条款</w:t>
      </w:r>
      <w:r>
        <w:rPr>
          <w:rFonts w:hint="eastAsia" w:ascii="仿宋" w:hAnsi="仿宋" w:eastAsia="仿宋" w:cs="仿宋"/>
          <w:snapToGrid w:val="0"/>
          <w:color w:val="auto"/>
          <w:kern w:val="0"/>
          <w:sz w:val="24"/>
          <w:highlight w:val="none"/>
        </w:rPr>
        <w:t>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53EEFF43">
      <w:pPr>
        <w:shd w:val="clear"/>
        <w:adjustRightInd w:val="0"/>
        <w:snapToGrid w:val="0"/>
        <w:spacing w:line="360" w:lineRule="auto"/>
        <w:rPr>
          <w:rFonts w:ascii="仿宋" w:hAnsi="仿宋" w:eastAsia="仿宋" w:cs="仿宋"/>
          <w:snapToGrid w:val="0"/>
          <w:color w:val="auto"/>
          <w:kern w:val="0"/>
          <w:sz w:val="24"/>
          <w:highlight w:val="none"/>
        </w:rPr>
      </w:pPr>
    </w:p>
    <w:p w14:paraId="12ACA370">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46" w:name="_Toc502215497"/>
      <w:bookmarkStart w:id="147" w:name="_Toc83377267"/>
      <w:bookmarkStart w:id="148" w:name="_Toc504465900"/>
      <w:bookmarkStart w:id="149" w:name="_Toc1348"/>
      <w:bookmarkStart w:id="150" w:name="_Toc2784879"/>
      <w:r>
        <w:rPr>
          <w:rFonts w:hint="eastAsia" w:ascii="仿宋" w:hAnsi="仿宋" w:eastAsia="仿宋" w:cs="仿宋"/>
          <w:b/>
          <w:snapToGrid w:val="0"/>
          <w:color w:val="auto"/>
          <w:kern w:val="0"/>
          <w:sz w:val="24"/>
          <w:highlight w:val="none"/>
          <w:lang w:eastAsia="zh-CN"/>
        </w:rPr>
        <w:t>21.</w:t>
      </w:r>
      <w:r>
        <w:rPr>
          <w:rFonts w:hint="eastAsia" w:ascii="仿宋" w:hAnsi="仿宋" w:eastAsia="仿宋" w:cs="仿宋"/>
          <w:b/>
          <w:snapToGrid w:val="0"/>
          <w:color w:val="auto"/>
          <w:kern w:val="0"/>
          <w:sz w:val="24"/>
          <w:highlight w:val="none"/>
        </w:rPr>
        <w:t>隐蔽工程和中间验收</w:t>
      </w:r>
      <w:bookmarkEnd w:id="146"/>
      <w:bookmarkEnd w:id="147"/>
      <w:bookmarkEnd w:id="148"/>
      <w:bookmarkEnd w:id="149"/>
      <w:bookmarkEnd w:id="150"/>
    </w:p>
    <w:p w14:paraId="355D003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21.1工程具备隐蔽条件的中间验收部位，承包人进行自检，并在隐蔽或中间验收前48小时以书面形式通知总监理工程师验收。通知包括隐蔽和中间验收的内容、验收时间和地点。承包人准备验收记录，验收合格，总监理工程师在验收记录上签字后，承包人可进行隐蔽和继续施工。验收不合格，承包人在总监理工程师限定的时间内修改后重新验收。</w:t>
      </w:r>
    </w:p>
    <w:p w14:paraId="2282B31A">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21.2</w:t>
      </w:r>
      <w:r>
        <w:rPr>
          <w:rFonts w:hint="eastAsia" w:ascii="仿宋" w:hAnsi="仿宋" w:eastAsia="仿宋" w:cs="仿宋"/>
          <w:snapToGrid w:val="0"/>
          <w:color w:val="auto"/>
          <w:kern w:val="0"/>
          <w:sz w:val="24"/>
          <w:highlight w:val="none"/>
        </w:rPr>
        <w:t>隐蔽工程或中间验收部位未经专业监理工程师验收合格，不得隐蔽或继续施工，否则该部分工程被视为不合格，</w:t>
      </w:r>
      <w:r>
        <w:rPr>
          <w:rFonts w:hint="eastAsia" w:ascii="仿宋" w:hAnsi="仿宋" w:eastAsia="仿宋" w:cs="仿宋"/>
          <w:bCs/>
          <w:snapToGrid w:val="0"/>
          <w:color w:val="auto"/>
          <w:kern w:val="0"/>
          <w:sz w:val="24"/>
          <w:highlight w:val="none"/>
        </w:rPr>
        <w:t>由此所产生的返工费用由承包人承担。</w:t>
      </w:r>
    </w:p>
    <w:p w14:paraId="32DAE8F2">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21.3本项目重要分部（子分部）工程质量验收工作，须按《广州市住房和城乡建设委员会关于加强房屋建筑重要分部（子分部）工程质量验收工作的通知》执行，加强工程质量验收工作。</w:t>
      </w:r>
    </w:p>
    <w:p w14:paraId="0C8D7EC9">
      <w:pPr>
        <w:shd w:val="clear"/>
        <w:adjustRightInd w:val="0"/>
        <w:snapToGrid w:val="0"/>
        <w:spacing w:line="360" w:lineRule="auto"/>
        <w:rPr>
          <w:rFonts w:ascii="仿宋" w:hAnsi="仿宋" w:eastAsia="仿宋" w:cs="仿宋"/>
          <w:snapToGrid w:val="0"/>
          <w:color w:val="auto"/>
          <w:kern w:val="0"/>
          <w:sz w:val="24"/>
          <w:highlight w:val="none"/>
        </w:rPr>
      </w:pPr>
    </w:p>
    <w:p w14:paraId="7CC965CA">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51" w:name="_Toc2784880"/>
      <w:bookmarkStart w:id="152" w:name="_Toc502215498"/>
      <w:bookmarkStart w:id="153" w:name="_Toc83377268"/>
      <w:bookmarkStart w:id="154" w:name="_Toc504465901"/>
      <w:bookmarkStart w:id="155" w:name="_Toc28643"/>
      <w:r>
        <w:rPr>
          <w:rFonts w:hint="eastAsia" w:ascii="仿宋" w:hAnsi="仿宋" w:eastAsia="仿宋" w:cs="仿宋"/>
          <w:b/>
          <w:snapToGrid w:val="0"/>
          <w:color w:val="auto"/>
          <w:kern w:val="0"/>
          <w:sz w:val="24"/>
          <w:highlight w:val="none"/>
          <w:lang w:eastAsia="zh-CN"/>
        </w:rPr>
        <w:t>22.</w:t>
      </w:r>
      <w:r>
        <w:rPr>
          <w:rFonts w:hint="eastAsia" w:ascii="仿宋" w:hAnsi="仿宋" w:eastAsia="仿宋" w:cs="仿宋"/>
          <w:b/>
          <w:snapToGrid w:val="0"/>
          <w:color w:val="auto"/>
          <w:kern w:val="0"/>
          <w:sz w:val="24"/>
          <w:highlight w:val="none"/>
        </w:rPr>
        <w:t>重新检验</w:t>
      </w:r>
      <w:bookmarkEnd w:id="151"/>
      <w:bookmarkEnd w:id="152"/>
      <w:bookmarkEnd w:id="153"/>
      <w:bookmarkEnd w:id="154"/>
      <w:bookmarkEnd w:id="155"/>
    </w:p>
    <w:p w14:paraId="41B429A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无论总监理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14:paraId="6947EFB4">
      <w:pPr>
        <w:shd w:val="clear"/>
        <w:adjustRightInd w:val="0"/>
        <w:snapToGrid w:val="0"/>
        <w:spacing w:line="360" w:lineRule="auto"/>
        <w:rPr>
          <w:rFonts w:ascii="仿宋" w:hAnsi="仿宋" w:eastAsia="仿宋" w:cs="仿宋"/>
          <w:b/>
          <w:snapToGrid w:val="0"/>
          <w:color w:val="auto"/>
          <w:kern w:val="0"/>
          <w:sz w:val="24"/>
          <w:highlight w:val="none"/>
        </w:rPr>
      </w:pPr>
    </w:p>
    <w:p w14:paraId="2B05599B">
      <w:pPr>
        <w:pStyle w:val="13"/>
        <w:shd w:val="clear"/>
        <w:adjustRightInd w:val="0"/>
        <w:snapToGrid w:val="0"/>
        <w:spacing w:line="360" w:lineRule="auto"/>
        <w:ind w:left="99" w:leftChars="47"/>
        <w:rPr>
          <w:rFonts w:ascii="仿宋" w:hAnsi="仿宋" w:eastAsia="仿宋" w:cs="仿宋"/>
          <w:b/>
          <w:snapToGrid w:val="0"/>
          <w:color w:val="auto"/>
          <w:sz w:val="28"/>
          <w:szCs w:val="28"/>
          <w:highlight w:val="none"/>
        </w:rPr>
      </w:pPr>
      <w:r>
        <w:rPr>
          <w:rFonts w:hint="eastAsia" w:ascii="仿宋" w:hAnsi="仿宋" w:eastAsia="仿宋" w:cs="仿宋"/>
          <w:b/>
          <w:snapToGrid w:val="0"/>
          <w:color w:val="auto"/>
          <w:sz w:val="28"/>
          <w:szCs w:val="28"/>
          <w:highlight w:val="none"/>
        </w:rPr>
        <w:t>六、安全文明施工</w:t>
      </w:r>
    </w:p>
    <w:p w14:paraId="7F193356">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56" w:name="_Toc502215499"/>
      <w:bookmarkStart w:id="157" w:name="_Toc18784"/>
      <w:bookmarkStart w:id="158" w:name="_Toc83377269"/>
      <w:bookmarkStart w:id="159" w:name="_Toc2784881"/>
      <w:bookmarkStart w:id="160" w:name="_Toc504465902"/>
      <w:r>
        <w:rPr>
          <w:rFonts w:hint="eastAsia" w:ascii="仿宋" w:hAnsi="仿宋" w:eastAsia="仿宋" w:cs="仿宋"/>
          <w:b/>
          <w:snapToGrid w:val="0"/>
          <w:color w:val="auto"/>
          <w:kern w:val="0"/>
          <w:sz w:val="24"/>
          <w:highlight w:val="none"/>
          <w:lang w:eastAsia="zh-CN"/>
        </w:rPr>
        <w:t>23.</w:t>
      </w:r>
      <w:r>
        <w:rPr>
          <w:rFonts w:hint="eastAsia" w:ascii="仿宋" w:hAnsi="仿宋" w:eastAsia="仿宋" w:cs="仿宋"/>
          <w:b/>
          <w:snapToGrid w:val="0"/>
          <w:color w:val="auto"/>
          <w:kern w:val="0"/>
          <w:sz w:val="24"/>
          <w:highlight w:val="none"/>
        </w:rPr>
        <w:t>施工场地的占用和管理</w:t>
      </w:r>
      <w:bookmarkEnd w:id="156"/>
      <w:bookmarkEnd w:id="157"/>
      <w:bookmarkEnd w:id="158"/>
      <w:bookmarkEnd w:id="159"/>
      <w:bookmarkEnd w:id="160"/>
    </w:p>
    <w:p w14:paraId="34AFEB8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23.1发包人应当依照合同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14:paraId="4303C7A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23.2</w:t>
      </w:r>
      <w:r>
        <w:rPr>
          <w:rFonts w:hint="eastAsia" w:ascii="仿宋" w:hAnsi="仿宋" w:eastAsia="仿宋" w:cs="仿宋"/>
          <w:snapToGrid w:val="0"/>
          <w:color w:val="auto"/>
          <w:kern w:val="0"/>
          <w:sz w:val="24"/>
          <w:highlight w:val="none"/>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7E06657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23.3承包人必须在工程竣工初验后30天内或发包人规定的时间内（发包人将提前通知承包人），无条件清退所有施工场地。拒不清退的，发包人除向承包人收取租金（租金为每天人民币1元/m</w:t>
      </w:r>
      <w:r>
        <w:rPr>
          <w:rFonts w:hint="eastAsia" w:ascii="仿宋" w:hAnsi="仿宋" w:eastAsia="仿宋" w:cs="仿宋"/>
          <w:snapToGrid w:val="0"/>
          <w:color w:val="auto"/>
          <w:kern w:val="0"/>
          <w:sz w:val="24"/>
          <w:highlight w:val="none"/>
          <w:vertAlign w:val="superscript"/>
        </w:rPr>
        <w:t>2</w:t>
      </w:r>
      <w:r>
        <w:rPr>
          <w:rFonts w:hint="eastAsia" w:ascii="仿宋" w:hAnsi="仿宋" w:eastAsia="仿宋" w:cs="仿宋"/>
          <w:snapToGrid w:val="0"/>
          <w:color w:val="auto"/>
          <w:kern w:val="0"/>
          <w:sz w:val="24"/>
          <w:highlight w:val="none"/>
        </w:rPr>
        <w:t>）外，还有权暂停计价支付、工程结算、工程验收等工作，并由承包人承担由此而产生的一切后果（包括发包人因此而被第三方索赔所产生的损失）。</w:t>
      </w:r>
    </w:p>
    <w:p w14:paraId="2A7EF35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对于临时房屋及设施，发包人认为有必要保留的，承包人在清退场地时应无条件保持完好并移交给发包人使用，相关设施使用费由发、承包双方协商确定。</w:t>
      </w:r>
    </w:p>
    <w:p w14:paraId="6B6741C0">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23.4承包人必须服从政府主管部门的执法检查和处罚，并按照检查结果进行整改。</w:t>
      </w:r>
    </w:p>
    <w:p w14:paraId="689E4AFF">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p>
    <w:p w14:paraId="099D0D23">
      <w:pPr>
        <w:shd w:val="clear"/>
        <w:adjustRightInd w:val="0"/>
        <w:snapToGrid w:val="0"/>
        <w:spacing w:line="360" w:lineRule="auto"/>
        <w:ind w:right="11"/>
        <w:outlineLvl w:val="2"/>
        <w:rPr>
          <w:rFonts w:ascii="仿宋" w:hAnsi="仿宋" w:eastAsia="仿宋" w:cs="仿宋"/>
          <w:b/>
          <w:snapToGrid w:val="0"/>
          <w:color w:val="auto"/>
          <w:kern w:val="0"/>
          <w:sz w:val="24"/>
          <w:highlight w:val="none"/>
        </w:rPr>
      </w:pPr>
      <w:bookmarkStart w:id="161" w:name="_Toc502215500"/>
      <w:bookmarkStart w:id="162" w:name="_Toc83377270"/>
      <w:bookmarkStart w:id="163" w:name="_Toc2784882"/>
      <w:bookmarkStart w:id="164" w:name="_Toc504465903"/>
      <w:bookmarkStart w:id="165" w:name="_Toc14031"/>
      <w:r>
        <w:rPr>
          <w:rFonts w:hint="eastAsia" w:ascii="仿宋" w:hAnsi="仿宋" w:eastAsia="仿宋" w:cs="仿宋"/>
          <w:b/>
          <w:snapToGrid w:val="0"/>
          <w:color w:val="auto"/>
          <w:kern w:val="0"/>
          <w:sz w:val="24"/>
          <w:highlight w:val="none"/>
          <w:lang w:eastAsia="zh-CN"/>
        </w:rPr>
        <w:t>24.</w:t>
      </w:r>
      <w:r>
        <w:rPr>
          <w:rFonts w:hint="eastAsia" w:ascii="仿宋" w:hAnsi="仿宋" w:eastAsia="仿宋" w:cs="仿宋"/>
          <w:b/>
          <w:snapToGrid w:val="0"/>
          <w:color w:val="auto"/>
          <w:kern w:val="0"/>
          <w:sz w:val="24"/>
          <w:highlight w:val="none"/>
        </w:rPr>
        <w:t>安全施工与检查</w:t>
      </w:r>
      <w:bookmarkEnd w:id="161"/>
      <w:bookmarkEnd w:id="162"/>
      <w:bookmarkEnd w:id="163"/>
      <w:bookmarkEnd w:id="164"/>
      <w:bookmarkEnd w:id="165"/>
    </w:p>
    <w:p w14:paraId="502DF7D9">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24.1</w:t>
      </w:r>
      <w:r>
        <w:rPr>
          <w:rFonts w:hint="eastAsia" w:ascii="仿宋" w:hAnsi="仿宋" w:eastAsia="仿宋" w:cs="仿宋"/>
          <w:snapToGrid w:val="0"/>
          <w:color w:val="auto"/>
          <w:kern w:val="0"/>
          <w:sz w:val="24"/>
          <w:highlight w:val="none"/>
        </w:rPr>
        <w:t>承包人应建立健全建筑施工</w:t>
      </w:r>
      <w:r>
        <w:rPr>
          <w:rFonts w:hint="eastAsia" w:ascii="仿宋" w:hAnsi="仿宋" w:eastAsia="仿宋" w:cs="仿宋"/>
          <w:bCs/>
          <w:snapToGrid w:val="0"/>
          <w:color w:val="auto"/>
          <w:kern w:val="0"/>
          <w:sz w:val="24"/>
          <w:highlight w:val="none"/>
        </w:rPr>
        <w:t>安全生产组织机构和</w:t>
      </w:r>
      <w:r>
        <w:rPr>
          <w:rFonts w:hint="eastAsia" w:ascii="仿宋" w:hAnsi="仿宋" w:eastAsia="仿宋" w:cs="仿宋"/>
          <w:snapToGrid w:val="0"/>
          <w:color w:val="auto"/>
          <w:kern w:val="0"/>
          <w:sz w:val="24"/>
          <w:highlight w:val="none"/>
        </w:rPr>
        <w:t>安全保证体系，</w:t>
      </w:r>
      <w:r>
        <w:rPr>
          <w:rFonts w:hint="eastAsia" w:ascii="仿宋" w:hAnsi="仿宋" w:eastAsia="仿宋" w:cs="仿宋"/>
          <w:bCs/>
          <w:snapToGrid w:val="0"/>
          <w:color w:val="auto"/>
          <w:kern w:val="0"/>
          <w:sz w:val="24"/>
          <w:highlight w:val="none"/>
        </w:rPr>
        <w:t>落实安全生产责任制，</w:t>
      </w:r>
      <w:r>
        <w:rPr>
          <w:rFonts w:hint="eastAsia" w:ascii="仿宋" w:hAnsi="仿宋" w:eastAsia="仿宋" w:cs="仿宋"/>
          <w:snapToGrid w:val="0"/>
          <w:color w:val="auto"/>
          <w:kern w:val="0"/>
          <w:sz w:val="24"/>
          <w:highlight w:val="none"/>
        </w:rPr>
        <w:t>按照工程建设安全生产的有关管理规定，采取相应措施，负责现场全部作业的安全，并对此承担全部责任。</w:t>
      </w:r>
    </w:p>
    <w:p w14:paraId="324E191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24.2</w:t>
      </w:r>
      <w:r>
        <w:rPr>
          <w:rFonts w:hint="eastAsia" w:ascii="仿宋" w:hAnsi="仿宋" w:eastAsia="仿宋" w:cs="仿宋"/>
          <w:snapToGrid w:val="0"/>
          <w:color w:val="auto"/>
          <w:kern w:val="0"/>
          <w:sz w:val="24"/>
          <w:highlight w:val="none"/>
        </w:rPr>
        <w:t>承包人在施工中必须制定定期检查制度，加强对自身及其协调管理范围内各专业单位在安全施工方面的检查、监督管理；若被发现存在严重安全隐患的，应按照合同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5089784A">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24.3</w:t>
      </w:r>
      <w:r>
        <w:rPr>
          <w:rFonts w:hint="eastAsia" w:ascii="仿宋" w:hAnsi="仿宋" w:eastAsia="仿宋" w:cs="仿宋"/>
          <w:color w:val="auto"/>
          <w:sz w:val="24"/>
          <w:szCs w:val="24"/>
          <w:highlight w:val="none"/>
        </w:rPr>
        <w:t>承包人应当对施工现场的安全生产负总责</w:t>
      </w:r>
      <w:r>
        <w:rPr>
          <w:rFonts w:hint="eastAsia" w:ascii="仿宋" w:hAnsi="仿宋" w:eastAsia="仿宋" w:cs="仿宋"/>
          <w:bCs/>
          <w:snapToGrid w:val="0"/>
          <w:color w:val="auto"/>
          <w:kern w:val="0"/>
          <w:sz w:val="24"/>
          <w:highlight w:val="none"/>
        </w:rPr>
        <w:t>，保障所有进入施工场地的人员的安全。因承包人原因所发生的人身伤害、安全事故，由承包人负责。</w:t>
      </w:r>
    </w:p>
    <w:p w14:paraId="362447E0">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p>
    <w:p w14:paraId="2C553383">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66" w:name="_Toc83377271"/>
      <w:bookmarkStart w:id="167" w:name="_Toc502215501"/>
      <w:bookmarkStart w:id="168" w:name="_Toc28415"/>
      <w:bookmarkStart w:id="169" w:name="_Toc504465904"/>
      <w:bookmarkStart w:id="170" w:name="_Toc2784883"/>
      <w:r>
        <w:rPr>
          <w:rFonts w:hint="eastAsia" w:ascii="仿宋" w:hAnsi="仿宋" w:eastAsia="仿宋" w:cs="仿宋"/>
          <w:b/>
          <w:snapToGrid w:val="0"/>
          <w:color w:val="auto"/>
          <w:kern w:val="0"/>
          <w:sz w:val="24"/>
          <w:highlight w:val="none"/>
          <w:lang w:eastAsia="zh-CN"/>
        </w:rPr>
        <w:t>25.</w:t>
      </w:r>
      <w:r>
        <w:rPr>
          <w:rFonts w:hint="eastAsia" w:ascii="仿宋" w:hAnsi="仿宋" w:eastAsia="仿宋" w:cs="仿宋"/>
          <w:b/>
          <w:snapToGrid w:val="0"/>
          <w:color w:val="auto"/>
          <w:kern w:val="0"/>
          <w:sz w:val="24"/>
          <w:highlight w:val="none"/>
        </w:rPr>
        <w:t>安全防护</w:t>
      </w:r>
      <w:bookmarkEnd w:id="166"/>
      <w:bookmarkEnd w:id="167"/>
      <w:bookmarkEnd w:id="168"/>
      <w:bookmarkEnd w:id="169"/>
      <w:bookmarkEnd w:id="170"/>
    </w:p>
    <w:p w14:paraId="5C0A509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25.1承包人在动力设备、输电线路、地下管道、密封防震车间、易燃易爆地段以及临街交通要道附近施工时，施工开始前应向总监理工程师提出安全防护措施，经总监理工程师认可后实施。</w:t>
      </w:r>
    </w:p>
    <w:p w14:paraId="6F4D85BF">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25.2实施爆破作业，在放射、毒害性环境中施工（含储存、运输、使用）及使用毒害性、腐蚀性物品施工时，承包人应在施工前14天以书面形式通知总监理工程师，并提出相应的安全防护措施，经总监理工程师认可后实施。</w:t>
      </w:r>
    </w:p>
    <w:p w14:paraId="78306C0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25.3本工程的安全防护及文明施工措施费包括但不限于合同</w:t>
      </w:r>
      <w:r>
        <w:rPr>
          <w:rFonts w:hint="eastAsia" w:ascii="仿宋" w:hAnsi="仿宋" w:eastAsia="仿宋" w:cs="仿宋"/>
          <w:bCs/>
          <w:snapToGrid w:val="0"/>
          <w:color w:val="auto"/>
          <w:kern w:val="0"/>
          <w:sz w:val="24"/>
          <w:highlight w:val="none"/>
          <w:lang w:val="en-US" w:eastAsia="zh-CN"/>
        </w:rPr>
        <w:t>专用</w:t>
      </w:r>
      <w:r>
        <w:rPr>
          <w:rFonts w:hint="eastAsia" w:ascii="仿宋" w:hAnsi="仿宋" w:eastAsia="仿宋" w:cs="仿宋"/>
          <w:bCs/>
          <w:snapToGrid w:val="0"/>
          <w:color w:val="auto"/>
          <w:kern w:val="0"/>
          <w:sz w:val="24"/>
          <w:highlight w:val="none"/>
        </w:rPr>
        <w:t>条款第25.1款、第25.2款所列明的费用，所有安全防护及文明施工措施费已包含在合同价款之</w:t>
      </w:r>
      <w:r>
        <w:rPr>
          <w:rFonts w:hint="eastAsia" w:ascii="仿宋" w:hAnsi="仿宋" w:eastAsia="仿宋" w:cs="仿宋"/>
          <w:snapToGrid w:val="0"/>
          <w:color w:val="auto"/>
          <w:kern w:val="0"/>
          <w:sz w:val="24"/>
          <w:highlight w:val="none"/>
        </w:rPr>
        <w:t>中。</w:t>
      </w:r>
    </w:p>
    <w:p w14:paraId="281A1D9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25.4安全防护和文明施工的实施须满足《建筑施工安全检查标准》（JGJ59-2011）、《广州市建设工程现场文明施工管理办法》（穗建质〔2008〕937号）、《广州市城乡建设委员会关于印发广州市加强建筑工地环保管理工作方案的通知</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穗建质〔2014〕754号</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广州市住房和城乡建设局等9部门关于印发</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州市建设工程绿色施工围蔽指导（V2.0试行版）&gt;的通知》（穗建质〔2020〕1号）、《广州市提升建设工程安全文明施工管理水平的工作指引》（穗建质[2017]815号）和《广州市建筑工程安全生产措施费管理办法》（穗建筑〔2003〕106号）各项规定和招标文件要求等省、市相关规范性文件的规定及发包人制定相关规定，安全文明施工的内容包括但不限于：</w:t>
      </w:r>
    </w:p>
    <w:p w14:paraId="3D19087B">
      <w:pPr>
        <w:shd w:val="clear"/>
        <w:autoSpaceDE w:val="0"/>
        <w:autoSpaceDN w:val="0"/>
        <w:adjustRightInd w:val="0"/>
        <w:spacing w:line="360" w:lineRule="auto"/>
        <w:ind w:firstLine="480" w:firstLineChars="200"/>
        <w:jc w:val="left"/>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（1）加强对职业健康安全应急预案、安全技术方案的审查管理工作。</w:t>
      </w:r>
    </w:p>
    <w:p w14:paraId="4F3D1459">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（2）保护所有在现场人员的安全，保护其管辖范围内的现场以及尚未完</w:t>
      </w:r>
      <w:r>
        <w:rPr>
          <w:rFonts w:hint="eastAsia" w:ascii="仿宋" w:hAnsi="仿宋" w:eastAsia="仿宋" w:cs="仿宋"/>
          <w:snapToGrid w:val="0"/>
          <w:color w:val="auto"/>
          <w:kern w:val="0"/>
          <w:sz w:val="24"/>
          <w:highlight w:val="none"/>
        </w:rPr>
        <w:t>工的和发包人尚未占用的工程处于良好的安全状态。</w:t>
      </w:r>
    </w:p>
    <w:p w14:paraId="0DAD794F">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（3）在需要的时间和地点，根据总监理工程师、发包人或者当地政府的要求，提供和维持所有的照明灯光、护板、围墙、栅栏、警告信号标志和值班人员，对工程进行保护和为公众提供安全和方便。</w:t>
      </w:r>
    </w:p>
    <w:p w14:paraId="1E659546">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新型冠状病毒肺炎）时，承包人必须遵守并执行省市卫生部门为处理和控制上述传染病而制定的规章、命令和要求，迅速向发包人和工程所在地疾病控制中心报告。疫情所需的防控需增加的口罩、酒精、消毒水、手套、体温检测器、电动喷雾器等物资采购、疫情防控人工</w:t>
      </w:r>
      <w:r>
        <w:rPr>
          <w:rFonts w:hint="eastAsia" w:ascii="仿宋" w:hAnsi="仿宋" w:eastAsia="仿宋" w:cs="仿宋"/>
          <w:snapToGrid w:val="0"/>
          <w:color w:val="auto"/>
          <w:kern w:val="0"/>
          <w:sz w:val="24"/>
          <w:highlight w:val="none"/>
          <w:lang w:eastAsia="zh-CN"/>
        </w:rPr>
        <w:t>，以及</w:t>
      </w:r>
      <w:r>
        <w:rPr>
          <w:rFonts w:hint="eastAsia" w:ascii="仿宋" w:hAnsi="仿宋" w:eastAsia="仿宋" w:cs="仿宋"/>
          <w:snapToGrid w:val="0"/>
          <w:color w:val="auto"/>
          <w:kern w:val="0"/>
          <w:sz w:val="24"/>
          <w:highlight w:val="none"/>
        </w:rPr>
        <w:t>被医学隔离观察的工人工资等费用，由承包人提交发包人签证确认后按实结算。</w:t>
      </w:r>
    </w:p>
    <w:p w14:paraId="7E4DE04A">
      <w:pPr>
        <w:shd w:val="clear"/>
        <w:autoSpaceDE w:val="0"/>
        <w:autoSpaceDN w:val="0"/>
        <w:adjustRightInd w:val="0"/>
        <w:spacing w:line="360" w:lineRule="auto"/>
        <w:jc w:val="left"/>
        <w:rPr>
          <w:rFonts w:ascii="仿宋" w:hAnsi="仿宋" w:eastAsia="仿宋" w:cs="仿宋"/>
          <w:snapToGrid w:val="0"/>
          <w:color w:val="auto"/>
          <w:kern w:val="0"/>
          <w:sz w:val="24"/>
          <w:highlight w:val="none"/>
        </w:rPr>
      </w:pPr>
    </w:p>
    <w:p w14:paraId="32A5CE95">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71" w:name="_Toc504465905"/>
      <w:bookmarkStart w:id="172" w:name="_Toc14947"/>
      <w:bookmarkStart w:id="173" w:name="_Toc83377272"/>
      <w:bookmarkStart w:id="174" w:name="_Toc2784884"/>
      <w:bookmarkStart w:id="175" w:name="_Toc502215502"/>
      <w:r>
        <w:rPr>
          <w:rFonts w:hint="eastAsia" w:ascii="仿宋" w:hAnsi="仿宋" w:eastAsia="仿宋" w:cs="仿宋"/>
          <w:b/>
          <w:snapToGrid w:val="0"/>
          <w:color w:val="auto"/>
          <w:kern w:val="0"/>
          <w:sz w:val="24"/>
          <w:highlight w:val="none"/>
          <w:lang w:eastAsia="zh-CN"/>
        </w:rPr>
        <w:t>26.</w:t>
      </w:r>
      <w:r>
        <w:rPr>
          <w:rFonts w:hint="eastAsia" w:ascii="仿宋" w:hAnsi="仿宋" w:eastAsia="仿宋" w:cs="仿宋"/>
          <w:b/>
          <w:snapToGrid w:val="0"/>
          <w:color w:val="auto"/>
          <w:kern w:val="0"/>
          <w:sz w:val="24"/>
          <w:highlight w:val="none"/>
        </w:rPr>
        <w:t>事故处理</w:t>
      </w:r>
      <w:bookmarkEnd w:id="171"/>
      <w:bookmarkEnd w:id="172"/>
      <w:bookmarkEnd w:id="173"/>
      <w:bookmarkEnd w:id="174"/>
      <w:bookmarkEnd w:id="175"/>
    </w:p>
    <w:p w14:paraId="7A580E8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26.1发生重大伤亡及其它安全事故，承包人应按《建设工程安全管理条例》的规定立即上报有关部门并通知总监理工程师，同时按政府有关部门要求处理，由事故责任方承担发生的费用。</w:t>
      </w:r>
    </w:p>
    <w:p w14:paraId="12E6EAC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26.2发包人、承包人对事故责任有争议时，应按政府有关部门的认定处理。</w:t>
      </w:r>
    </w:p>
    <w:p w14:paraId="7A56B6F1">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26.3因承包人责任过失造成安全事故的，除按照国家规定由行政主管部门给予承包人处罚外，承包人还应负责赔偿发包人的损失，并按照合同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6D9FB102">
      <w:pPr>
        <w:pStyle w:val="12"/>
        <w:shd w:val="clear"/>
        <w:adjustRightInd w:val="0"/>
        <w:snapToGrid w:val="0"/>
        <w:spacing w:line="360" w:lineRule="auto"/>
        <w:ind w:firstLine="48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26.4承包人应保证发包人免于受到或承担应由承包人负责的因承包人现场施工所引起的或与之有关的索赔、诉讼以及</w:t>
      </w:r>
      <w:r>
        <w:rPr>
          <w:rFonts w:hint="eastAsia" w:ascii="仿宋" w:hAnsi="仿宋" w:eastAsia="仿宋" w:cs="仿宋"/>
          <w:snapToGrid w:val="0"/>
          <w:color w:val="auto"/>
          <w:sz w:val="24"/>
          <w:highlight w:val="none"/>
          <w:lang w:eastAsia="zh-CN"/>
        </w:rPr>
        <w:t>其他开支</w:t>
      </w:r>
      <w:r>
        <w:rPr>
          <w:rFonts w:hint="eastAsia" w:ascii="仿宋" w:hAnsi="仿宋" w:eastAsia="仿宋" w:cs="仿宋"/>
          <w:snapToGrid w:val="0"/>
          <w:color w:val="auto"/>
          <w:sz w:val="24"/>
          <w:highlight w:val="none"/>
        </w:rPr>
        <w:t>；若有证据证实发包人因此发生了索赔、诉讼以及</w:t>
      </w:r>
      <w:r>
        <w:rPr>
          <w:rFonts w:hint="eastAsia" w:ascii="仿宋" w:hAnsi="仿宋" w:eastAsia="仿宋" w:cs="仿宋"/>
          <w:snapToGrid w:val="0"/>
          <w:color w:val="auto"/>
          <w:sz w:val="24"/>
          <w:highlight w:val="none"/>
          <w:lang w:eastAsia="zh-CN"/>
        </w:rPr>
        <w:t>其他开支</w:t>
      </w:r>
      <w:r>
        <w:rPr>
          <w:rFonts w:hint="eastAsia" w:ascii="仿宋" w:hAnsi="仿宋" w:eastAsia="仿宋" w:cs="仿宋"/>
          <w:snapToGrid w:val="0"/>
          <w:color w:val="auto"/>
          <w:sz w:val="24"/>
          <w:highlight w:val="none"/>
        </w:rPr>
        <w:t>，承包人必须在接到发包人通知后三天内据实补偿发包人因此所受到的损失或者由发包人在承包人工程款项中予以扣除。</w:t>
      </w:r>
    </w:p>
    <w:p w14:paraId="4F289B69">
      <w:pPr>
        <w:pStyle w:val="12"/>
        <w:shd w:val="clear"/>
        <w:adjustRightInd w:val="0"/>
        <w:snapToGrid w:val="0"/>
        <w:spacing w:line="360" w:lineRule="auto"/>
        <w:ind w:firstLine="48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26.5因承包人原因致使建设工程在合理使用期限、设备保证期内造成人身和财产损害的，由承包人承担损害赔偿责任。</w:t>
      </w:r>
    </w:p>
    <w:p w14:paraId="0C6EC3C2">
      <w:pPr>
        <w:pStyle w:val="12"/>
        <w:shd w:val="clear"/>
        <w:adjustRightInd w:val="0"/>
        <w:snapToGrid w:val="0"/>
        <w:spacing w:line="360" w:lineRule="auto"/>
        <w:ind w:firstLine="480"/>
        <w:rPr>
          <w:rFonts w:ascii="仿宋" w:hAnsi="仿宋" w:eastAsia="仿宋" w:cs="仿宋"/>
          <w:snapToGrid w:val="0"/>
          <w:color w:val="auto"/>
          <w:sz w:val="24"/>
          <w:highlight w:val="none"/>
        </w:rPr>
      </w:pPr>
    </w:p>
    <w:p w14:paraId="69AAC275">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76" w:name="_Toc2784885"/>
      <w:bookmarkStart w:id="177" w:name="_Toc502215503"/>
      <w:bookmarkStart w:id="178" w:name="_Toc23564"/>
      <w:bookmarkStart w:id="179" w:name="_Toc504465906"/>
      <w:bookmarkStart w:id="180" w:name="_Toc83377273"/>
      <w:r>
        <w:rPr>
          <w:rFonts w:hint="eastAsia" w:ascii="仿宋" w:hAnsi="仿宋" w:eastAsia="仿宋" w:cs="仿宋"/>
          <w:b/>
          <w:snapToGrid w:val="0"/>
          <w:color w:val="auto"/>
          <w:kern w:val="0"/>
          <w:sz w:val="24"/>
          <w:highlight w:val="none"/>
          <w:lang w:eastAsia="zh-CN"/>
        </w:rPr>
        <w:t>27.</w:t>
      </w:r>
      <w:r>
        <w:rPr>
          <w:rFonts w:hint="eastAsia" w:ascii="仿宋" w:hAnsi="仿宋" w:eastAsia="仿宋" w:cs="仿宋"/>
          <w:b/>
          <w:snapToGrid w:val="0"/>
          <w:color w:val="auto"/>
          <w:kern w:val="0"/>
          <w:sz w:val="24"/>
          <w:highlight w:val="none"/>
        </w:rPr>
        <w:t>文明施工与环境保护</w:t>
      </w:r>
      <w:bookmarkEnd w:id="176"/>
      <w:bookmarkEnd w:id="177"/>
      <w:bookmarkEnd w:id="178"/>
      <w:bookmarkEnd w:id="179"/>
      <w:bookmarkEnd w:id="180"/>
    </w:p>
    <w:p w14:paraId="4D65C06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27.1承包人应严格落实文明施工措施，否则按合同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.2款的约定承担违约责任。</w:t>
      </w:r>
    </w:p>
    <w:p w14:paraId="58ABC621">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27</w:t>
      </w:r>
      <w:r>
        <w:rPr>
          <w:rFonts w:hint="eastAsia" w:ascii="仿宋" w:hAnsi="仿宋" w:eastAsia="仿宋" w:cs="仿宋"/>
          <w:bCs/>
          <w:snapToGrid w:val="0"/>
          <w:color w:val="auto"/>
          <w:kern w:val="0"/>
          <w:sz w:val="24"/>
          <w:highlight w:val="none"/>
        </w:rPr>
        <w:t>.2</w:t>
      </w:r>
      <w:r>
        <w:rPr>
          <w:rFonts w:hint="eastAsia" w:ascii="仿宋" w:hAnsi="仿宋" w:eastAsia="仿宋" w:cs="仿宋"/>
          <w:snapToGrid w:val="0"/>
          <w:color w:val="auto"/>
          <w:kern w:val="0"/>
          <w:sz w:val="24"/>
          <w:highlight w:val="none"/>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14:paraId="060B93A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承包人应在现场布置足量洒水车，消除扬尘，并使总监理工程师和发包人满意。</w:t>
      </w:r>
    </w:p>
    <w:p w14:paraId="3C0B2CE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29852D6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0</w:t>
      </w:r>
      <w:r>
        <w:rPr>
          <w:rFonts w:hint="eastAsia" w:ascii="仿宋" w:hAnsi="仿宋" w:eastAsia="仿宋" w:cs="仿宋"/>
          <w:snapToGrid w:val="0"/>
          <w:color w:val="auto"/>
          <w:kern w:val="0"/>
          <w:sz w:val="24"/>
          <w:highlight w:val="none"/>
        </w:rPr>
        <w:t>.2款的约定承担相应的违约责任。</w:t>
      </w:r>
    </w:p>
    <w:p w14:paraId="4E98B4A5">
      <w:pPr>
        <w:shd w:val="clear"/>
        <w:adjustRightInd w:val="0"/>
        <w:snapToGrid w:val="0"/>
        <w:spacing w:line="360" w:lineRule="auto"/>
        <w:ind w:right="11" w:firstLine="460" w:firstLineChars="192"/>
        <w:rPr>
          <w:rFonts w:ascii="仿宋" w:hAnsi="仿宋" w:eastAsia="仿宋" w:cs="仿宋"/>
          <w:bCs/>
          <w:iCs/>
          <w:snapToGrid w:val="0"/>
          <w:color w:val="auto"/>
          <w:kern w:val="0"/>
          <w:sz w:val="24"/>
          <w:highlight w:val="none"/>
        </w:rPr>
      </w:pPr>
      <w:r>
        <w:rPr>
          <w:rFonts w:hint="eastAsia" w:ascii="仿宋" w:hAnsi="仿宋" w:eastAsia="仿宋" w:cs="仿宋"/>
          <w:snapToGrid w:val="0"/>
          <w:color w:val="auto"/>
          <w:kern w:val="0"/>
          <w:sz w:val="24"/>
          <w:highlight w:val="none"/>
        </w:rPr>
        <w:t>27</w:t>
      </w:r>
      <w:r>
        <w:rPr>
          <w:rFonts w:hint="eastAsia" w:ascii="仿宋" w:hAnsi="仿宋" w:eastAsia="仿宋" w:cs="仿宋"/>
          <w:bCs/>
          <w:snapToGrid w:val="0"/>
          <w:color w:val="auto"/>
          <w:kern w:val="0"/>
          <w:sz w:val="24"/>
          <w:highlight w:val="none"/>
        </w:rPr>
        <w:t>.3</w:t>
      </w:r>
      <w:r>
        <w:rPr>
          <w:rFonts w:hint="eastAsia" w:ascii="仿宋" w:hAnsi="仿宋" w:eastAsia="仿宋" w:cs="仿宋"/>
          <w:bCs/>
          <w:iCs/>
          <w:snapToGrid w:val="0"/>
          <w:color w:val="auto"/>
          <w:kern w:val="0"/>
          <w:sz w:val="24"/>
          <w:highlight w:val="none"/>
        </w:rPr>
        <w:t>承包人承诺：所有施工的安全设施、机具以及围网、护栏、临边防护、施工通道等全部按发包人的要求统一标准、统一标识。安全防护、文明施工的内容按承包人向发包人提交且经总监理工程师批准的详细的施工组织设计实施，但安全防护、文明施工的投标总报价不变。</w:t>
      </w:r>
    </w:p>
    <w:p w14:paraId="5B512706">
      <w:pPr>
        <w:pStyle w:val="12"/>
        <w:shd w:val="clear"/>
        <w:adjustRightInd w:val="0"/>
        <w:snapToGrid w:val="0"/>
        <w:spacing w:line="360" w:lineRule="auto"/>
        <w:ind w:firstLine="465"/>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在合同工期内，发包人、总监理工程师对承包人的安全文明施工及环境保护措施进行定期检查，并按招标文件规定的项目和款项执行奖罚。</w:t>
      </w:r>
    </w:p>
    <w:p w14:paraId="18AA4885">
      <w:pPr>
        <w:pStyle w:val="12"/>
        <w:shd w:val="clear"/>
        <w:adjustRightInd w:val="0"/>
        <w:snapToGrid w:val="0"/>
        <w:spacing w:line="360" w:lineRule="auto"/>
        <w:ind w:firstLine="465"/>
        <w:rPr>
          <w:rFonts w:ascii="仿宋" w:hAnsi="仿宋" w:eastAsia="仿宋" w:cs="仿宋"/>
          <w:snapToGrid w:val="0"/>
          <w:color w:val="auto"/>
          <w:sz w:val="24"/>
          <w:highlight w:val="none"/>
        </w:rPr>
      </w:pPr>
    </w:p>
    <w:p w14:paraId="72250C1F">
      <w:pPr>
        <w:pStyle w:val="13"/>
        <w:shd w:val="clear"/>
        <w:adjustRightInd w:val="0"/>
        <w:snapToGrid w:val="0"/>
        <w:spacing w:line="360" w:lineRule="auto"/>
        <w:ind w:left="0" w:leftChars="0"/>
        <w:outlineLvl w:val="1"/>
        <w:rPr>
          <w:rFonts w:ascii="仿宋" w:hAnsi="仿宋" w:eastAsia="仿宋" w:cs="仿宋"/>
          <w:b/>
          <w:snapToGrid w:val="0"/>
          <w:color w:val="auto"/>
          <w:sz w:val="28"/>
          <w:szCs w:val="28"/>
          <w:highlight w:val="none"/>
        </w:rPr>
      </w:pPr>
      <w:bookmarkStart w:id="181" w:name="_Toc83377274"/>
      <w:bookmarkStart w:id="182" w:name="_Toc3207"/>
      <w:bookmarkStart w:id="183" w:name="_Toc2784886"/>
      <w:r>
        <w:rPr>
          <w:rFonts w:hint="eastAsia" w:ascii="仿宋" w:hAnsi="仿宋" w:eastAsia="仿宋" w:cs="仿宋"/>
          <w:b/>
          <w:snapToGrid w:val="0"/>
          <w:color w:val="auto"/>
          <w:sz w:val="28"/>
          <w:szCs w:val="28"/>
          <w:highlight w:val="none"/>
        </w:rPr>
        <w:t>七、合同价款与支付</w:t>
      </w:r>
      <w:bookmarkEnd w:id="181"/>
      <w:bookmarkEnd w:id="182"/>
      <w:bookmarkEnd w:id="183"/>
    </w:p>
    <w:p w14:paraId="175015BA">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84" w:name="_Toc83377275"/>
      <w:bookmarkStart w:id="185" w:name="_Toc2784887"/>
      <w:bookmarkStart w:id="186" w:name="_Toc6117"/>
      <w:r>
        <w:rPr>
          <w:rFonts w:hint="eastAsia" w:ascii="仿宋" w:hAnsi="仿宋" w:eastAsia="仿宋" w:cs="仿宋"/>
          <w:b/>
          <w:snapToGrid w:val="0"/>
          <w:color w:val="auto"/>
          <w:kern w:val="0"/>
          <w:sz w:val="24"/>
          <w:highlight w:val="none"/>
          <w:lang w:eastAsia="zh-CN"/>
        </w:rPr>
        <w:t>28.</w:t>
      </w:r>
      <w:r>
        <w:rPr>
          <w:rFonts w:hint="eastAsia" w:ascii="仿宋" w:hAnsi="仿宋" w:eastAsia="仿宋" w:cs="仿宋"/>
          <w:b/>
          <w:snapToGrid w:val="0"/>
          <w:color w:val="auto"/>
          <w:kern w:val="0"/>
          <w:sz w:val="24"/>
          <w:highlight w:val="none"/>
        </w:rPr>
        <w:t>合同价款</w:t>
      </w:r>
      <w:bookmarkEnd w:id="184"/>
      <w:bookmarkEnd w:id="185"/>
      <w:bookmarkEnd w:id="186"/>
    </w:p>
    <w:p w14:paraId="3ED80B0A">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rPr>
        <w:t>本合同价见合同协议书第</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条。</w:t>
      </w:r>
    </w:p>
    <w:p w14:paraId="49EC3529">
      <w:pPr>
        <w:pStyle w:val="12"/>
        <w:shd w:val="clear"/>
        <w:adjustRightInd w:val="0"/>
        <w:snapToGrid w:val="0"/>
        <w:spacing w:line="360" w:lineRule="auto"/>
        <w:ind w:firstLine="465"/>
        <w:rPr>
          <w:rFonts w:ascii="仿宋" w:hAnsi="仿宋" w:eastAsia="仿宋" w:cs="仿宋"/>
          <w:snapToGrid w:val="0"/>
          <w:color w:val="auto"/>
          <w:sz w:val="24"/>
          <w:szCs w:val="24"/>
          <w:highlight w:val="none"/>
        </w:rPr>
      </w:pPr>
    </w:p>
    <w:p w14:paraId="4520CEBC">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87" w:name="_Toc83377276"/>
      <w:bookmarkStart w:id="188" w:name="_Toc18379"/>
      <w:bookmarkStart w:id="189" w:name="_Toc2784888"/>
      <w:r>
        <w:rPr>
          <w:rFonts w:hint="eastAsia" w:ascii="仿宋" w:hAnsi="仿宋" w:eastAsia="仿宋" w:cs="仿宋"/>
          <w:b/>
          <w:color w:val="auto"/>
          <w:sz w:val="24"/>
          <w:highlight w:val="none"/>
          <w:lang w:eastAsia="zh-CN"/>
        </w:rPr>
        <w:t>29.</w:t>
      </w:r>
      <w:r>
        <w:rPr>
          <w:rFonts w:hint="eastAsia" w:ascii="仿宋" w:hAnsi="仿宋" w:eastAsia="仿宋" w:cs="仿宋"/>
          <w:b/>
          <w:snapToGrid w:val="0"/>
          <w:color w:val="auto"/>
          <w:kern w:val="0"/>
          <w:sz w:val="24"/>
          <w:highlight w:val="none"/>
        </w:rPr>
        <w:t>预付款</w:t>
      </w:r>
      <w:bookmarkEnd w:id="187"/>
      <w:bookmarkEnd w:id="188"/>
      <w:bookmarkEnd w:id="189"/>
    </w:p>
    <w:p w14:paraId="3B8013DB">
      <w:pPr>
        <w:shd w:val="clear"/>
        <w:adjustRightInd w:val="0"/>
        <w:snapToGrid w:val="0"/>
        <w:spacing w:line="360" w:lineRule="auto"/>
        <w:ind w:right="11" w:firstLine="460" w:firstLineChars="192"/>
        <w:rPr>
          <w:rFonts w:ascii="仿宋" w:hAnsi="仿宋" w:eastAsia="仿宋" w:cs="仿宋"/>
          <w:snapToGrid w:val="0"/>
          <w:color w:val="auto"/>
          <w:kern w:val="0"/>
          <w:sz w:val="24"/>
          <w:szCs w:val="24"/>
          <w:highlight w:val="none"/>
        </w:rPr>
      </w:pPr>
      <w:r>
        <w:rPr>
          <w:rFonts w:hint="eastAsia" w:ascii="仿宋" w:hAnsi="仿宋" w:eastAsia="仿宋" w:cs="仿宋"/>
          <w:color w:val="auto"/>
          <w:kern w:val="0"/>
          <w:sz w:val="24"/>
          <w:highlight w:val="none"/>
        </w:rPr>
        <w:t>29.</w:t>
      </w:r>
      <w:r>
        <w:rPr>
          <w:rFonts w:hint="eastAsia" w:ascii="仿宋" w:hAnsi="仿宋" w:eastAsia="仿宋" w:cs="仿宋"/>
          <w:color w:val="auto"/>
          <w:kern w:val="0"/>
          <w:sz w:val="24"/>
          <w:highlight w:val="none"/>
          <w:lang w:val="en-US" w:eastAsia="zh-CN"/>
        </w:rPr>
        <w:t>1</w:t>
      </w:r>
      <w:r>
        <w:rPr>
          <w:rFonts w:hint="eastAsia" w:ascii="仿宋" w:hAnsi="仿宋" w:eastAsia="仿宋" w:cs="仿宋"/>
          <w:snapToGrid w:val="0"/>
          <w:color w:val="auto"/>
          <w:kern w:val="0"/>
          <w:sz w:val="24"/>
          <w:szCs w:val="24"/>
          <w:highlight w:val="none"/>
        </w:rPr>
        <w:t>施工费预付款</w:t>
      </w:r>
    </w:p>
    <w:p w14:paraId="7DC19594">
      <w:pPr>
        <w:pStyle w:val="12"/>
        <w:shd w:val="clear"/>
        <w:adjustRightInd w:val="0"/>
        <w:snapToGrid w:val="0"/>
        <w:spacing w:line="360" w:lineRule="auto"/>
        <w:ind w:firstLine="480" w:firstLineChars="200"/>
        <w:rPr>
          <w:rFonts w:hint="eastAsia"/>
          <w:highlight w:val="none"/>
        </w:rPr>
      </w:pPr>
      <w:r>
        <w:rPr>
          <w:rFonts w:hint="eastAsia" w:ascii="仿宋" w:hAnsi="仿宋" w:eastAsia="仿宋" w:cs="仿宋"/>
          <w:snapToGrid w:val="0"/>
          <w:color w:val="auto"/>
          <w:sz w:val="24"/>
          <w:szCs w:val="24"/>
          <w:highlight w:val="none"/>
        </w:rPr>
        <w:t>双方合同签订后，由承包人提交工程预付款申请书，发包人收到申请书后30天内向承包人支付</w:t>
      </w:r>
      <w:r>
        <w:rPr>
          <w:rFonts w:hint="eastAsia" w:ascii="仿宋" w:hAnsi="仿宋" w:eastAsia="仿宋" w:cs="仿宋"/>
          <w:snapToGrid w:val="0"/>
          <w:color w:val="auto"/>
          <w:sz w:val="24"/>
          <w:szCs w:val="24"/>
          <w:highlight w:val="none"/>
          <w:lang w:val="en-US" w:eastAsia="zh-CN"/>
        </w:rPr>
        <w:t>施工费</w:t>
      </w:r>
      <w:r>
        <w:rPr>
          <w:rFonts w:hint="eastAsia" w:ascii="仿宋" w:hAnsi="仿宋" w:eastAsia="仿宋" w:cs="仿宋"/>
          <w:snapToGrid w:val="0"/>
          <w:color w:val="auto"/>
          <w:sz w:val="24"/>
          <w:szCs w:val="24"/>
          <w:highlight w:val="none"/>
        </w:rPr>
        <w:t>合同价</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lang w:val="en-US" w:eastAsia="zh-CN"/>
        </w:rPr>
        <w:t>含主体装修改造工程费及展陈物料、设备及数字内容策划及制作费；</w:t>
      </w:r>
      <w:r>
        <w:rPr>
          <w:rFonts w:hint="eastAsia" w:ascii="仿宋" w:hAnsi="仿宋" w:eastAsia="仿宋" w:cs="仿宋"/>
          <w:snapToGrid w:val="0"/>
          <w:color w:val="auto"/>
          <w:sz w:val="24"/>
          <w:szCs w:val="24"/>
          <w:highlight w:val="none"/>
          <w:lang w:eastAsia="zh-CN"/>
        </w:rPr>
        <w:t>扣除</w:t>
      </w:r>
      <w:r>
        <w:rPr>
          <w:rFonts w:hint="eastAsia" w:ascii="仿宋" w:hAnsi="仿宋" w:eastAsia="仿宋" w:cs="仿宋"/>
          <w:snapToGrid w:val="0"/>
          <w:color w:val="auto"/>
          <w:sz w:val="24"/>
          <w:szCs w:val="24"/>
          <w:highlight w:val="none"/>
          <w:lang w:val="en-US" w:eastAsia="zh-CN"/>
        </w:rPr>
        <w:t>主体装修工程的安全生产措施费</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的20%即</w:t>
      </w:r>
      <w:r>
        <w:rPr>
          <w:rFonts w:hint="eastAsia" w:ascii="仿宋" w:hAnsi="仿宋" w:eastAsia="仿宋" w:cs="仿宋"/>
          <w:snapToGrid w:val="0"/>
          <w:color w:val="auto"/>
          <w:sz w:val="24"/>
          <w:szCs w:val="24"/>
          <w:highlight w:val="none"/>
          <w:u w:val="none"/>
        </w:rPr>
        <w:t xml:space="preserve"> </w:t>
      </w:r>
      <w:r>
        <w:rPr>
          <w:rFonts w:hint="eastAsia" w:ascii="仿宋" w:hAnsi="仿宋" w:eastAsia="仿宋" w:cs="仿宋"/>
          <w:bCs w:val="0"/>
          <w:snapToGrid w:val="0"/>
          <w:color w:val="auto"/>
          <w:kern w:val="0"/>
          <w:sz w:val="24"/>
          <w:szCs w:val="24"/>
          <w:highlight w:val="none"/>
          <w:u w:val="none"/>
        </w:rPr>
        <w:t>¥</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napToGrid w:val="0"/>
          <w:color w:val="auto"/>
          <w:sz w:val="24"/>
          <w:szCs w:val="24"/>
          <w:highlight w:val="none"/>
          <w:u w:val="single"/>
          <w:lang w:val="en-US" w:eastAsia="zh-CN"/>
        </w:rPr>
        <w:t xml:space="preserve"> </w:t>
      </w:r>
      <w:r>
        <w:rPr>
          <w:rFonts w:hint="eastAsia" w:ascii="仿宋" w:hAnsi="仿宋" w:eastAsia="仿宋" w:cs="仿宋"/>
          <w:snapToGrid w:val="0"/>
          <w:color w:val="auto"/>
          <w:sz w:val="24"/>
          <w:szCs w:val="24"/>
          <w:highlight w:val="none"/>
          <w:u w:val="single"/>
        </w:rPr>
        <w:t xml:space="preserve"> </w:t>
      </w:r>
      <w:r>
        <w:rPr>
          <w:rFonts w:hint="eastAsia" w:ascii="仿宋" w:hAnsi="仿宋" w:eastAsia="仿宋" w:cs="仿宋"/>
          <w:snapToGrid w:val="0"/>
          <w:color w:val="auto"/>
          <w:sz w:val="24"/>
          <w:szCs w:val="24"/>
          <w:highlight w:val="none"/>
        </w:rPr>
        <w:t>元</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作为施工费预付款。</w:t>
      </w:r>
    </w:p>
    <w:p w14:paraId="32B730B4">
      <w:pPr>
        <w:pStyle w:val="12"/>
        <w:shd w:val="clear"/>
        <w:adjustRightInd w:val="0"/>
        <w:snapToGrid w:val="0"/>
        <w:spacing w:line="360" w:lineRule="auto"/>
        <w:ind w:firstLine="480" w:firstLineChars="200"/>
        <w:rPr>
          <w:rFonts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29.</w:t>
      </w:r>
      <w:r>
        <w:rPr>
          <w:rFonts w:hint="eastAsia" w:ascii="仿宋" w:hAnsi="仿宋" w:eastAsia="仿宋" w:cs="仿宋"/>
          <w:snapToGrid w:val="0"/>
          <w:color w:val="auto"/>
          <w:sz w:val="24"/>
          <w:szCs w:val="24"/>
          <w:highlight w:val="none"/>
          <w:lang w:val="en-US" w:eastAsia="zh-CN"/>
        </w:rPr>
        <w:t>2</w:t>
      </w:r>
      <w:r>
        <w:rPr>
          <w:rFonts w:hint="eastAsia" w:ascii="仿宋" w:hAnsi="仿宋" w:eastAsia="仿宋" w:cs="仿宋"/>
          <w:snapToGrid w:val="0"/>
          <w:color w:val="auto"/>
          <w:sz w:val="24"/>
          <w:szCs w:val="24"/>
          <w:highlight w:val="none"/>
        </w:rPr>
        <w:t>承包人应将预付款专用于实施本工程所需的施工机械、材料设备及人员费用，并向总监理工程师提交发票或</w:t>
      </w:r>
      <w:r>
        <w:rPr>
          <w:rFonts w:hint="eastAsia" w:ascii="仿宋" w:hAnsi="仿宋" w:eastAsia="仿宋" w:cs="仿宋"/>
          <w:snapToGrid w:val="0"/>
          <w:color w:val="auto"/>
          <w:sz w:val="24"/>
          <w:szCs w:val="24"/>
          <w:highlight w:val="none"/>
          <w:lang w:eastAsia="zh-CN"/>
        </w:rPr>
        <w:t>其他</w:t>
      </w:r>
      <w:r>
        <w:rPr>
          <w:rFonts w:hint="eastAsia" w:ascii="仿宋" w:hAnsi="仿宋" w:eastAsia="仿宋" w:cs="仿宋"/>
          <w:snapToGrid w:val="0"/>
          <w:color w:val="auto"/>
          <w:sz w:val="24"/>
          <w:szCs w:val="24"/>
          <w:highlight w:val="none"/>
        </w:rPr>
        <w:t>证明文件的副本以证明预付款确实专款专用，否则应按合同</w:t>
      </w:r>
      <w:r>
        <w:rPr>
          <w:rFonts w:hint="eastAsia" w:ascii="仿宋" w:hAnsi="仿宋" w:eastAsia="仿宋" w:cs="仿宋"/>
          <w:snapToGrid w:val="0"/>
          <w:color w:val="auto"/>
          <w:sz w:val="24"/>
          <w:szCs w:val="24"/>
          <w:highlight w:val="none"/>
          <w:lang w:val="en-US" w:eastAsia="zh-CN"/>
        </w:rPr>
        <w:t>专用</w:t>
      </w:r>
      <w:r>
        <w:rPr>
          <w:rFonts w:hint="eastAsia" w:ascii="仿宋" w:hAnsi="仿宋" w:eastAsia="仿宋" w:cs="仿宋"/>
          <w:snapToGrid w:val="0"/>
          <w:color w:val="auto"/>
          <w:sz w:val="24"/>
          <w:szCs w:val="24"/>
          <w:highlight w:val="none"/>
        </w:rPr>
        <w:t>条款第4</w:t>
      </w:r>
      <w:r>
        <w:rPr>
          <w:rFonts w:hint="eastAsia" w:ascii="仿宋" w:hAnsi="仿宋" w:eastAsia="仿宋" w:cs="仿宋"/>
          <w:snapToGrid w:val="0"/>
          <w:color w:val="auto"/>
          <w:sz w:val="24"/>
          <w:szCs w:val="24"/>
          <w:highlight w:val="none"/>
          <w:lang w:val="en-US" w:eastAsia="zh-CN"/>
        </w:rPr>
        <w:t>0</w:t>
      </w:r>
      <w:r>
        <w:rPr>
          <w:rFonts w:hint="eastAsia" w:ascii="仿宋" w:hAnsi="仿宋" w:eastAsia="仿宋" w:cs="仿宋"/>
          <w:snapToGrid w:val="0"/>
          <w:color w:val="auto"/>
          <w:sz w:val="24"/>
          <w:szCs w:val="24"/>
          <w:highlight w:val="none"/>
        </w:rPr>
        <w:t>.2款承担违约责任。</w:t>
      </w:r>
    </w:p>
    <w:p w14:paraId="7C346A3C">
      <w:pPr>
        <w:pStyle w:val="12"/>
        <w:shd w:val="clear"/>
        <w:adjustRightInd w:val="0"/>
        <w:snapToGrid w:val="0"/>
        <w:spacing w:line="360" w:lineRule="auto"/>
        <w:ind w:firstLine="480" w:firstLineChars="200"/>
        <w:rPr>
          <w:rFonts w:ascii="仿宋" w:hAnsi="仿宋" w:eastAsia="仿宋" w:cs="仿宋"/>
          <w:snapToGrid w:val="0"/>
          <w:color w:val="auto"/>
          <w:sz w:val="24"/>
          <w:szCs w:val="24"/>
          <w:highlight w:val="none"/>
        </w:rPr>
      </w:pPr>
    </w:p>
    <w:p w14:paraId="7062BD59">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190" w:name="_Toc2784889"/>
      <w:bookmarkStart w:id="191" w:name="_Toc83377277"/>
      <w:bookmarkStart w:id="192" w:name="_Toc2245"/>
      <w:r>
        <w:rPr>
          <w:rFonts w:hint="eastAsia" w:ascii="仿宋" w:hAnsi="仿宋" w:eastAsia="仿宋" w:cs="仿宋"/>
          <w:b/>
          <w:snapToGrid w:val="0"/>
          <w:color w:val="auto"/>
          <w:kern w:val="0"/>
          <w:sz w:val="24"/>
          <w:highlight w:val="none"/>
          <w:lang w:eastAsia="zh-CN"/>
        </w:rPr>
        <w:t>30.</w:t>
      </w:r>
      <w:r>
        <w:rPr>
          <w:rFonts w:hint="eastAsia" w:ascii="仿宋" w:hAnsi="仿宋" w:eastAsia="仿宋" w:cs="仿宋"/>
          <w:b/>
          <w:snapToGrid w:val="0"/>
          <w:color w:val="auto"/>
          <w:kern w:val="0"/>
          <w:sz w:val="24"/>
          <w:highlight w:val="none"/>
        </w:rPr>
        <w:t>工程进度付款</w:t>
      </w:r>
      <w:bookmarkEnd w:id="190"/>
      <w:bookmarkEnd w:id="191"/>
      <w:bookmarkEnd w:id="192"/>
    </w:p>
    <w:p w14:paraId="502AB7F0">
      <w:pPr>
        <w:pStyle w:val="12"/>
        <w:shd w:val="clear"/>
        <w:adjustRightInd w:val="0"/>
        <w:snapToGrid w:val="0"/>
        <w:spacing w:line="360" w:lineRule="auto"/>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30.1设计费进度款按如下方式分期支付：</w:t>
      </w:r>
    </w:p>
    <w:p w14:paraId="6936094A">
      <w:pPr>
        <w:pStyle w:val="12"/>
        <w:numPr>
          <w:ilvl w:val="0"/>
          <w:numId w:val="5"/>
        </w:numPr>
        <w:shd w:val="clea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woUserID w:val="0"/>
        </w:rPr>
        <w:t>承包人（设计单位）</w:t>
      </w:r>
      <w:r>
        <w:rPr>
          <w:rFonts w:hint="eastAsia" w:ascii="仿宋" w:hAnsi="仿宋" w:eastAsia="仿宋" w:cs="仿宋"/>
          <w:color w:val="auto"/>
          <w:sz w:val="24"/>
          <w:szCs w:val="24"/>
          <w:highlight w:val="none"/>
          <w:lang w:eastAsia="zh"/>
          <w:woUserID w:val="0"/>
        </w:rPr>
        <w:t>完成</w:t>
      </w:r>
      <w:r>
        <w:rPr>
          <w:rFonts w:hint="eastAsia" w:ascii="仿宋" w:hAnsi="仿宋" w:eastAsia="仿宋" w:cs="仿宋"/>
          <w:color w:val="auto"/>
          <w:sz w:val="24"/>
          <w:szCs w:val="24"/>
          <w:highlight w:val="none"/>
          <w:woUserID w:val="0"/>
        </w:rPr>
        <w:t>初步设计，</w:t>
      </w:r>
      <w:r>
        <w:rPr>
          <w:rFonts w:hint="eastAsia" w:ascii="仿宋" w:hAnsi="仿宋" w:eastAsia="仿宋" w:cs="仿宋"/>
          <w:color w:val="auto"/>
          <w:sz w:val="24"/>
          <w:szCs w:val="24"/>
          <w:highlight w:val="none"/>
          <w:lang w:val="en-US" w:eastAsia="zh-CN"/>
          <w:woUserID w:val="0"/>
        </w:rPr>
        <w:t>发包人支付至合同中设计费总额的30%；</w:t>
      </w:r>
    </w:p>
    <w:p w14:paraId="2030E8F9">
      <w:pPr>
        <w:pStyle w:val="12"/>
        <w:numPr>
          <w:ilvl w:val="0"/>
          <w:numId w:val="5"/>
        </w:numPr>
        <w:shd w:val="clear"/>
        <w:adjustRightInd w:val="0"/>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woUserID w:val="0"/>
        </w:rPr>
        <w:t>承包人（设计单位）</w:t>
      </w:r>
      <w:r>
        <w:rPr>
          <w:rFonts w:hint="eastAsia" w:ascii="仿宋" w:hAnsi="仿宋" w:eastAsia="仿宋" w:cs="仿宋"/>
          <w:color w:val="auto"/>
          <w:sz w:val="24"/>
          <w:szCs w:val="24"/>
          <w:highlight w:val="none"/>
          <w:lang w:eastAsia="zh"/>
          <w:woUserID w:val="0"/>
        </w:rPr>
        <w:t>完成</w:t>
      </w:r>
      <w:r>
        <w:rPr>
          <w:rFonts w:hint="eastAsia" w:ascii="仿宋" w:hAnsi="仿宋" w:eastAsia="仿宋" w:cs="仿宋"/>
          <w:color w:val="auto"/>
          <w:sz w:val="24"/>
          <w:szCs w:val="24"/>
          <w:highlight w:val="none"/>
          <w:lang w:val="en-US" w:eastAsia="zh-CN"/>
          <w:woUserID w:val="0"/>
        </w:rPr>
        <w:t>概算编制（施工图预算深度），并</w:t>
      </w:r>
      <w:r>
        <w:rPr>
          <w:rFonts w:hint="eastAsia" w:ascii="仿宋" w:hAnsi="仿宋" w:eastAsia="仿宋" w:cs="仿宋"/>
          <w:color w:val="auto"/>
          <w:sz w:val="24"/>
          <w:szCs w:val="24"/>
          <w:highlight w:val="none"/>
          <w:woUserID w:val="0"/>
        </w:rPr>
        <w:t>通过相关部门</w:t>
      </w:r>
      <w:r>
        <w:rPr>
          <w:rFonts w:hint="eastAsia" w:ascii="仿宋" w:hAnsi="仿宋" w:eastAsia="仿宋" w:cs="仿宋"/>
          <w:color w:val="auto"/>
          <w:sz w:val="24"/>
          <w:szCs w:val="24"/>
          <w:highlight w:val="none"/>
          <w:lang w:val="en-US" w:eastAsia="zh-CN"/>
          <w:woUserID w:val="0"/>
        </w:rPr>
        <w:t>概算</w:t>
      </w:r>
      <w:r>
        <w:rPr>
          <w:rFonts w:hint="eastAsia" w:ascii="仿宋" w:hAnsi="仿宋" w:eastAsia="仿宋" w:cs="仿宋"/>
          <w:color w:val="auto"/>
          <w:sz w:val="24"/>
          <w:szCs w:val="24"/>
          <w:highlight w:val="none"/>
          <w:woUserID w:val="0"/>
        </w:rPr>
        <w:t>批复</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woUserID w:val="0"/>
        </w:rPr>
        <w:t>发包人</w:t>
      </w:r>
      <w:r>
        <w:rPr>
          <w:rFonts w:hint="eastAsia" w:ascii="仿宋" w:hAnsi="仿宋" w:eastAsia="仿宋" w:cs="仿宋"/>
          <w:color w:val="auto"/>
          <w:sz w:val="24"/>
          <w:szCs w:val="24"/>
          <w:highlight w:val="none"/>
        </w:rPr>
        <w:t>支付至合同中设计费总额的</w:t>
      </w:r>
      <w:r>
        <w:rPr>
          <w:rFonts w:hint="eastAsia" w:ascii="仿宋" w:hAnsi="仿宋" w:eastAsia="仿宋" w:cs="仿宋"/>
          <w:color w:val="auto"/>
          <w:sz w:val="24"/>
          <w:szCs w:val="24"/>
          <w:highlight w:val="none"/>
          <w:lang w:eastAsia="zh"/>
          <w:woUserID w:val="0"/>
        </w:rPr>
        <w:t>5</w:t>
      </w:r>
      <w:r>
        <w:rPr>
          <w:rFonts w:hint="eastAsia" w:ascii="仿宋" w:hAnsi="仿宋" w:eastAsia="仿宋" w:cs="仿宋"/>
          <w:color w:val="auto"/>
          <w:sz w:val="24"/>
          <w:szCs w:val="24"/>
          <w:highlight w:val="none"/>
        </w:rPr>
        <w:t>0%。</w:t>
      </w:r>
    </w:p>
    <w:p w14:paraId="3DFF651A">
      <w:pPr>
        <w:pStyle w:val="12"/>
        <w:numPr>
          <w:ilvl w:val="0"/>
          <w:numId w:val="5"/>
        </w:numPr>
        <w:shd w:val="clear"/>
        <w:adjustRightInd w:val="0"/>
        <w:snapToGrid w:val="0"/>
        <w:spacing w:line="360" w:lineRule="auto"/>
        <w:ind w:firstLine="480" w:firstLineChars="200"/>
        <w:rPr>
          <w:rFonts w:hint="eastAsia" w:ascii="仿宋" w:hAnsi="仿宋" w:eastAsia="仿宋" w:cs="仿宋"/>
          <w:color w:val="auto"/>
          <w:kern w:val="0"/>
          <w:sz w:val="24"/>
          <w:szCs w:val="24"/>
          <w:highlight w:val="none"/>
          <w:lang w:eastAsia="zh"/>
        </w:rPr>
      </w:pPr>
      <w:r>
        <w:rPr>
          <w:rFonts w:hint="eastAsia" w:ascii="仿宋" w:hAnsi="仿宋" w:eastAsia="仿宋" w:cs="仿宋"/>
          <w:color w:val="auto"/>
          <w:sz w:val="24"/>
          <w:szCs w:val="24"/>
          <w:highlight w:val="none"/>
          <w:woUserID w:val="0"/>
        </w:rPr>
        <w:t>承包人（设计单位）</w:t>
      </w:r>
      <w:r>
        <w:rPr>
          <w:rFonts w:hint="eastAsia" w:ascii="仿宋" w:hAnsi="仿宋" w:eastAsia="仿宋" w:cs="仿宋"/>
          <w:color w:val="auto"/>
          <w:sz w:val="24"/>
          <w:szCs w:val="24"/>
          <w:highlight w:val="none"/>
          <w:lang w:eastAsia="zh"/>
          <w:woUserID w:val="0"/>
        </w:rPr>
        <w:t>完成</w:t>
      </w:r>
      <w:r>
        <w:rPr>
          <w:rFonts w:hint="eastAsia" w:ascii="仿宋" w:hAnsi="仿宋" w:eastAsia="仿宋" w:cs="仿宋"/>
          <w:color w:val="auto"/>
          <w:kern w:val="0"/>
          <w:sz w:val="24"/>
          <w:szCs w:val="24"/>
          <w:highlight w:val="none"/>
          <w:woUserID w:val="0"/>
        </w:rPr>
        <w:t>全部施工图并通过施工图审查，且施工图预算</w:t>
      </w:r>
      <w:r>
        <w:rPr>
          <w:rFonts w:hint="eastAsia" w:ascii="仿宋" w:hAnsi="仿宋" w:eastAsia="仿宋" w:cs="仿宋"/>
          <w:color w:val="auto"/>
          <w:kern w:val="0"/>
          <w:sz w:val="24"/>
          <w:szCs w:val="24"/>
          <w:highlight w:val="none"/>
          <w:lang w:eastAsia="zh-CN"/>
          <w:woUserID w:val="0"/>
        </w:rPr>
        <w:t>经过</w:t>
      </w:r>
      <w:r>
        <w:rPr>
          <w:rFonts w:hint="eastAsia" w:ascii="仿宋" w:hAnsi="仿宋" w:eastAsia="仿宋" w:cs="仿宋"/>
          <w:color w:val="auto"/>
          <w:kern w:val="0"/>
          <w:sz w:val="24"/>
          <w:szCs w:val="24"/>
          <w:highlight w:val="none"/>
          <w:woUserID w:val="0"/>
        </w:rPr>
        <w:t>审定</w:t>
      </w:r>
      <w:r>
        <w:rPr>
          <w:rFonts w:hint="eastAsia" w:ascii="仿宋" w:hAnsi="仿宋" w:eastAsia="仿宋" w:cs="仿宋"/>
          <w:color w:val="auto"/>
          <w:kern w:val="0"/>
          <w:sz w:val="24"/>
          <w:szCs w:val="24"/>
          <w:highlight w:val="none"/>
          <w:lang w:eastAsia="zh-CN"/>
          <w:woUserID w:val="0"/>
        </w:rPr>
        <w:t>后，</w:t>
      </w:r>
      <w:r>
        <w:rPr>
          <w:rFonts w:hint="eastAsia" w:ascii="仿宋" w:hAnsi="仿宋" w:eastAsia="仿宋" w:cs="仿宋"/>
          <w:color w:val="auto"/>
          <w:kern w:val="0"/>
          <w:sz w:val="24"/>
          <w:szCs w:val="24"/>
          <w:highlight w:val="none"/>
          <w:woUserID w:val="0"/>
        </w:rPr>
        <w:t>发包人支付至合同中设计费总额的</w:t>
      </w:r>
      <w:r>
        <w:rPr>
          <w:rFonts w:hint="eastAsia" w:ascii="仿宋" w:hAnsi="仿宋" w:eastAsia="仿宋" w:cs="仿宋"/>
          <w:color w:val="auto"/>
          <w:kern w:val="0"/>
          <w:sz w:val="24"/>
          <w:szCs w:val="24"/>
          <w:highlight w:val="none"/>
          <w:lang w:eastAsia="zh"/>
          <w:woUserID w:val="0"/>
        </w:rPr>
        <w:t>8</w:t>
      </w:r>
      <w:r>
        <w:rPr>
          <w:rFonts w:hint="eastAsia" w:ascii="仿宋" w:hAnsi="仿宋" w:eastAsia="仿宋" w:cs="仿宋"/>
          <w:color w:val="auto"/>
          <w:kern w:val="0"/>
          <w:sz w:val="24"/>
          <w:szCs w:val="24"/>
          <w:highlight w:val="none"/>
          <w:woUserID w:val="0"/>
        </w:rPr>
        <w:t>0%</w:t>
      </w:r>
      <w:r>
        <w:rPr>
          <w:rFonts w:hint="eastAsia" w:ascii="仿宋" w:hAnsi="仿宋" w:eastAsia="仿宋" w:cs="仿宋"/>
          <w:color w:val="auto"/>
          <w:kern w:val="0"/>
          <w:sz w:val="24"/>
          <w:szCs w:val="24"/>
          <w:highlight w:val="none"/>
          <w:lang w:eastAsia="zh-CN"/>
          <w:woUserID w:val="0"/>
        </w:rPr>
        <w:t>。</w:t>
      </w:r>
    </w:p>
    <w:p w14:paraId="0338B50F">
      <w:pPr>
        <w:pStyle w:val="12"/>
        <w:numPr>
          <w:ilvl w:val="-1"/>
          <w:numId w:val="0"/>
        </w:numPr>
        <w:shd w:val="clear"/>
        <w:adjustRightInd w:val="0"/>
        <w:snapToGrid w:val="0"/>
        <w:spacing w:line="360" w:lineRule="auto"/>
        <w:ind w:firstLine="480" w:firstLineChars="200"/>
        <w:rPr>
          <w:rFonts w:hint="eastAsia" w:ascii="仿宋" w:hAnsi="仿宋" w:eastAsia="仿宋" w:cs="仿宋"/>
          <w:color w:val="auto"/>
          <w:sz w:val="24"/>
          <w:szCs w:val="24"/>
          <w:highlight w:val="none"/>
          <w:woUserID w:val="1"/>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woUserID w:val="1"/>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woUserID w:val="1"/>
        </w:rPr>
        <w:t>工程竣工</w:t>
      </w:r>
      <w:r>
        <w:rPr>
          <w:rFonts w:hint="eastAsia" w:ascii="仿宋" w:hAnsi="仿宋" w:eastAsia="仿宋" w:cs="仿宋"/>
          <w:color w:val="auto"/>
          <w:sz w:val="24"/>
          <w:szCs w:val="24"/>
          <w:highlight w:val="none"/>
          <w:lang w:val="en-US" w:eastAsia="zh-CN"/>
          <w:woUserID w:val="1"/>
        </w:rPr>
        <w:t>验收及备案（如有）</w:t>
      </w:r>
      <w:r>
        <w:rPr>
          <w:rFonts w:hint="eastAsia" w:ascii="仿宋" w:hAnsi="仿宋" w:eastAsia="仿宋" w:cs="仿宋"/>
          <w:color w:val="auto"/>
          <w:sz w:val="24"/>
          <w:szCs w:val="24"/>
          <w:highlight w:val="none"/>
          <w:woUserID w:val="1"/>
        </w:rPr>
        <w:t>完成，办理设计费结算手续后15个工作日内</w:t>
      </w:r>
      <w:r>
        <w:rPr>
          <w:rFonts w:hint="eastAsia" w:ascii="仿宋" w:hAnsi="仿宋" w:eastAsia="仿宋" w:cs="仿宋"/>
          <w:color w:val="auto"/>
          <w:sz w:val="24"/>
          <w:szCs w:val="24"/>
          <w:highlight w:val="none"/>
          <w:lang w:eastAsia="zh"/>
          <w:woUserID w:val="1"/>
        </w:rPr>
        <w:t>，</w:t>
      </w:r>
      <w:r>
        <w:rPr>
          <w:rFonts w:hint="eastAsia" w:ascii="仿宋" w:hAnsi="仿宋" w:eastAsia="仿宋" w:cs="仿宋"/>
          <w:color w:val="auto"/>
          <w:sz w:val="24"/>
          <w:szCs w:val="24"/>
          <w:highlight w:val="none"/>
          <w:woUserID w:val="1"/>
        </w:rPr>
        <w:t>发包人支付至合同中设计费总额的</w:t>
      </w:r>
      <w:r>
        <w:rPr>
          <w:rFonts w:hint="eastAsia" w:ascii="仿宋" w:hAnsi="仿宋" w:eastAsia="仿宋" w:cs="仿宋"/>
          <w:color w:val="auto"/>
          <w:sz w:val="24"/>
          <w:szCs w:val="24"/>
          <w:highlight w:val="none"/>
          <w:lang w:eastAsia="zh"/>
          <w:woUserID w:val="1"/>
        </w:rPr>
        <w:t>97</w:t>
      </w:r>
      <w:r>
        <w:rPr>
          <w:rFonts w:hint="eastAsia" w:ascii="仿宋" w:hAnsi="仿宋" w:eastAsia="仿宋" w:cs="仿宋"/>
          <w:color w:val="auto"/>
          <w:sz w:val="24"/>
          <w:szCs w:val="24"/>
          <w:highlight w:val="none"/>
          <w:woUserID w:val="1"/>
        </w:rPr>
        <w:t>%。</w:t>
      </w:r>
    </w:p>
    <w:p w14:paraId="51068050">
      <w:pPr>
        <w:pStyle w:val="12"/>
        <w:numPr>
          <w:ilvl w:val="-1"/>
          <w:numId w:val="0"/>
        </w:numPr>
        <w:shd w:val="clear"/>
        <w:adjustRightInd w:val="0"/>
        <w:snapToGrid w:val="0"/>
        <w:spacing w:line="360" w:lineRule="auto"/>
        <w:ind w:firstLine="480" w:firstLineChars="200"/>
        <w:rPr>
          <w:rFonts w:hint="eastAsia" w:ascii="仿宋" w:hAnsi="仿宋" w:eastAsia="仿宋" w:cs="仿宋"/>
          <w:color w:val="auto"/>
          <w:sz w:val="24"/>
          <w:szCs w:val="24"/>
          <w:highlight w:val="none"/>
          <w:lang w:eastAsia="zh"/>
          <w:woUserID w:val="1"/>
        </w:rPr>
      </w:pPr>
      <w:r>
        <w:rPr>
          <w:rFonts w:hint="eastAsia" w:ascii="仿宋" w:hAnsi="仿宋" w:eastAsia="仿宋" w:cs="仿宋"/>
          <w:color w:val="auto"/>
          <w:sz w:val="24"/>
          <w:szCs w:val="24"/>
          <w:highlight w:val="none"/>
          <w:lang w:eastAsia="zh"/>
          <w:woUserID w:val="1"/>
        </w:rPr>
        <w:t>（4）缺陷责任期为竣工后</w:t>
      </w:r>
      <w:r>
        <w:rPr>
          <w:rFonts w:hint="eastAsia" w:ascii="仿宋" w:hAnsi="仿宋" w:eastAsia="仿宋" w:cs="仿宋"/>
          <w:color w:val="auto"/>
          <w:sz w:val="24"/>
          <w:szCs w:val="24"/>
          <w:highlight w:val="none"/>
          <w:lang w:val="en-US" w:eastAsia="zh-CN"/>
          <w:woUserID w:val="1"/>
        </w:rPr>
        <w:t>2</w:t>
      </w:r>
      <w:r>
        <w:rPr>
          <w:rFonts w:hint="eastAsia" w:ascii="仿宋" w:hAnsi="仿宋" w:eastAsia="仿宋" w:cs="仿宋"/>
          <w:color w:val="auto"/>
          <w:sz w:val="24"/>
          <w:szCs w:val="24"/>
          <w:highlight w:val="none"/>
          <w:lang w:eastAsia="zh"/>
          <w:woUserID w:val="1"/>
        </w:rPr>
        <w:t>年，缺陷责任期限届满45个工作日内，设计费全部付清。</w:t>
      </w:r>
    </w:p>
    <w:p w14:paraId="4CC038CD">
      <w:pPr>
        <w:shd w:val="clear"/>
        <w:adjustRightInd w:val="0"/>
        <w:snapToGrid w:val="0"/>
        <w:spacing w:line="360" w:lineRule="auto"/>
        <w:ind w:right="11" w:firstLine="460" w:firstLineChars="19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
          <w:woUserID w:val="1"/>
        </w:rPr>
        <w:t>5</w:t>
      </w:r>
      <w:r>
        <w:rPr>
          <w:rFonts w:hint="eastAsia" w:ascii="仿宋" w:hAnsi="仿宋" w:eastAsia="仿宋" w:cs="仿宋"/>
          <w:color w:val="auto"/>
          <w:kern w:val="0"/>
          <w:sz w:val="24"/>
          <w:szCs w:val="24"/>
          <w:highlight w:val="none"/>
        </w:rPr>
        <w:t>）本合同约定的所有设计费统一由承包人中承担设计任务的联合体成员单位：</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rPr>
        <w:t xml:space="preserve"> </w:t>
      </w:r>
      <w:r>
        <w:rPr>
          <w:rFonts w:hint="eastAsia" w:ascii="仿宋" w:hAnsi="仿宋" w:eastAsia="仿宋" w:cs="仿宋"/>
          <w:color w:val="auto"/>
          <w:kern w:val="0"/>
          <w:sz w:val="24"/>
          <w:szCs w:val="24"/>
          <w:highlight w:val="none"/>
        </w:rPr>
        <w:t>收取。</w:t>
      </w:r>
    </w:p>
    <w:p w14:paraId="7109E9AC">
      <w:pPr>
        <w:shd w:val="clear"/>
        <w:adjustRightInd w:val="0"/>
        <w:snapToGrid w:val="0"/>
        <w:spacing w:line="360" w:lineRule="auto"/>
        <w:ind w:right="11" w:firstLine="460" w:firstLineChars="192"/>
        <w:rPr>
          <w:highlight w:val="none"/>
        </w:rPr>
      </w:pPr>
      <w:r>
        <w:rPr>
          <w:rFonts w:hint="eastAsia" w:ascii="仿宋" w:hAnsi="仿宋" w:eastAsia="仿宋" w:cs="仿宋"/>
          <w:color w:val="auto"/>
          <w:kern w:val="0"/>
          <w:sz w:val="24"/>
          <w:highlight w:val="none"/>
        </w:rPr>
        <w:t>30.2</w:t>
      </w:r>
      <w:r>
        <w:rPr>
          <w:rFonts w:hint="eastAsia" w:ascii="仿宋" w:hAnsi="仿宋" w:eastAsia="仿宋" w:cs="仿宋"/>
          <w:snapToGrid w:val="0"/>
          <w:color w:val="auto"/>
          <w:kern w:val="0"/>
          <w:sz w:val="24"/>
          <w:highlight w:val="none"/>
          <w:lang w:val="en-US" w:eastAsia="zh-CN"/>
        </w:rPr>
        <w:t>主体装修改造工程</w:t>
      </w:r>
      <w:r>
        <w:rPr>
          <w:rFonts w:hint="eastAsia" w:ascii="仿宋" w:hAnsi="仿宋" w:eastAsia="仿宋" w:cs="仿宋"/>
          <w:snapToGrid w:val="0"/>
          <w:color w:val="auto"/>
          <w:kern w:val="0"/>
          <w:sz w:val="24"/>
          <w:highlight w:val="none"/>
        </w:rPr>
        <w:t>进度款支付原则</w:t>
      </w:r>
    </w:p>
    <w:p w14:paraId="0D87AA9D">
      <w:pPr>
        <w:shd w:val="clear"/>
        <w:adjustRightInd w:val="0"/>
        <w:snapToGrid w:val="0"/>
        <w:spacing w:line="360" w:lineRule="auto"/>
        <w:ind w:right="11" w:firstLine="460" w:firstLineChars="192"/>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30.2.1 安全生产措施费支付原则：</w:t>
      </w:r>
    </w:p>
    <w:p w14:paraId="6B1BE5D6">
      <w:pPr>
        <w:shd w:val="clear"/>
        <w:adjustRightInd w:val="0"/>
        <w:snapToGrid w:val="0"/>
        <w:spacing w:line="360" w:lineRule="auto"/>
        <w:ind w:right="11" w:firstLine="460" w:firstLineChars="19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1）安全生产措施费</w:t>
      </w:r>
      <w:r>
        <w:rPr>
          <w:rFonts w:hint="eastAsia" w:ascii="仿宋" w:hAnsi="仿宋" w:eastAsia="仿宋" w:cs="仿宋"/>
          <w:color w:val="auto"/>
          <w:kern w:val="0"/>
          <w:sz w:val="24"/>
          <w:szCs w:val="24"/>
          <w:highlight w:val="none"/>
          <w:lang w:eastAsia="zh-CN"/>
        </w:rPr>
        <w:t>的总金额，</w:t>
      </w:r>
      <w:r>
        <w:rPr>
          <w:rFonts w:hint="eastAsia" w:ascii="仿宋" w:hAnsi="仿宋" w:eastAsia="仿宋" w:cs="仿宋"/>
          <w:color w:val="auto"/>
          <w:kern w:val="0"/>
          <w:sz w:val="24"/>
          <w:szCs w:val="24"/>
          <w:highlight w:val="none"/>
          <w:lang w:val="en-US" w:eastAsia="zh-CN"/>
        </w:rPr>
        <w:t>概预算</w:t>
      </w:r>
      <w:r>
        <w:rPr>
          <w:rFonts w:hint="eastAsia" w:ascii="仿宋" w:hAnsi="仿宋" w:eastAsia="仿宋" w:cs="仿宋"/>
          <w:color w:val="auto"/>
          <w:kern w:val="0"/>
          <w:sz w:val="24"/>
          <w:szCs w:val="24"/>
          <w:highlight w:val="none"/>
          <w:lang w:eastAsia="zh-CN"/>
        </w:rPr>
        <w:t>未经建设单位确认前，暂按合同施工总价的</w:t>
      </w:r>
      <w:r>
        <w:rPr>
          <w:rFonts w:hint="eastAsia" w:ascii="仿宋" w:hAnsi="仿宋" w:eastAsia="仿宋" w:cs="仿宋"/>
          <w:color w:val="auto"/>
          <w:kern w:val="0"/>
          <w:sz w:val="24"/>
          <w:szCs w:val="24"/>
          <w:highlight w:val="none"/>
          <w:u w:val="none"/>
          <w:lang w:eastAsia="zh-CN"/>
        </w:rPr>
        <w:t xml:space="preserve"> 3.0 </w:t>
      </w:r>
      <w:r>
        <w:rPr>
          <w:rFonts w:hint="eastAsia" w:ascii="仿宋" w:hAnsi="仿宋" w:eastAsia="仿宋" w:cs="仿宋"/>
          <w:color w:val="auto"/>
          <w:kern w:val="0"/>
          <w:sz w:val="24"/>
          <w:szCs w:val="24"/>
          <w:highlight w:val="none"/>
          <w:lang w:eastAsia="zh-CN"/>
        </w:rPr>
        <w:t>%计取。最终按本合同约定的计价方式签订本合同补充协议中的安全生产措施费为准。</w:t>
      </w:r>
    </w:p>
    <w:p w14:paraId="3F8F9B7B">
      <w:pPr>
        <w:shd w:val="clear"/>
        <w:adjustRightInd w:val="0"/>
        <w:snapToGrid w:val="0"/>
        <w:spacing w:line="360" w:lineRule="auto"/>
        <w:ind w:right="11" w:firstLine="460" w:firstLineChars="192"/>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根据项目建设分期施工对应办理安全生产措施费支付，各期支付约定为：</w:t>
      </w:r>
    </w:p>
    <w:p w14:paraId="73A2C4E5">
      <w:pPr>
        <w:shd w:val="clear"/>
        <w:spacing w:line="360" w:lineRule="auto"/>
        <w:ind w:left="0" w:leftChars="0"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eastAsia="zh-CN"/>
        </w:rPr>
        <w:t>工程具备开工条件，乙方提供已购买单位安全生产责任保险凭证的，支付</w:t>
      </w:r>
      <w:r>
        <w:rPr>
          <w:rFonts w:hint="eastAsia" w:ascii="仿宋" w:hAnsi="仿宋" w:eastAsia="仿宋"/>
          <w:color w:val="auto"/>
          <w:sz w:val="24"/>
          <w:szCs w:val="24"/>
          <w:highlight w:val="none"/>
        </w:rPr>
        <w:t>安全生产措施费</w:t>
      </w:r>
      <w:r>
        <w:rPr>
          <w:rFonts w:hint="eastAsia" w:ascii="仿宋" w:hAnsi="仿宋" w:eastAsia="仿宋"/>
          <w:color w:val="auto"/>
          <w:sz w:val="24"/>
          <w:szCs w:val="24"/>
          <w:highlight w:val="none"/>
          <w:lang w:eastAsia="zh-CN"/>
        </w:rPr>
        <w:t>的50%；乙方未购买单位安全生产责任保险的，支付</w:t>
      </w:r>
      <w:r>
        <w:rPr>
          <w:rFonts w:hint="eastAsia" w:ascii="仿宋" w:hAnsi="仿宋" w:eastAsia="仿宋"/>
          <w:color w:val="auto"/>
          <w:sz w:val="24"/>
          <w:szCs w:val="24"/>
          <w:highlight w:val="none"/>
        </w:rPr>
        <w:t>安全生产措施费</w:t>
      </w:r>
      <w:r>
        <w:rPr>
          <w:rFonts w:hint="eastAsia" w:ascii="仿宋" w:hAnsi="仿宋" w:eastAsia="仿宋"/>
          <w:color w:val="auto"/>
          <w:sz w:val="24"/>
          <w:szCs w:val="24"/>
          <w:highlight w:val="none"/>
          <w:lang w:eastAsia="zh-CN"/>
        </w:rPr>
        <w:t>的30%，另20%在乙方购买单位安全生产责任保险后办理支付，在此期间乙方仍应承担全部的安全文明施工法律责任。</w:t>
      </w:r>
    </w:p>
    <w:p w14:paraId="567CCE2F">
      <w:pPr>
        <w:shd w:val="clea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2.施工产值达到</w:t>
      </w:r>
      <w:r>
        <w:rPr>
          <w:rFonts w:hint="eastAsia" w:ascii="仿宋" w:hAnsi="仿宋" w:eastAsia="仿宋"/>
          <w:color w:val="auto"/>
          <w:sz w:val="24"/>
          <w:szCs w:val="24"/>
          <w:highlight w:val="none"/>
          <w:lang w:eastAsia="zh-CN"/>
        </w:rPr>
        <w:t>50%，支付</w:t>
      </w:r>
      <w:r>
        <w:rPr>
          <w:rFonts w:hint="eastAsia" w:ascii="仿宋" w:hAnsi="仿宋" w:eastAsia="仿宋"/>
          <w:color w:val="auto"/>
          <w:sz w:val="24"/>
          <w:szCs w:val="24"/>
          <w:highlight w:val="none"/>
        </w:rPr>
        <w:t>安全生产措施费</w:t>
      </w:r>
      <w:r>
        <w:rPr>
          <w:rFonts w:hint="eastAsia" w:ascii="仿宋" w:hAnsi="仿宋" w:eastAsia="仿宋"/>
          <w:color w:val="auto"/>
          <w:sz w:val="24"/>
          <w:szCs w:val="24"/>
          <w:highlight w:val="none"/>
          <w:lang w:eastAsia="zh-CN"/>
        </w:rPr>
        <w:t>的</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lang w:eastAsia="zh-CN"/>
        </w:rPr>
        <w:t>0%；</w:t>
      </w:r>
    </w:p>
    <w:p w14:paraId="3CD60077">
      <w:pPr>
        <w:shd w:val="clear"/>
        <w:spacing w:line="360" w:lineRule="auto"/>
        <w:ind w:left="0" w:leftChars="0"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3.预算</w:t>
      </w:r>
      <w:r>
        <w:rPr>
          <w:rFonts w:hint="eastAsia" w:ascii="仿宋" w:hAnsi="仿宋" w:eastAsia="仿宋"/>
          <w:color w:val="auto"/>
          <w:sz w:val="24"/>
          <w:szCs w:val="24"/>
          <w:highlight w:val="none"/>
          <w:lang w:eastAsia="zh-CN"/>
        </w:rPr>
        <w:t>未经建设单位确认前已支付</w:t>
      </w:r>
      <w:r>
        <w:rPr>
          <w:rFonts w:hint="eastAsia" w:ascii="仿宋" w:hAnsi="仿宋" w:eastAsia="仿宋"/>
          <w:color w:val="auto"/>
          <w:sz w:val="24"/>
          <w:szCs w:val="24"/>
          <w:highlight w:val="none"/>
        </w:rPr>
        <w:t>安全生产措施费</w:t>
      </w:r>
      <w:r>
        <w:rPr>
          <w:rFonts w:hint="eastAsia" w:ascii="仿宋" w:hAnsi="仿宋" w:eastAsia="仿宋"/>
          <w:color w:val="auto"/>
          <w:sz w:val="24"/>
          <w:szCs w:val="24"/>
          <w:highlight w:val="none"/>
          <w:lang w:eastAsia="zh-CN"/>
        </w:rPr>
        <w:t>的，</w:t>
      </w:r>
      <w:r>
        <w:rPr>
          <w:rFonts w:hint="eastAsia" w:ascii="仿宋" w:hAnsi="仿宋" w:eastAsia="仿宋"/>
          <w:color w:val="auto"/>
          <w:sz w:val="24"/>
          <w:szCs w:val="24"/>
          <w:highlight w:val="none"/>
          <w:lang w:val="en-US" w:eastAsia="zh-CN"/>
        </w:rPr>
        <w:t>预算</w:t>
      </w:r>
      <w:r>
        <w:rPr>
          <w:rFonts w:hint="eastAsia" w:ascii="仿宋" w:hAnsi="仿宋" w:eastAsia="仿宋"/>
          <w:color w:val="auto"/>
          <w:sz w:val="24"/>
          <w:szCs w:val="24"/>
          <w:highlight w:val="none"/>
          <w:lang w:eastAsia="zh-CN"/>
        </w:rPr>
        <w:t>确认后在下一期请款中相应调整对应节点的</w:t>
      </w:r>
      <w:r>
        <w:rPr>
          <w:rFonts w:hint="eastAsia" w:ascii="仿宋" w:hAnsi="仿宋" w:eastAsia="仿宋"/>
          <w:color w:val="auto"/>
          <w:sz w:val="24"/>
          <w:szCs w:val="24"/>
          <w:highlight w:val="none"/>
        </w:rPr>
        <w:t>安全生产措施费</w:t>
      </w:r>
      <w:r>
        <w:rPr>
          <w:rFonts w:hint="eastAsia" w:ascii="仿宋" w:hAnsi="仿宋" w:eastAsia="仿宋"/>
          <w:color w:val="auto"/>
          <w:sz w:val="24"/>
          <w:szCs w:val="24"/>
          <w:highlight w:val="none"/>
          <w:lang w:eastAsia="zh-CN"/>
        </w:rPr>
        <w:t>，总付款比例不超过90%，</w:t>
      </w:r>
      <w:r>
        <w:rPr>
          <w:rFonts w:hint="eastAsia" w:ascii="仿宋" w:hAnsi="仿宋" w:eastAsia="仿宋"/>
          <w:color w:val="auto"/>
          <w:sz w:val="24"/>
          <w:szCs w:val="24"/>
          <w:highlight w:val="none"/>
          <w:lang w:val="en-US" w:eastAsia="zh-CN"/>
        </w:rPr>
        <w:t>待取得建设部门颁布的安全评定结果告知书后支付至100%</w:t>
      </w:r>
      <w:r>
        <w:rPr>
          <w:rFonts w:hint="eastAsia" w:ascii="仿宋" w:hAnsi="仿宋" w:eastAsia="仿宋"/>
          <w:color w:val="auto"/>
          <w:sz w:val="24"/>
          <w:szCs w:val="24"/>
          <w:highlight w:val="none"/>
          <w:lang w:eastAsia="zh-CN"/>
        </w:rPr>
        <w:t>。</w:t>
      </w:r>
    </w:p>
    <w:p w14:paraId="4D134EB7">
      <w:pPr>
        <w:shd w:val="clear"/>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4.</w:t>
      </w:r>
      <w:r>
        <w:rPr>
          <w:rFonts w:ascii="仿宋" w:hAnsi="仿宋" w:eastAsia="仿宋"/>
          <w:color w:val="auto"/>
          <w:sz w:val="24"/>
          <w:szCs w:val="24"/>
          <w:highlight w:val="none"/>
          <w:lang w:eastAsia="zh-CN"/>
        </w:rPr>
        <w:t>若承包人未专款专用</w:t>
      </w:r>
      <w:r>
        <w:rPr>
          <w:rFonts w:hint="eastAsia" w:ascii="仿宋" w:hAnsi="仿宋" w:eastAsia="仿宋"/>
          <w:color w:val="auto"/>
          <w:sz w:val="24"/>
          <w:szCs w:val="24"/>
          <w:highlight w:val="none"/>
        </w:rPr>
        <w:t>安全生产措施费</w:t>
      </w:r>
      <w:r>
        <w:rPr>
          <w:rFonts w:ascii="仿宋" w:hAnsi="仿宋" w:eastAsia="仿宋"/>
          <w:color w:val="auto"/>
          <w:sz w:val="24"/>
          <w:szCs w:val="24"/>
          <w:highlight w:val="none"/>
          <w:lang w:eastAsia="zh-CN"/>
        </w:rPr>
        <w:t>，经查证实，应承担严重违约责任一次。</w:t>
      </w:r>
    </w:p>
    <w:p w14:paraId="73603F54">
      <w:pPr>
        <w:shd w:val="clear"/>
        <w:spacing w:line="360" w:lineRule="auto"/>
        <w:ind w:left="0" w:leftChars="0"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lang w:eastAsia="zh-CN"/>
        </w:rPr>
        <w:t>对于承包人</w:t>
      </w:r>
      <w:r>
        <w:rPr>
          <w:rFonts w:hint="eastAsia" w:ascii="仿宋" w:hAnsi="仿宋" w:eastAsia="仿宋"/>
          <w:color w:val="auto"/>
          <w:sz w:val="24"/>
          <w:szCs w:val="24"/>
          <w:highlight w:val="none"/>
        </w:rPr>
        <w:t>安全生产措施</w:t>
      </w:r>
      <w:r>
        <w:rPr>
          <w:rFonts w:hint="eastAsia" w:ascii="仿宋" w:hAnsi="仿宋" w:eastAsia="仿宋"/>
          <w:color w:val="auto"/>
          <w:sz w:val="24"/>
          <w:szCs w:val="24"/>
          <w:highlight w:val="none"/>
          <w:lang w:eastAsia="zh-CN"/>
        </w:rPr>
        <w:t>防护不到位的情况，发包人有权扣减其</w:t>
      </w:r>
      <w:r>
        <w:rPr>
          <w:rFonts w:hint="eastAsia" w:ascii="仿宋" w:hAnsi="仿宋" w:eastAsia="仿宋"/>
          <w:color w:val="auto"/>
          <w:sz w:val="24"/>
          <w:szCs w:val="24"/>
          <w:highlight w:val="none"/>
        </w:rPr>
        <w:t>安全生产措施费</w:t>
      </w:r>
      <w:r>
        <w:rPr>
          <w:rFonts w:hint="eastAsia" w:ascii="仿宋" w:hAnsi="仿宋" w:eastAsia="仿宋"/>
          <w:color w:val="auto"/>
          <w:sz w:val="24"/>
          <w:szCs w:val="24"/>
          <w:highlight w:val="none"/>
          <w:lang w:eastAsia="zh-CN"/>
        </w:rPr>
        <w:t>，或由监理人委托他人实施，费用从承包人</w:t>
      </w:r>
      <w:r>
        <w:rPr>
          <w:rFonts w:hint="eastAsia" w:ascii="仿宋" w:hAnsi="仿宋" w:eastAsia="仿宋"/>
          <w:color w:val="auto"/>
          <w:sz w:val="24"/>
          <w:szCs w:val="24"/>
          <w:highlight w:val="none"/>
        </w:rPr>
        <w:t>安全生产措施费</w:t>
      </w:r>
      <w:r>
        <w:rPr>
          <w:rFonts w:hint="eastAsia" w:ascii="仿宋" w:hAnsi="仿宋" w:eastAsia="仿宋"/>
          <w:color w:val="auto"/>
          <w:sz w:val="24"/>
          <w:szCs w:val="24"/>
          <w:highlight w:val="none"/>
          <w:lang w:eastAsia="zh-CN"/>
        </w:rPr>
        <w:t>中扣除。</w:t>
      </w:r>
    </w:p>
    <w:p w14:paraId="7EC96E27">
      <w:pPr>
        <w:shd w:val="clear"/>
        <w:spacing w:line="360" w:lineRule="auto"/>
        <w:ind w:left="174" w:leftChars="83" w:firstLine="240" w:firstLineChars="100"/>
        <w:rPr>
          <w:rFonts w:ascii="仿宋" w:hAnsi="仿宋" w:eastAsia="仿宋" w:cs="仿宋"/>
          <w:color w:val="auto"/>
          <w:sz w:val="24"/>
          <w:szCs w:val="24"/>
          <w:highlight w:val="none"/>
          <w:lang w:eastAsia="zh-CN"/>
        </w:rPr>
      </w:pP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安全生产措施费</w:t>
      </w:r>
      <w:r>
        <w:rPr>
          <w:rFonts w:hint="eastAsia" w:ascii="仿宋" w:hAnsi="仿宋" w:eastAsia="仿宋" w:cs="仿宋"/>
          <w:color w:val="auto"/>
          <w:sz w:val="24"/>
          <w:szCs w:val="24"/>
          <w:highlight w:val="none"/>
          <w:u w:val="single"/>
          <w:lang w:eastAsia="zh-CN"/>
        </w:rPr>
        <w:t>实行单列支付、专款专用。承包人应在财务账目中单独列项备查，不得挪作他用，否则发包人有权责令其限期改正；逾期未改正的，可以责令其暂停施工，由此增加的费用和（或）延误的工期由承包人承担。</w:t>
      </w:r>
    </w:p>
    <w:p w14:paraId="03330894">
      <w:pPr>
        <w:shd w:val="clear"/>
        <w:adjustRightInd w:val="0"/>
        <w:snapToGrid w:val="0"/>
        <w:spacing w:line="360" w:lineRule="auto"/>
        <w:ind w:right="11" w:firstLine="460" w:firstLineChars="192"/>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30.2.2 </w:t>
      </w:r>
      <w:r>
        <w:rPr>
          <w:rFonts w:hint="eastAsia" w:ascii="仿宋" w:hAnsi="仿宋" w:eastAsia="仿宋" w:cs="仿宋"/>
          <w:snapToGrid w:val="0"/>
          <w:color w:val="auto"/>
          <w:kern w:val="0"/>
          <w:sz w:val="24"/>
          <w:highlight w:val="none"/>
          <w:lang w:val="en-US" w:eastAsia="zh-CN"/>
        </w:rPr>
        <w:t>主体装修改造</w:t>
      </w:r>
      <w:r>
        <w:rPr>
          <w:rFonts w:hint="eastAsia" w:ascii="仿宋" w:hAnsi="仿宋" w:eastAsia="仿宋" w:cs="仿宋"/>
          <w:color w:val="auto"/>
          <w:kern w:val="0"/>
          <w:sz w:val="24"/>
          <w:szCs w:val="24"/>
          <w:highlight w:val="none"/>
          <w:lang w:val="en-US" w:eastAsia="zh-CN"/>
        </w:rPr>
        <w:t>工程进度款支付原则：</w:t>
      </w:r>
    </w:p>
    <w:p w14:paraId="4CE5227D">
      <w:pPr>
        <w:pStyle w:val="8"/>
        <w:numPr>
          <w:ilvl w:val="-1"/>
          <w:numId w:val="0"/>
        </w:numPr>
        <w:shd w:val="clear"/>
        <w:spacing w:line="360" w:lineRule="auto"/>
        <w:ind w:firstLine="240" w:firstLineChars="100"/>
        <w:rPr>
          <w:rFonts w:hint="eastAsia" w:ascii="仿宋" w:hAnsi="仿宋" w:eastAsia="仿宋"/>
          <w:color w:val="FF0000"/>
          <w:sz w:val="24"/>
          <w:szCs w:val="24"/>
          <w:highlight w:val="none"/>
          <w:u w:val="singl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olor w:val="FF0000"/>
          <w:sz w:val="24"/>
          <w:szCs w:val="24"/>
          <w:highlight w:val="none"/>
          <w:u w:val="single"/>
          <w:lang w:eastAsia="zh-CN"/>
        </w:rPr>
        <w:t>月进度款按经审核的已标价工程量清单计量，支付申请经审批后</w:t>
      </w:r>
      <w:r>
        <w:rPr>
          <w:rFonts w:hint="eastAsia" w:ascii="仿宋" w:hAnsi="仿宋" w:eastAsia="仿宋"/>
          <w:color w:val="FF0000"/>
          <w:sz w:val="24"/>
          <w:szCs w:val="24"/>
          <w:highlight w:val="none"/>
          <w:u w:val="single"/>
          <w:lang w:val="en-US" w:eastAsia="zh-CN"/>
        </w:rPr>
        <w:t>30</w:t>
      </w:r>
      <w:r>
        <w:rPr>
          <w:rFonts w:hint="eastAsia" w:ascii="仿宋" w:hAnsi="仿宋" w:eastAsia="仿宋"/>
          <w:color w:val="FF0000"/>
          <w:sz w:val="24"/>
          <w:szCs w:val="24"/>
          <w:highlight w:val="none"/>
          <w:u w:val="single"/>
          <w:lang w:eastAsia="zh-CN"/>
        </w:rPr>
        <w:t>个工作日内支付。月工程进度款=当月完成合格工程量的金额×</w:t>
      </w:r>
      <w:r>
        <w:rPr>
          <w:rFonts w:hint="eastAsia" w:ascii="仿宋" w:hAnsi="仿宋" w:eastAsia="仿宋"/>
          <w:color w:val="FF0000"/>
          <w:sz w:val="24"/>
          <w:szCs w:val="24"/>
          <w:highlight w:val="none"/>
          <w:u w:val="single"/>
          <w:lang w:val="en-US" w:eastAsia="zh-CN"/>
        </w:rPr>
        <w:t>6</w:t>
      </w:r>
      <w:r>
        <w:rPr>
          <w:rFonts w:hint="eastAsia" w:ascii="仿宋" w:hAnsi="仿宋" w:eastAsia="仿宋"/>
          <w:color w:val="FF0000"/>
          <w:sz w:val="24"/>
          <w:szCs w:val="24"/>
          <w:highlight w:val="none"/>
          <w:u w:val="single"/>
          <w:lang w:eastAsia="zh-CN"/>
        </w:rPr>
        <w:t>0％-当月应扣款。进度款（</w:t>
      </w:r>
      <w:r>
        <w:rPr>
          <w:rFonts w:hint="eastAsia" w:ascii="仿宋" w:hAnsi="仿宋" w:eastAsia="仿宋"/>
          <w:color w:val="FF0000"/>
          <w:sz w:val="24"/>
          <w:szCs w:val="24"/>
          <w:highlight w:val="none"/>
          <w:u w:val="single"/>
          <w:lang w:val="en-US" w:eastAsia="zh-CN"/>
        </w:rPr>
        <w:t>含预付款）</w:t>
      </w:r>
      <w:r>
        <w:rPr>
          <w:rFonts w:hint="eastAsia" w:ascii="仿宋" w:hAnsi="仿宋" w:eastAsia="仿宋"/>
          <w:color w:val="FF0000"/>
          <w:sz w:val="24"/>
          <w:szCs w:val="24"/>
          <w:highlight w:val="none"/>
          <w:u w:val="single"/>
          <w:lang w:eastAsia="zh-CN"/>
        </w:rPr>
        <w:t>累计支付不超过</w:t>
      </w:r>
      <w:r>
        <w:rPr>
          <w:rFonts w:hint="eastAsia" w:ascii="仿宋" w:hAnsi="仿宋" w:eastAsia="仿宋"/>
          <w:color w:val="FF0000"/>
          <w:sz w:val="24"/>
          <w:szCs w:val="24"/>
          <w:highlight w:val="none"/>
          <w:u w:val="single"/>
          <w:lang w:val="en-US" w:eastAsia="zh-CN"/>
        </w:rPr>
        <w:t>主体装修工程</w:t>
      </w:r>
      <w:r>
        <w:rPr>
          <w:rFonts w:hint="eastAsia" w:ascii="仿宋" w:hAnsi="仿宋" w:eastAsia="仿宋"/>
          <w:color w:val="FF0000"/>
          <w:sz w:val="24"/>
          <w:szCs w:val="24"/>
          <w:highlight w:val="none"/>
          <w:u w:val="single"/>
          <w:lang w:eastAsia="zh-CN"/>
        </w:rPr>
        <w:t>合同价的80%。</w:t>
      </w:r>
    </w:p>
    <w:p w14:paraId="054EB9AE">
      <w:pPr>
        <w:pStyle w:val="8"/>
        <w:numPr>
          <w:ilvl w:val="-1"/>
          <w:numId w:val="0"/>
        </w:numPr>
        <w:shd w:val="clear"/>
        <w:spacing w:line="360" w:lineRule="auto"/>
        <w:ind w:firstLine="240" w:firstLineChars="100"/>
        <w:rPr>
          <w:rFonts w:hint="eastAsia" w:ascii="仿宋" w:hAnsi="仿宋" w:eastAsia="仿宋"/>
          <w:color w:val="FF0000"/>
          <w:sz w:val="24"/>
          <w:szCs w:val="24"/>
          <w:highlight w:val="none"/>
          <w:u w:val="singl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olor w:val="FF0000"/>
          <w:sz w:val="24"/>
          <w:szCs w:val="24"/>
          <w:highlight w:val="none"/>
          <w:u w:val="single"/>
          <w:lang w:eastAsia="zh-CN"/>
        </w:rPr>
        <w:t>按合同约定的计价方式签订补充协议之后，月进度款按签订的补充协议已标价工程量清单计量，月工程进度款=当月已完成合格工程量的金额×</w:t>
      </w:r>
      <w:r>
        <w:rPr>
          <w:rFonts w:hint="eastAsia" w:ascii="仿宋" w:hAnsi="仿宋" w:eastAsia="仿宋"/>
          <w:color w:val="FF0000"/>
          <w:sz w:val="24"/>
          <w:szCs w:val="24"/>
          <w:highlight w:val="none"/>
          <w:u w:val="single"/>
          <w:lang w:val="en-US" w:eastAsia="zh-CN"/>
        </w:rPr>
        <w:t>6</w:t>
      </w:r>
      <w:r>
        <w:rPr>
          <w:rFonts w:hint="eastAsia" w:ascii="仿宋" w:hAnsi="仿宋" w:eastAsia="仿宋"/>
          <w:color w:val="FF0000"/>
          <w:sz w:val="24"/>
          <w:szCs w:val="24"/>
          <w:highlight w:val="none"/>
          <w:u w:val="single"/>
          <w:lang w:eastAsia="zh-CN"/>
        </w:rPr>
        <w:t>0％-当月应扣款。项目整体竣工验收前，进度款（</w:t>
      </w:r>
      <w:r>
        <w:rPr>
          <w:rFonts w:hint="eastAsia" w:ascii="仿宋" w:hAnsi="仿宋" w:eastAsia="仿宋"/>
          <w:color w:val="FF0000"/>
          <w:sz w:val="24"/>
          <w:szCs w:val="24"/>
          <w:highlight w:val="none"/>
          <w:u w:val="single"/>
          <w:lang w:val="en-US" w:eastAsia="zh-CN"/>
        </w:rPr>
        <w:t>含预付款）</w:t>
      </w:r>
      <w:r>
        <w:rPr>
          <w:rFonts w:hint="eastAsia" w:ascii="仿宋" w:hAnsi="仿宋" w:eastAsia="仿宋"/>
          <w:color w:val="FF0000"/>
          <w:sz w:val="24"/>
          <w:szCs w:val="24"/>
          <w:highlight w:val="none"/>
          <w:u w:val="single"/>
          <w:lang w:eastAsia="zh-CN"/>
        </w:rPr>
        <w:t>累计支付不超过签订的</w:t>
      </w:r>
      <w:r>
        <w:rPr>
          <w:rFonts w:hint="eastAsia" w:ascii="仿宋" w:hAnsi="仿宋" w:eastAsia="仿宋"/>
          <w:color w:val="FF0000"/>
          <w:sz w:val="24"/>
          <w:szCs w:val="24"/>
          <w:highlight w:val="none"/>
          <w:u w:val="single"/>
          <w:lang w:val="en-US" w:eastAsia="zh-CN"/>
        </w:rPr>
        <w:t>主体装修工程</w:t>
      </w:r>
      <w:r>
        <w:rPr>
          <w:rFonts w:hint="eastAsia" w:ascii="仿宋" w:hAnsi="仿宋" w:eastAsia="仿宋"/>
          <w:color w:val="FF0000"/>
          <w:sz w:val="24"/>
          <w:szCs w:val="24"/>
          <w:highlight w:val="none"/>
          <w:u w:val="single"/>
          <w:lang w:eastAsia="zh-CN"/>
        </w:rPr>
        <w:t>补充协议合同价（不含设计费用</w:t>
      </w:r>
      <w:r>
        <w:rPr>
          <w:rFonts w:hint="eastAsia" w:ascii="仿宋" w:hAnsi="仿宋" w:eastAsia="仿宋"/>
          <w:strike w:val="0"/>
          <w:color w:val="FF0000"/>
          <w:sz w:val="24"/>
          <w:szCs w:val="24"/>
          <w:highlight w:val="none"/>
          <w:u w:val="single"/>
          <w:lang w:eastAsia="zh-CN"/>
        </w:rPr>
        <w:t>，同时扣除</w:t>
      </w:r>
      <w:r>
        <w:rPr>
          <w:rFonts w:hint="eastAsia" w:ascii="仿宋" w:hAnsi="仿宋" w:eastAsia="仿宋"/>
          <w:color w:val="FF0000"/>
          <w:sz w:val="24"/>
          <w:szCs w:val="24"/>
          <w:highlight w:val="none"/>
          <w:u w:val="single"/>
          <w:lang w:eastAsia="zh-CN"/>
        </w:rPr>
        <w:t>暂列金额）的80%。</w:t>
      </w:r>
    </w:p>
    <w:p w14:paraId="613561DA">
      <w:pPr>
        <w:shd w:val="clea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woUserID w:val="1"/>
        </w:rPr>
        <w:t>工程竣工结算经终审部门评审出具结算评审报告后</w:t>
      </w:r>
      <w:r>
        <w:rPr>
          <w:rFonts w:hint="eastAsia" w:ascii="仿宋" w:hAnsi="仿宋" w:eastAsia="仿宋"/>
          <w:color w:val="FF0000"/>
          <w:sz w:val="24"/>
          <w:szCs w:val="24"/>
          <w:highlight w:val="none"/>
          <w:u w:val="single"/>
          <w:lang w:eastAsia="zh-CN"/>
        </w:rPr>
        <w:t>，支付至</w:t>
      </w:r>
      <w:r>
        <w:rPr>
          <w:rFonts w:hint="eastAsia" w:ascii="仿宋" w:hAnsi="仿宋" w:eastAsia="仿宋"/>
          <w:color w:val="FF0000"/>
          <w:sz w:val="24"/>
          <w:szCs w:val="24"/>
          <w:highlight w:val="none"/>
          <w:u w:val="single"/>
          <w:lang w:val="en-US" w:eastAsia="zh-CN"/>
        </w:rPr>
        <w:t>主体装修工程</w:t>
      </w:r>
      <w:r>
        <w:rPr>
          <w:rFonts w:hint="eastAsia" w:ascii="仿宋" w:hAnsi="仿宋" w:eastAsia="仿宋"/>
          <w:color w:val="FF0000"/>
          <w:sz w:val="24"/>
          <w:szCs w:val="24"/>
          <w:highlight w:val="none"/>
          <w:u w:val="single"/>
          <w:lang w:eastAsia="zh-CN"/>
        </w:rPr>
        <w:t>结算价的97%。</w:t>
      </w:r>
      <w:r>
        <w:rPr>
          <w:rFonts w:hint="eastAsia" w:ascii="仿宋" w:hAnsi="仿宋" w:eastAsia="仿宋" w:cs="仿宋"/>
          <w:color w:val="auto"/>
          <w:kern w:val="0"/>
          <w:sz w:val="24"/>
          <w:szCs w:val="24"/>
          <w:highlight w:val="none"/>
        </w:rPr>
        <w:t>预留结算金额的</w:t>
      </w:r>
      <w:r>
        <w:rPr>
          <w:rFonts w:hint="eastAsia" w:ascii="仿宋" w:hAnsi="仿宋" w:eastAsia="仿宋" w:cs="仿宋"/>
          <w:color w:val="auto"/>
          <w:kern w:val="0"/>
          <w:sz w:val="24"/>
          <w:szCs w:val="24"/>
          <w:highlight w:val="none"/>
          <w:lang w:val="en-US" w:eastAsia="zh-CN"/>
        </w:rPr>
        <w:t>3</w:t>
      </w:r>
      <w:r>
        <w:rPr>
          <w:rFonts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rPr>
        <w:t>作为工程质量保证金。工程质量保证金并按如下约定方式支付：</w:t>
      </w:r>
    </w:p>
    <w:p w14:paraId="424EB157">
      <w:pPr>
        <w:shd w:val="clear"/>
        <w:spacing w:line="360" w:lineRule="auto"/>
        <w:ind w:firstLine="480" w:firstLineChars="200"/>
        <w:rPr>
          <w:rFonts w:ascii="仿宋" w:hAnsi="仿宋" w:eastAsia="仿宋" w:cs="仿宋"/>
          <w:snapToGrid w:val="0"/>
          <w:color w:val="auto"/>
          <w:kern w:val="0"/>
          <w:sz w:val="24"/>
          <w:highlight w:val="none"/>
          <w:lang w:val="zh-CN"/>
        </w:rPr>
      </w:pPr>
      <w:r>
        <w:rPr>
          <w:rFonts w:hint="eastAsia" w:ascii="仿宋" w:hAnsi="仿宋" w:eastAsia="仿宋" w:cs="仿宋"/>
          <w:snapToGrid w:val="0"/>
          <w:color w:val="auto"/>
          <w:kern w:val="0"/>
          <w:sz w:val="24"/>
          <w:highlight w:val="none"/>
          <w:lang w:val="zh-CN"/>
        </w:rPr>
        <w:t>1）保修期内，由承包人原因造成的缺陷，承包人应负责维修，并承担鉴定及维修费用；如承包人不维修也不承担费用，发包人可按合同约定扣除工程质量保证金，并由承包人承担违约责任；承包人维修并承担相应费用后，不免除承担对工程损失的赔偿责任。</w:t>
      </w:r>
    </w:p>
    <w:p w14:paraId="6706507B">
      <w:pPr>
        <w:shd w:val="clear"/>
        <w:spacing w:line="360" w:lineRule="auto"/>
        <w:ind w:firstLine="480" w:firstLineChars="200"/>
        <w:rPr>
          <w:rFonts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highlight w:val="none"/>
          <w:lang w:val="zh-CN"/>
        </w:rPr>
        <w:t>2）</w:t>
      </w:r>
      <w:r>
        <w:rPr>
          <w:rFonts w:hint="eastAsia" w:ascii="仿宋" w:hAnsi="仿宋" w:eastAsia="仿宋" w:cs="仿宋"/>
          <w:snapToGrid w:val="0"/>
          <w:color w:val="auto"/>
          <w:kern w:val="0"/>
          <w:sz w:val="24"/>
          <w:szCs w:val="22"/>
          <w:highlight w:val="none"/>
          <w:lang w:val="zh-CN"/>
        </w:rPr>
        <w:t>工程竣工验收合格后满</w:t>
      </w:r>
      <w:r>
        <w:rPr>
          <w:rFonts w:hint="eastAsia" w:ascii="仿宋" w:hAnsi="仿宋" w:eastAsia="仿宋" w:cs="仿宋"/>
          <w:snapToGrid w:val="0"/>
          <w:color w:val="auto"/>
          <w:kern w:val="0"/>
          <w:sz w:val="24"/>
          <w:szCs w:val="22"/>
          <w:highlight w:val="none"/>
          <w:lang w:val="en-US" w:eastAsia="zh-CN"/>
        </w:rPr>
        <w:t>2</w:t>
      </w:r>
      <w:r>
        <w:rPr>
          <w:rFonts w:ascii="仿宋" w:hAnsi="仿宋" w:eastAsia="仿宋" w:cs="仿宋"/>
          <w:snapToGrid w:val="0"/>
          <w:color w:val="auto"/>
          <w:kern w:val="0"/>
          <w:sz w:val="24"/>
          <w:szCs w:val="22"/>
          <w:highlight w:val="none"/>
          <w:lang w:val="zh-CN"/>
        </w:rPr>
        <w:t>年</w:t>
      </w:r>
      <w:r>
        <w:rPr>
          <w:rFonts w:hint="eastAsia" w:ascii="仿宋" w:hAnsi="仿宋" w:eastAsia="仿宋" w:cs="仿宋"/>
          <w:snapToGrid w:val="0"/>
          <w:color w:val="auto"/>
          <w:kern w:val="0"/>
          <w:sz w:val="24"/>
          <w:szCs w:val="22"/>
          <w:highlight w:val="none"/>
          <w:lang w:val="zh-CN"/>
        </w:rPr>
        <w:t>，且承包人在此</w:t>
      </w:r>
      <w:r>
        <w:rPr>
          <w:rFonts w:hint="eastAsia" w:ascii="仿宋" w:hAnsi="仿宋" w:eastAsia="仿宋" w:cs="仿宋"/>
          <w:snapToGrid w:val="0"/>
          <w:color w:val="auto"/>
          <w:kern w:val="0"/>
          <w:sz w:val="24"/>
          <w:szCs w:val="22"/>
          <w:highlight w:val="none"/>
          <w:lang w:val="en-US" w:eastAsia="zh-CN"/>
        </w:rPr>
        <w:t>2</w:t>
      </w:r>
      <w:r>
        <w:rPr>
          <w:rFonts w:hint="eastAsia" w:ascii="仿宋" w:hAnsi="仿宋" w:eastAsia="仿宋" w:cs="仿宋"/>
          <w:snapToGrid w:val="0"/>
          <w:color w:val="auto"/>
          <w:kern w:val="0"/>
          <w:sz w:val="24"/>
          <w:szCs w:val="22"/>
          <w:highlight w:val="none"/>
          <w:lang w:val="zh-CN"/>
        </w:rPr>
        <w:t>年内未出现违约情形，发包人应在收到承包人的款项申请手续且扣除应扣款项后</w:t>
      </w:r>
      <w:r>
        <w:rPr>
          <w:rFonts w:hint="default" w:ascii="仿宋" w:hAnsi="仿宋" w:eastAsia="仿宋" w:cs="仿宋"/>
          <w:snapToGrid w:val="0"/>
          <w:color w:val="auto"/>
          <w:kern w:val="0"/>
          <w:sz w:val="24"/>
          <w:szCs w:val="22"/>
          <w:highlight w:val="none"/>
          <w:lang w:val="en-US" w:eastAsia="zh-CN"/>
        </w:rPr>
        <w:t>45</w:t>
      </w:r>
      <w:r>
        <w:rPr>
          <w:rFonts w:hint="eastAsia" w:ascii="仿宋" w:hAnsi="仿宋" w:eastAsia="仿宋" w:cs="仿宋"/>
          <w:snapToGrid w:val="0"/>
          <w:color w:val="auto"/>
          <w:kern w:val="0"/>
          <w:sz w:val="24"/>
          <w:szCs w:val="22"/>
          <w:highlight w:val="none"/>
          <w:lang w:val="zh-CN"/>
        </w:rPr>
        <w:t>天内将本合同</w:t>
      </w:r>
      <w:r>
        <w:rPr>
          <w:rFonts w:hint="eastAsia" w:ascii="仿宋" w:hAnsi="仿宋" w:eastAsia="仿宋" w:cs="仿宋"/>
          <w:snapToGrid w:val="0"/>
          <w:color w:val="auto"/>
          <w:kern w:val="0"/>
          <w:sz w:val="24"/>
          <w:highlight w:val="none"/>
          <w:lang w:val="en-US" w:eastAsia="zh-CN"/>
        </w:rPr>
        <w:t>主体装修改造工程</w:t>
      </w:r>
      <w:r>
        <w:rPr>
          <w:rFonts w:hint="eastAsia" w:ascii="仿宋" w:hAnsi="仿宋" w:eastAsia="仿宋" w:cs="仿宋"/>
          <w:snapToGrid w:val="0"/>
          <w:color w:val="auto"/>
          <w:kern w:val="0"/>
          <w:sz w:val="24"/>
          <w:szCs w:val="22"/>
          <w:highlight w:val="none"/>
          <w:lang w:val="zh-CN"/>
        </w:rPr>
        <w:t>结算定审金额的3%无息支付给承包人。</w:t>
      </w:r>
    </w:p>
    <w:p w14:paraId="0D14DFD1">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结清工程款尾款不豁免承包人继续按照本合同（含合同附件）约定应承担的保修责任。</w:t>
      </w:r>
    </w:p>
    <w:p w14:paraId="340969DB">
      <w:pPr>
        <w:numPr>
          <w:ilvl w:val="0"/>
          <w:numId w:val="6"/>
        </w:numPr>
        <w:shd w:val="clear"/>
        <w:adjustRightInd w:val="0"/>
        <w:snapToGrid w:val="0"/>
        <w:spacing w:line="360" w:lineRule="auto"/>
        <w:ind w:firstLine="46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本合同约定的所有施工费统一由承包人中承担施工任务的联合体主办单位：</w:t>
      </w:r>
      <w:r>
        <w:rPr>
          <w:rFonts w:hint="eastAsia" w:ascii="仿宋" w:hAnsi="仿宋" w:eastAsia="仿宋" w:cs="仿宋"/>
          <w:color w:val="FF0000"/>
          <w:kern w:val="0"/>
          <w:sz w:val="24"/>
          <w:szCs w:val="24"/>
          <w:highlight w:val="none"/>
          <w:u w:val="single"/>
        </w:rPr>
        <w:t xml:space="preserve"> </w:t>
      </w:r>
      <w:r>
        <w:rPr>
          <w:rFonts w:hint="eastAsia" w:ascii="仿宋" w:hAnsi="仿宋" w:eastAsia="仿宋" w:cs="仿宋"/>
          <w:color w:val="FF0000"/>
          <w:kern w:val="0"/>
          <w:sz w:val="24"/>
          <w:szCs w:val="24"/>
          <w:highlight w:val="none"/>
          <w:u w:val="single"/>
          <w:lang w:val="en-US" w:eastAsia="zh-CN"/>
        </w:rPr>
        <w:t xml:space="preserve">           </w:t>
      </w:r>
      <w:r>
        <w:rPr>
          <w:rFonts w:hint="eastAsia" w:ascii="仿宋" w:hAnsi="仿宋" w:eastAsia="仿宋" w:cs="仿宋"/>
          <w:color w:val="FF0000"/>
          <w:kern w:val="0"/>
          <w:sz w:val="24"/>
          <w:szCs w:val="24"/>
          <w:highlight w:val="none"/>
          <w:u w:val="single"/>
        </w:rPr>
        <w:t xml:space="preserve"> </w:t>
      </w:r>
      <w:r>
        <w:rPr>
          <w:rFonts w:hint="eastAsia" w:ascii="仿宋" w:hAnsi="仿宋" w:eastAsia="仿宋" w:cs="仿宋"/>
          <w:color w:val="auto"/>
          <w:kern w:val="0"/>
          <w:sz w:val="24"/>
          <w:szCs w:val="24"/>
          <w:highlight w:val="none"/>
        </w:rPr>
        <w:t>收取。</w:t>
      </w:r>
    </w:p>
    <w:p w14:paraId="33275A40">
      <w:pPr>
        <w:shd w:val="clear"/>
        <w:adjustRightInd w:val="0"/>
        <w:snapToGrid w:val="0"/>
        <w:spacing w:line="360" w:lineRule="auto"/>
        <w:ind w:right="11" w:firstLine="460" w:firstLineChars="192"/>
        <w:rPr>
          <w:highlight w:val="none"/>
        </w:rPr>
      </w:pPr>
      <w:r>
        <w:rPr>
          <w:rFonts w:hint="eastAsia" w:ascii="仿宋" w:hAnsi="仿宋" w:eastAsia="仿宋" w:cs="仿宋"/>
          <w:color w:val="auto"/>
          <w:kern w:val="0"/>
          <w:sz w:val="24"/>
          <w:highlight w:val="none"/>
        </w:rPr>
        <w:t>30.</w:t>
      </w:r>
      <w:r>
        <w:rPr>
          <w:rFonts w:hint="eastAsia" w:ascii="仿宋" w:hAnsi="仿宋" w:eastAsia="仿宋" w:cs="仿宋"/>
          <w:color w:val="auto"/>
          <w:kern w:val="0"/>
          <w:sz w:val="24"/>
          <w:highlight w:val="none"/>
          <w:lang w:val="en-US" w:eastAsia="zh-CN"/>
        </w:rPr>
        <w:t>3</w:t>
      </w:r>
      <w:r>
        <w:rPr>
          <w:rFonts w:hint="eastAsia" w:ascii="仿宋" w:hAnsi="仿宋" w:eastAsia="仿宋" w:cs="仿宋"/>
          <w:snapToGrid w:val="0"/>
          <w:color w:val="auto"/>
          <w:kern w:val="0"/>
          <w:sz w:val="24"/>
          <w:highlight w:val="none"/>
        </w:rPr>
        <w:t>展陈</w:t>
      </w:r>
      <w:r>
        <w:rPr>
          <w:rFonts w:hint="eastAsia" w:ascii="仿宋" w:hAnsi="仿宋" w:eastAsia="仿宋" w:cs="仿宋"/>
          <w:snapToGrid w:val="0"/>
          <w:color w:val="auto"/>
          <w:kern w:val="0"/>
          <w:sz w:val="24"/>
          <w:highlight w:val="none"/>
          <w:lang w:val="en-US" w:eastAsia="zh-CN"/>
        </w:rPr>
        <w:t>物料、</w:t>
      </w:r>
      <w:r>
        <w:rPr>
          <w:rFonts w:hint="eastAsia" w:ascii="仿宋" w:hAnsi="仿宋" w:eastAsia="仿宋" w:cs="仿宋"/>
          <w:snapToGrid w:val="0"/>
          <w:color w:val="auto"/>
          <w:kern w:val="0"/>
          <w:sz w:val="24"/>
          <w:highlight w:val="none"/>
        </w:rPr>
        <w:t>设备及数字内容策划及制作进度款支付原则</w:t>
      </w:r>
    </w:p>
    <w:p w14:paraId="6C7A703A">
      <w:pPr>
        <w:numPr>
          <w:ilvl w:val="0"/>
          <w:numId w:val="7"/>
        </w:numPr>
        <w:shd w:val="clear"/>
        <w:spacing w:line="360" w:lineRule="auto"/>
        <w:ind w:firstLine="480" w:firstLineChars="200"/>
        <w:rPr>
          <w:rFonts w:hint="eastAsia" w:ascii="仿宋" w:hAnsi="仿宋" w:eastAsia="仿宋" w:cs="仿宋"/>
          <w:snapToGrid w:val="0"/>
          <w:color w:val="auto"/>
          <w:kern w:val="0"/>
          <w:sz w:val="24"/>
          <w:highlight w:val="none"/>
          <w:lang w:val="en-US" w:eastAsia="zh-CN"/>
        </w:rPr>
      </w:pPr>
      <w:r>
        <w:rPr>
          <w:rFonts w:hint="eastAsia" w:ascii="仿宋" w:hAnsi="仿宋" w:eastAsia="仿宋" w:cs="仿宋"/>
          <w:color w:val="auto"/>
          <w:sz w:val="24"/>
          <w:szCs w:val="24"/>
          <w:highlight w:val="none"/>
          <w:lang w:val="en-US" w:eastAsia="zh-CN"/>
        </w:rPr>
        <w:t>展陈物料、设备进度款支付原则：</w:t>
      </w:r>
    </w:p>
    <w:p w14:paraId="6B41DA44">
      <w:pPr>
        <w:numPr>
          <w:ilvl w:val="-1"/>
          <w:numId w:val="0"/>
        </w:num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1）乙方按本合同约定全部物料、设备到场，并经甲方确认后，甲方向乙方支付至已到场展陈物料及设备对应合同金额的40%（含预付款）；</w:t>
      </w:r>
    </w:p>
    <w:p w14:paraId="2C48A999">
      <w:pPr>
        <w:numPr>
          <w:ilvl w:val="-1"/>
          <w:numId w:val="0"/>
        </w:numPr>
        <w:shd w:val="clea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2）乙方完成全部展陈物料的上墙及设备的安装、调试，且数字内容完整集成并稳定运行，经甲方现场验收合格后，甲方向乙方支付至已完成展陈物料及设备对应合同金额的80%（含预付款）。</w:t>
      </w:r>
    </w:p>
    <w:p w14:paraId="033453D6">
      <w:pPr>
        <w:numPr>
          <w:ilvl w:val="-1"/>
          <w:numId w:val="0"/>
        </w:numPr>
        <w:shd w:val="clear"/>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lang w:val="en-US" w:eastAsia="zh-CN"/>
        </w:rPr>
        <w:t>3）工程竣工结算经终审部门评审出具结算评审报告后，支付至展陈物料及设备设备工程结算价的95%。</w:t>
      </w:r>
      <w:r>
        <w:rPr>
          <w:rFonts w:hint="eastAsia" w:ascii="仿宋" w:hAnsi="仿宋" w:eastAsia="仿宋" w:cs="仿宋"/>
          <w:color w:val="auto"/>
          <w:kern w:val="2"/>
          <w:sz w:val="24"/>
          <w:szCs w:val="24"/>
          <w:highlight w:val="none"/>
        </w:rPr>
        <w:t>预留结算金额的</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%作为</w:t>
      </w:r>
      <w:r>
        <w:rPr>
          <w:rFonts w:hint="eastAsia" w:ascii="仿宋" w:hAnsi="仿宋" w:eastAsia="仿宋" w:cs="仿宋"/>
          <w:color w:val="auto"/>
          <w:kern w:val="2"/>
          <w:sz w:val="24"/>
          <w:szCs w:val="24"/>
          <w:highlight w:val="none"/>
          <w:lang w:val="en-US" w:eastAsia="zh-CN"/>
        </w:rPr>
        <w:t>维护</w:t>
      </w:r>
      <w:r>
        <w:rPr>
          <w:rFonts w:hint="eastAsia" w:ascii="仿宋" w:hAnsi="仿宋" w:eastAsia="仿宋" w:cs="仿宋"/>
          <w:color w:val="auto"/>
          <w:kern w:val="2"/>
          <w:sz w:val="24"/>
          <w:szCs w:val="24"/>
          <w:highlight w:val="none"/>
        </w:rPr>
        <w:t>保证金。</w:t>
      </w:r>
      <w:r>
        <w:rPr>
          <w:rFonts w:hint="eastAsia" w:ascii="仿宋" w:hAnsi="仿宋" w:eastAsia="仿宋" w:cs="仿宋"/>
          <w:color w:val="auto"/>
          <w:kern w:val="2"/>
          <w:sz w:val="24"/>
          <w:szCs w:val="24"/>
          <w:highlight w:val="none"/>
          <w:lang w:val="en-US" w:eastAsia="zh-CN"/>
        </w:rPr>
        <w:t>维护</w:t>
      </w:r>
      <w:r>
        <w:rPr>
          <w:rFonts w:hint="eastAsia" w:ascii="仿宋" w:hAnsi="仿宋" w:eastAsia="仿宋" w:cs="仿宋"/>
          <w:color w:val="auto"/>
          <w:kern w:val="2"/>
          <w:sz w:val="24"/>
          <w:szCs w:val="24"/>
          <w:highlight w:val="none"/>
        </w:rPr>
        <w:t>保证金并按如下约定方式支付：</w:t>
      </w:r>
    </w:p>
    <w:p w14:paraId="52881BF8">
      <w:pPr>
        <w:shd w:val="clear"/>
        <w:spacing w:line="360" w:lineRule="auto"/>
        <w:ind w:firstLine="480" w:firstLineChars="200"/>
        <w:rPr>
          <w:rFonts w:hint="eastAsia" w:ascii="仿宋" w:hAnsi="仿宋" w:eastAsia="仿宋" w:cs="仿宋"/>
          <w:snapToGrid w:val="0"/>
          <w:color w:val="auto"/>
          <w:kern w:val="0"/>
          <w:sz w:val="24"/>
          <w:highlight w:val="none"/>
          <w:lang w:val="en-US" w:eastAsia="zh-CN"/>
        </w:rPr>
      </w:pPr>
      <w:r>
        <w:rPr>
          <w:rFonts w:hint="eastAsia" w:ascii="仿宋" w:hAnsi="仿宋" w:eastAsia="仿宋" w:cs="仿宋"/>
          <w:snapToGrid/>
          <w:color w:val="auto"/>
          <w:kern w:val="2"/>
          <w:sz w:val="24"/>
          <w:szCs w:val="24"/>
          <w:highlight w:val="none"/>
          <w:lang w:val="en-US" w:eastAsia="zh-CN"/>
        </w:rPr>
        <w:t>展陈物料和设备的保修期为3年。维护期</w:t>
      </w:r>
      <w:r>
        <w:rPr>
          <w:rFonts w:hint="eastAsia" w:ascii="仿宋" w:hAnsi="仿宋" w:eastAsia="仿宋" w:cs="仿宋"/>
          <w:snapToGrid w:val="0"/>
          <w:color w:val="auto"/>
          <w:kern w:val="0"/>
          <w:sz w:val="24"/>
          <w:highlight w:val="none"/>
          <w:lang w:val="zh-CN"/>
        </w:rPr>
        <w:t>内，</w:t>
      </w:r>
      <w:r>
        <w:rPr>
          <w:rFonts w:hint="eastAsia" w:ascii="仿宋" w:hAnsi="仿宋" w:eastAsia="仿宋" w:cs="仿宋"/>
          <w:snapToGrid w:val="0"/>
          <w:color w:val="auto"/>
          <w:kern w:val="0"/>
          <w:sz w:val="24"/>
          <w:highlight w:val="none"/>
          <w:lang w:val="en-US" w:eastAsia="zh-CN"/>
        </w:rPr>
        <w:t>如发包人要求对已完工展陈物料部分进行更换，承包人应在每年不超过总面积30%的范围内予以更换并承担相应费用。因非发包人原因造成的展陈及设备损坏</w:t>
      </w:r>
      <w:r>
        <w:rPr>
          <w:rFonts w:hint="eastAsia" w:ascii="仿宋" w:hAnsi="仿宋" w:eastAsia="仿宋" w:cs="仿宋"/>
          <w:snapToGrid w:val="0"/>
          <w:color w:val="auto"/>
          <w:kern w:val="0"/>
          <w:sz w:val="24"/>
          <w:highlight w:val="none"/>
          <w:lang w:val="zh-CN"/>
        </w:rPr>
        <w:t>，承包人应负责维修，并承担维修费用；如承包人</w:t>
      </w:r>
      <w:r>
        <w:rPr>
          <w:rFonts w:hint="eastAsia" w:ascii="仿宋" w:hAnsi="仿宋" w:eastAsia="仿宋" w:cs="仿宋"/>
          <w:snapToGrid w:val="0"/>
          <w:color w:val="auto"/>
          <w:kern w:val="0"/>
          <w:sz w:val="24"/>
          <w:highlight w:val="none"/>
          <w:lang w:val="en-US" w:eastAsia="zh-CN"/>
        </w:rPr>
        <w:t>拒绝履行更换或维修义务</w:t>
      </w:r>
      <w:r>
        <w:rPr>
          <w:rFonts w:hint="eastAsia" w:ascii="仿宋" w:hAnsi="仿宋" w:eastAsia="仿宋" w:cs="仿宋"/>
          <w:snapToGrid w:val="0"/>
          <w:color w:val="auto"/>
          <w:kern w:val="0"/>
          <w:sz w:val="24"/>
          <w:highlight w:val="none"/>
          <w:lang w:val="zh-CN"/>
        </w:rPr>
        <w:t>，发包人</w:t>
      </w:r>
      <w:r>
        <w:rPr>
          <w:rFonts w:hint="eastAsia" w:ascii="仿宋" w:hAnsi="仿宋" w:eastAsia="仿宋" w:cs="仿宋"/>
          <w:snapToGrid w:val="0"/>
          <w:color w:val="auto"/>
          <w:kern w:val="0"/>
          <w:sz w:val="24"/>
          <w:highlight w:val="none"/>
          <w:lang w:val="en-US" w:eastAsia="zh-CN"/>
        </w:rPr>
        <w:t>有权</w:t>
      </w:r>
      <w:r>
        <w:rPr>
          <w:rFonts w:hint="eastAsia" w:ascii="仿宋" w:hAnsi="仿宋" w:eastAsia="仿宋" w:cs="仿宋"/>
          <w:snapToGrid w:val="0"/>
          <w:color w:val="auto"/>
          <w:kern w:val="0"/>
          <w:sz w:val="24"/>
          <w:highlight w:val="none"/>
          <w:lang w:val="zh-CN"/>
        </w:rPr>
        <w:t>按合同约定扣除</w:t>
      </w:r>
      <w:r>
        <w:rPr>
          <w:rFonts w:hint="eastAsia" w:ascii="仿宋" w:hAnsi="仿宋" w:eastAsia="仿宋" w:cs="仿宋"/>
          <w:snapToGrid w:val="0"/>
          <w:color w:val="auto"/>
          <w:kern w:val="0"/>
          <w:sz w:val="24"/>
          <w:highlight w:val="none"/>
          <w:lang w:val="en-US" w:eastAsia="zh-CN"/>
        </w:rPr>
        <w:t>维护</w:t>
      </w:r>
      <w:r>
        <w:rPr>
          <w:rFonts w:hint="eastAsia" w:ascii="仿宋" w:hAnsi="仿宋" w:eastAsia="仿宋" w:cs="仿宋"/>
          <w:snapToGrid w:val="0"/>
          <w:color w:val="auto"/>
          <w:kern w:val="0"/>
          <w:sz w:val="24"/>
          <w:highlight w:val="none"/>
          <w:lang w:val="zh-CN"/>
        </w:rPr>
        <w:t>保证金，并</w:t>
      </w:r>
      <w:r>
        <w:rPr>
          <w:rFonts w:hint="eastAsia" w:ascii="仿宋" w:hAnsi="仿宋" w:eastAsia="仿宋" w:cs="仿宋"/>
          <w:snapToGrid w:val="0"/>
          <w:color w:val="auto"/>
          <w:kern w:val="0"/>
          <w:sz w:val="24"/>
          <w:highlight w:val="none"/>
          <w:lang w:val="en-US" w:eastAsia="zh-CN"/>
        </w:rPr>
        <w:t>追究</w:t>
      </w:r>
      <w:r>
        <w:rPr>
          <w:rFonts w:hint="eastAsia" w:ascii="仿宋" w:hAnsi="仿宋" w:eastAsia="仿宋" w:cs="仿宋"/>
          <w:snapToGrid w:val="0"/>
          <w:color w:val="auto"/>
          <w:kern w:val="0"/>
          <w:sz w:val="24"/>
          <w:highlight w:val="none"/>
          <w:lang w:val="zh-CN"/>
        </w:rPr>
        <w:t>承包人违约责任；</w:t>
      </w:r>
      <w:r>
        <w:rPr>
          <w:rFonts w:hint="eastAsia" w:ascii="仿宋" w:hAnsi="仿宋" w:eastAsia="仿宋" w:cs="仿宋"/>
          <w:snapToGrid w:val="0"/>
          <w:color w:val="auto"/>
          <w:kern w:val="0"/>
          <w:sz w:val="24"/>
          <w:highlight w:val="none"/>
          <w:lang w:val="en-US" w:eastAsia="zh-CN"/>
        </w:rPr>
        <w:t>因承包人原因造成的损坏，承包人在承担维修费用后，仍应就因此给发包人造成的损失承担赔偿责任。维护期满后，发包人向承包人支付展陈物料及设备工程结算价的100%。</w:t>
      </w:r>
    </w:p>
    <w:p w14:paraId="69FE1C24">
      <w:pPr>
        <w:shd w:val="clear"/>
        <w:spacing w:line="360" w:lineRule="auto"/>
        <w:ind w:firstLine="480" w:firstLineChars="200"/>
        <w:rPr>
          <w:rFonts w:hint="eastAsia" w:ascii="仿宋" w:hAnsi="仿宋" w:eastAsia="仿宋" w:cs="仿宋"/>
          <w:snapToGrid w:val="0"/>
          <w:color w:val="auto"/>
          <w:kern w:val="0"/>
          <w:sz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rPr>
        <w:t> </w:t>
      </w:r>
      <w:r>
        <w:rPr>
          <w:rFonts w:hint="eastAsia" w:ascii="仿宋" w:hAnsi="仿宋" w:eastAsia="仿宋" w:cs="仿宋"/>
          <w:snapToGrid w:val="0"/>
          <w:color w:val="auto"/>
          <w:kern w:val="0"/>
          <w:sz w:val="24"/>
          <w:highlight w:val="none"/>
        </w:rPr>
        <w:t>数字内容策划及制作</w:t>
      </w:r>
      <w:r>
        <w:rPr>
          <w:rFonts w:hint="eastAsia" w:ascii="仿宋" w:hAnsi="仿宋" w:eastAsia="仿宋" w:cs="仿宋"/>
          <w:snapToGrid w:val="0"/>
          <w:color w:val="auto"/>
          <w:kern w:val="0"/>
          <w:sz w:val="24"/>
          <w:highlight w:val="none"/>
          <w:lang w:val="en-US" w:eastAsia="zh-CN"/>
        </w:rPr>
        <w:t>进度款支付约定：</w:t>
      </w:r>
    </w:p>
    <w:p w14:paraId="2041AE9C">
      <w:pPr>
        <w:shd w:val="clear"/>
        <w:spacing w:line="360" w:lineRule="auto"/>
        <w:ind w:firstLine="480" w:firstLineChars="200"/>
        <w:rPr>
          <w:rFonts w:hint="eastAsia" w:ascii="仿宋" w:hAnsi="仿宋" w:eastAsia="仿宋" w:cs="仿宋"/>
          <w:color w:val="auto"/>
          <w:sz w:val="24"/>
          <w:szCs w:val="24"/>
          <w:highlight w:val="none"/>
        </w:rPr>
      </w:pPr>
      <w:r>
        <w:rPr>
          <w:rFonts w:hint="eastAsia" w:eastAsia="仿宋" w:cs="Calibri"/>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乙方按本合同约定提交全部图文内容初稿及完整视频样片，并经甲方确认后，甲方向乙方支付至已提交“</w:t>
      </w:r>
      <w:r>
        <w:rPr>
          <w:rFonts w:hint="eastAsia" w:ascii="仿宋" w:hAnsi="仿宋" w:eastAsia="仿宋" w:cs="仿宋"/>
          <w:snapToGrid w:val="0"/>
          <w:color w:val="auto"/>
          <w:kern w:val="0"/>
          <w:sz w:val="24"/>
          <w:highlight w:val="none"/>
        </w:rPr>
        <w:t>数字内容策划及制作</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color w:val="auto"/>
          <w:sz w:val="24"/>
          <w:szCs w:val="24"/>
          <w:highlight w:val="none"/>
          <w:lang w:val="en-US" w:eastAsia="zh-CN"/>
        </w:rPr>
        <w:t>对应合同金额</w:t>
      </w:r>
      <w:r>
        <w:rPr>
          <w:rFonts w:hint="default"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60%（含预付款）</w:t>
      </w:r>
      <w:r>
        <w:rPr>
          <w:rFonts w:hint="default" w:ascii="仿宋" w:hAnsi="仿宋" w:eastAsia="仿宋" w:cs="仿宋"/>
          <w:color w:val="auto"/>
          <w:sz w:val="24"/>
          <w:szCs w:val="24"/>
          <w:highlight w:val="none"/>
        </w:rPr>
        <w:t>。</w:t>
      </w:r>
    </w:p>
    <w:p w14:paraId="65027B9E">
      <w:pPr>
        <w:shd w:val="clear"/>
        <w:spacing w:line="360" w:lineRule="auto"/>
        <w:ind w:firstLine="480" w:firstLineChars="200"/>
        <w:rPr>
          <w:rFonts w:hint="eastAsia" w:ascii="Calibri" w:hAnsi="Calibri" w:eastAsia="仿宋" w:cs="Calibri"/>
          <w:color w:val="auto"/>
          <w:sz w:val="24"/>
          <w:szCs w:val="24"/>
          <w:highlight w:val="none"/>
        </w:rPr>
      </w:pPr>
      <w:r>
        <w:rPr>
          <w:rFonts w:hint="eastAsia" w:eastAsia="仿宋" w:cs="Calibri"/>
          <w:color w:val="auto"/>
          <w:sz w:val="24"/>
          <w:szCs w:val="24"/>
          <w:highlight w:val="none"/>
          <w:lang w:val="en-US" w:eastAsia="zh-CN"/>
        </w:rPr>
        <w:t>2）</w:t>
      </w:r>
      <w:r>
        <w:rPr>
          <w:rFonts w:hint="default" w:ascii="Calibri" w:hAnsi="Calibri" w:eastAsia="仿宋" w:cs="Calibri"/>
          <w:color w:val="auto"/>
          <w:sz w:val="24"/>
          <w:szCs w:val="24"/>
          <w:highlight w:val="none"/>
        </w:rPr>
        <w:t>安装调试款： 乙方完成全部设备的安装、调试，且数字内容完整集成并稳定运行，经甲方现场验收合格后，甲方向乙方支付</w:t>
      </w:r>
      <w:r>
        <w:rPr>
          <w:rFonts w:hint="eastAsia" w:eastAsia="仿宋" w:cs="Calibri"/>
          <w:color w:val="auto"/>
          <w:sz w:val="24"/>
          <w:szCs w:val="24"/>
          <w:highlight w:val="none"/>
          <w:lang w:val="en-US" w:eastAsia="zh-CN"/>
        </w:rPr>
        <w:t>至</w:t>
      </w:r>
      <w:r>
        <w:rPr>
          <w:rFonts w:hint="eastAsia" w:ascii="仿宋" w:hAnsi="仿宋" w:eastAsia="仿宋" w:cs="仿宋"/>
          <w:color w:val="auto"/>
          <w:sz w:val="24"/>
          <w:szCs w:val="24"/>
          <w:highlight w:val="none"/>
          <w:lang w:val="en-US" w:eastAsia="zh-CN"/>
        </w:rPr>
        <w:t>已完成“</w:t>
      </w:r>
      <w:r>
        <w:rPr>
          <w:rFonts w:hint="eastAsia" w:ascii="仿宋" w:hAnsi="仿宋" w:eastAsia="仿宋" w:cs="仿宋"/>
          <w:snapToGrid w:val="0"/>
          <w:color w:val="auto"/>
          <w:kern w:val="0"/>
          <w:sz w:val="24"/>
          <w:highlight w:val="none"/>
        </w:rPr>
        <w:t>数字内容策划及制作</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color w:val="auto"/>
          <w:sz w:val="24"/>
          <w:szCs w:val="24"/>
          <w:highlight w:val="none"/>
          <w:lang w:val="en-US" w:eastAsia="zh-CN"/>
        </w:rPr>
        <w:t>对应合同金额</w:t>
      </w:r>
      <w:r>
        <w:rPr>
          <w:rFonts w:hint="default"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80%（含预付款）</w:t>
      </w:r>
      <w:r>
        <w:rPr>
          <w:rFonts w:hint="default" w:ascii="Calibri" w:hAnsi="Calibri" w:eastAsia="仿宋" w:cs="Calibri"/>
          <w:color w:val="auto"/>
          <w:sz w:val="24"/>
          <w:szCs w:val="24"/>
          <w:highlight w:val="none"/>
        </w:rPr>
        <w:t>。</w:t>
      </w:r>
    </w:p>
    <w:p w14:paraId="3E94F510">
      <w:pPr>
        <w:numPr>
          <w:ilvl w:val="-1"/>
          <w:numId w:val="0"/>
        </w:numPr>
        <w:shd w:val="clear"/>
        <w:spacing w:line="360" w:lineRule="auto"/>
        <w:ind w:firstLine="480" w:firstLineChars="200"/>
        <w:rPr>
          <w:rFonts w:hint="eastAsia" w:ascii="仿宋" w:hAnsi="仿宋" w:eastAsia="仿宋" w:cs="仿宋"/>
          <w:color w:val="auto"/>
          <w:kern w:val="2"/>
          <w:sz w:val="24"/>
          <w:szCs w:val="24"/>
          <w:highlight w:val="none"/>
        </w:rPr>
      </w:pPr>
      <w:r>
        <w:rPr>
          <w:rFonts w:hint="eastAsia" w:eastAsia="仿宋" w:cs="Calibri"/>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工程竣工结算经终审部门评审出具结算评审报告后，支付至</w:t>
      </w:r>
      <w:r>
        <w:rPr>
          <w:rFonts w:hint="eastAsia" w:ascii="仿宋" w:hAnsi="仿宋" w:eastAsia="仿宋" w:cs="仿宋"/>
          <w:snapToGrid w:val="0"/>
          <w:color w:val="auto"/>
          <w:kern w:val="0"/>
          <w:sz w:val="24"/>
          <w:highlight w:val="none"/>
        </w:rPr>
        <w:t>数字内容策划及制作</w:t>
      </w:r>
      <w:r>
        <w:rPr>
          <w:rFonts w:hint="eastAsia" w:ascii="仿宋" w:hAnsi="仿宋" w:eastAsia="仿宋" w:cs="仿宋"/>
          <w:color w:val="auto"/>
          <w:sz w:val="24"/>
          <w:szCs w:val="24"/>
          <w:highlight w:val="none"/>
          <w:lang w:val="en-US" w:eastAsia="zh-CN"/>
        </w:rPr>
        <w:t>结算价的95%。</w:t>
      </w:r>
      <w:r>
        <w:rPr>
          <w:rFonts w:hint="eastAsia" w:ascii="仿宋" w:hAnsi="仿宋" w:eastAsia="仿宋" w:cs="仿宋"/>
          <w:color w:val="auto"/>
          <w:kern w:val="2"/>
          <w:sz w:val="24"/>
          <w:szCs w:val="24"/>
          <w:highlight w:val="none"/>
        </w:rPr>
        <w:t>预留结算金额的</w:t>
      </w: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rPr>
        <w:t>%作为</w:t>
      </w:r>
      <w:r>
        <w:rPr>
          <w:rFonts w:hint="eastAsia" w:ascii="仿宋" w:hAnsi="仿宋" w:eastAsia="仿宋" w:cs="仿宋"/>
          <w:color w:val="auto"/>
          <w:kern w:val="2"/>
          <w:sz w:val="24"/>
          <w:szCs w:val="24"/>
          <w:highlight w:val="none"/>
          <w:lang w:val="en-US" w:eastAsia="zh-CN"/>
        </w:rPr>
        <w:t>维护</w:t>
      </w:r>
      <w:r>
        <w:rPr>
          <w:rFonts w:hint="eastAsia" w:ascii="仿宋" w:hAnsi="仿宋" w:eastAsia="仿宋" w:cs="仿宋"/>
          <w:color w:val="auto"/>
          <w:kern w:val="2"/>
          <w:sz w:val="24"/>
          <w:szCs w:val="24"/>
          <w:highlight w:val="none"/>
        </w:rPr>
        <w:t>保证金。</w:t>
      </w:r>
      <w:r>
        <w:rPr>
          <w:rFonts w:hint="eastAsia" w:ascii="仿宋" w:hAnsi="仿宋" w:eastAsia="仿宋" w:cs="仿宋"/>
          <w:color w:val="auto"/>
          <w:kern w:val="2"/>
          <w:sz w:val="24"/>
          <w:szCs w:val="24"/>
          <w:highlight w:val="none"/>
          <w:lang w:val="en-US" w:eastAsia="zh-CN"/>
        </w:rPr>
        <w:t>维护</w:t>
      </w:r>
      <w:r>
        <w:rPr>
          <w:rFonts w:hint="eastAsia" w:ascii="仿宋" w:hAnsi="仿宋" w:eastAsia="仿宋" w:cs="仿宋"/>
          <w:color w:val="auto"/>
          <w:kern w:val="2"/>
          <w:sz w:val="24"/>
          <w:szCs w:val="24"/>
          <w:highlight w:val="none"/>
        </w:rPr>
        <w:t>保证金并按如下约定方式支付：</w:t>
      </w:r>
    </w:p>
    <w:p w14:paraId="2324C3BE">
      <w:pPr>
        <w:shd w:val="clear"/>
        <w:spacing w:line="360" w:lineRule="auto"/>
        <w:ind w:firstLine="480" w:firstLineChars="200"/>
        <w:rPr>
          <w:rFonts w:hint="eastAsia" w:ascii="仿宋" w:hAnsi="仿宋" w:eastAsia="仿宋" w:cs="仿宋"/>
          <w:snapToGrid w:val="0"/>
          <w:color w:val="auto"/>
          <w:kern w:val="0"/>
          <w:sz w:val="24"/>
          <w:szCs w:val="22"/>
          <w:highlight w:val="none"/>
          <w:lang w:val="zh-CN"/>
        </w:rPr>
      </w:pPr>
      <w:r>
        <w:rPr>
          <w:rFonts w:hint="eastAsia" w:ascii="仿宋" w:hAnsi="仿宋" w:eastAsia="仿宋" w:cs="仿宋"/>
          <w:snapToGrid w:val="0"/>
          <w:color w:val="auto"/>
          <w:kern w:val="0"/>
          <w:sz w:val="24"/>
          <w:highlight w:val="none"/>
        </w:rPr>
        <w:t>数字内容策划及制作</w:t>
      </w:r>
      <w:r>
        <w:rPr>
          <w:rFonts w:hint="eastAsia" w:ascii="仿宋" w:hAnsi="仿宋" w:eastAsia="仿宋" w:cs="仿宋"/>
          <w:snapToGrid/>
          <w:color w:val="auto"/>
          <w:kern w:val="2"/>
          <w:sz w:val="24"/>
          <w:szCs w:val="24"/>
          <w:highlight w:val="none"/>
          <w:lang w:val="en-US" w:eastAsia="zh-CN"/>
        </w:rPr>
        <w:t>的保修期为3年，每年发包人可提出修改不超过三次。如承包人不调整，</w:t>
      </w:r>
      <w:r>
        <w:rPr>
          <w:rFonts w:hint="eastAsia" w:ascii="仿宋" w:hAnsi="仿宋" w:eastAsia="仿宋" w:cs="仿宋"/>
          <w:snapToGrid w:val="0"/>
          <w:color w:val="auto"/>
          <w:kern w:val="0"/>
          <w:sz w:val="24"/>
          <w:highlight w:val="none"/>
          <w:lang w:val="zh-CN"/>
        </w:rPr>
        <w:t>发包人</w:t>
      </w:r>
      <w:r>
        <w:rPr>
          <w:rFonts w:hint="eastAsia" w:ascii="仿宋" w:hAnsi="仿宋" w:eastAsia="仿宋" w:cs="仿宋"/>
          <w:snapToGrid w:val="0"/>
          <w:color w:val="auto"/>
          <w:kern w:val="0"/>
          <w:sz w:val="24"/>
          <w:highlight w:val="none"/>
          <w:lang w:val="en-US" w:eastAsia="zh-CN"/>
        </w:rPr>
        <w:t>有权</w:t>
      </w:r>
      <w:r>
        <w:rPr>
          <w:rFonts w:hint="eastAsia" w:ascii="仿宋" w:hAnsi="仿宋" w:eastAsia="仿宋" w:cs="仿宋"/>
          <w:snapToGrid w:val="0"/>
          <w:color w:val="auto"/>
          <w:kern w:val="0"/>
          <w:sz w:val="24"/>
          <w:highlight w:val="none"/>
          <w:lang w:val="zh-CN"/>
        </w:rPr>
        <w:t>按合同约定扣除</w:t>
      </w:r>
      <w:r>
        <w:rPr>
          <w:rFonts w:hint="eastAsia" w:ascii="仿宋" w:hAnsi="仿宋" w:eastAsia="仿宋" w:cs="仿宋"/>
          <w:snapToGrid w:val="0"/>
          <w:color w:val="auto"/>
          <w:kern w:val="0"/>
          <w:sz w:val="24"/>
          <w:highlight w:val="none"/>
          <w:lang w:val="en-US" w:eastAsia="zh-CN"/>
        </w:rPr>
        <w:t>维护</w:t>
      </w:r>
      <w:r>
        <w:rPr>
          <w:rFonts w:hint="eastAsia" w:ascii="仿宋" w:hAnsi="仿宋" w:eastAsia="仿宋" w:cs="仿宋"/>
          <w:snapToGrid w:val="0"/>
          <w:color w:val="auto"/>
          <w:kern w:val="0"/>
          <w:sz w:val="24"/>
          <w:highlight w:val="none"/>
          <w:lang w:val="zh-CN"/>
        </w:rPr>
        <w:t>保证金，并</w:t>
      </w:r>
      <w:r>
        <w:rPr>
          <w:rFonts w:hint="eastAsia" w:ascii="仿宋" w:hAnsi="仿宋" w:eastAsia="仿宋" w:cs="仿宋"/>
          <w:snapToGrid w:val="0"/>
          <w:color w:val="auto"/>
          <w:kern w:val="0"/>
          <w:sz w:val="24"/>
          <w:highlight w:val="none"/>
          <w:lang w:val="en-US" w:eastAsia="zh-CN"/>
        </w:rPr>
        <w:t>追究</w:t>
      </w:r>
      <w:r>
        <w:rPr>
          <w:rFonts w:hint="eastAsia" w:ascii="仿宋" w:hAnsi="仿宋" w:eastAsia="仿宋" w:cs="仿宋"/>
          <w:snapToGrid w:val="0"/>
          <w:color w:val="auto"/>
          <w:kern w:val="0"/>
          <w:sz w:val="24"/>
          <w:highlight w:val="none"/>
          <w:lang w:val="zh-CN"/>
        </w:rPr>
        <w:t>承包人违约责任</w:t>
      </w:r>
      <w:r>
        <w:rPr>
          <w:rFonts w:hint="eastAsia" w:ascii="仿宋" w:hAnsi="仿宋" w:eastAsia="仿宋" w:cs="仿宋"/>
          <w:snapToGrid w:val="0"/>
          <w:color w:val="auto"/>
          <w:kern w:val="0"/>
          <w:sz w:val="24"/>
          <w:szCs w:val="22"/>
          <w:highlight w:val="none"/>
          <w:lang w:val="zh-CN"/>
        </w:rPr>
        <w:t>。</w:t>
      </w:r>
      <w:r>
        <w:rPr>
          <w:rFonts w:hint="eastAsia" w:ascii="仿宋" w:hAnsi="仿宋" w:eastAsia="仿宋" w:cs="仿宋"/>
          <w:snapToGrid w:val="0"/>
          <w:color w:val="auto"/>
          <w:kern w:val="0"/>
          <w:sz w:val="24"/>
          <w:highlight w:val="none"/>
          <w:lang w:val="en-US" w:eastAsia="zh-CN"/>
        </w:rPr>
        <w:t>维护期满后，发包人向承包人支付</w:t>
      </w:r>
      <w:r>
        <w:rPr>
          <w:rFonts w:hint="eastAsia" w:ascii="仿宋" w:hAnsi="仿宋" w:eastAsia="仿宋" w:cs="仿宋"/>
          <w:snapToGrid w:val="0"/>
          <w:color w:val="auto"/>
          <w:kern w:val="0"/>
          <w:sz w:val="24"/>
          <w:highlight w:val="none"/>
        </w:rPr>
        <w:t>数字内容策划及制作</w:t>
      </w:r>
      <w:r>
        <w:rPr>
          <w:rFonts w:hint="eastAsia" w:ascii="仿宋" w:hAnsi="仿宋" w:eastAsia="仿宋" w:cs="仿宋"/>
          <w:snapToGrid w:val="0"/>
          <w:color w:val="auto"/>
          <w:kern w:val="0"/>
          <w:sz w:val="24"/>
          <w:highlight w:val="none"/>
          <w:lang w:val="en-US" w:eastAsia="zh-CN"/>
        </w:rPr>
        <w:t>结算价的100%。</w:t>
      </w:r>
    </w:p>
    <w:p w14:paraId="17CA61F2">
      <w:pPr>
        <w:shd w:val="clear"/>
        <w:adjustRightInd w:val="0"/>
        <w:snapToGrid w:val="0"/>
        <w:spacing w:line="360" w:lineRule="auto"/>
        <w:ind w:right="11" w:firstLine="460" w:firstLineChars="192"/>
        <w:rPr>
          <w:rFonts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highlight w:val="none"/>
        </w:rPr>
        <w:t>30.</w:t>
      </w: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承包人联合体成员方向发包人每次申请支付设计费或施工费或工程建设其他费时，必须经承包人联合体主办方盖章确认同意后方可申请支付，发包人收到经联合体主办方盖章确认的申请付款单经审核后拨付。</w:t>
      </w:r>
    </w:p>
    <w:p w14:paraId="0E1FA708">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30.</w:t>
      </w:r>
      <w:r>
        <w:rPr>
          <w:rFonts w:hint="eastAsia" w:ascii="仿宋" w:hAnsi="仿宋" w:eastAsia="仿宋" w:cs="仿宋"/>
          <w:snapToGrid w:val="0"/>
          <w:color w:val="auto"/>
          <w:kern w:val="0"/>
          <w:sz w:val="24"/>
          <w:highlight w:val="none"/>
          <w:lang w:val="en-US" w:eastAsia="zh-CN"/>
        </w:rPr>
        <w:t>5</w:t>
      </w:r>
      <w:r>
        <w:rPr>
          <w:rFonts w:hint="eastAsia" w:ascii="仿宋" w:hAnsi="仿宋" w:eastAsia="仿宋" w:cs="仿宋"/>
          <w:snapToGrid w:val="0"/>
          <w:color w:val="auto"/>
          <w:kern w:val="0"/>
          <w:sz w:val="24"/>
          <w:highlight w:val="none"/>
        </w:rPr>
        <w:t>在发包人向承包人支付合同价款前，承包人必须向发包人提供由承包人按核定付款金额开具的、与合同内容一致并符合税务机关规定的合法、有效增值税专用发票，由于承包人提供的发票不规范、不合法引起税务问题的，承包人应承担赔偿责任，包括但不限于税款、附加费、滞纳金、罚款及相关损失。承包人不能及时提供符合发包人要求的合法发票，发包人有权顺延直至承包人提供后付款且无需承担任何责任。如给发包人造成严重损失的，致使合同无法继续履行等情况，发包人有权终止合同。</w:t>
      </w:r>
    </w:p>
    <w:p w14:paraId="6DB57552">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bookmarkStart w:id="193" w:name="OLE_LINK16"/>
      <w:bookmarkStart w:id="194" w:name="OLE_LINK15"/>
      <w:bookmarkStart w:id="195" w:name="OLE_LINK24"/>
      <w:bookmarkStart w:id="196" w:name="OLE_LINK23"/>
      <w:r>
        <w:rPr>
          <w:rFonts w:hint="eastAsia" w:ascii="仿宋" w:hAnsi="仿宋" w:eastAsia="仿宋" w:cs="仿宋"/>
          <w:snapToGrid w:val="0"/>
          <w:color w:val="auto"/>
          <w:kern w:val="0"/>
          <w:sz w:val="24"/>
          <w:highlight w:val="none"/>
        </w:rPr>
        <w:t>30.</w:t>
      </w:r>
      <w:r>
        <w:rPr>
          <w:rFonts w:hint="eastAsia" w:ascii="仿宋" w:hAnsi="仿宋" w:eastAsia="仿宋" w:cs="仿宋"/>
          <w:snapToGrid w:val="0"/>
          <w:color w:val="auto"/>
          <w:kern w:val="0"/>
          <w:sz w:val="24"/>
          <w:highlight w:val="none"/>
          <w:lang w:val="en-US" w:eastAsia="zh-CN"/>
        </w:rPr>
        <w:t>6</w:t>
      </w:r>
      <w:r>
        <w:rPr>
          <w:rFonts w:hint="eastAsia" w:ascii="仿宋" w:hAnsi="仿宋" w:eastAsia="仿宋" w:cs="仿宋"/>
          <w:snapToGrid w:val="0"/>
          <w:color w:val="auto"/>
          <w:kern w:val="0"/>
          <w:sz w:val="24"/>
          <w:highlight w:val="none"/>
        </w:rPr>
        <w:t>承包人所提供发票的内容必须真实、准确、完整、合法合规，应在发票的备注栏注明项目名称及项目所在地具体地址。</w:t>
      </w:r>
      <w:bookmarkEnd w:id="193"/>
      <w:bookmarkEnd w:id="194"/>
      <w:bookmarkEnd w:id="195"/>
      <w:bookmarkEnd w:id="196"/>
    </w:p>
    <w:p w14:paraId="145B55BE">
      <w:pPr>
        <w:shd w:val="clear"/>
        <w:adjustRightInd w:val="0"/>
        <w:snapToGrid w:val="0"/>
        <w:spacing w:line="360" w:lineRule="auto"/>
        <w:ind w:right="11" w:firstLine="460" w:firstLineChars="192"/>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30.</w:t>
      </w:r>
      <w:r>
        <w:rPr>
          <w:rFonts w:hint="eastAsia" w:ascii="仿宋" w:hAnsi="仿宋" w:eastAsia="仿宋" w:cs="仿宋"/>
          <w:snapToGrid w:val="0"/>
          <w:color w:val="auto"/>
          <w:kern w:val="0"/>
          <w:sz w:val="24"/>
          <w:highlight w:val="none"/>
          <w:lang w:val="en-US" w:eastAsia="zh-CN"/>
        </w:rPr>
        <w:t>7</w:t>
      </w:r>
      <w:r>
        <w:rPr>
          <w:rFonts w:hint="eastAsia" w:ascii="仿宋" w:hAnsi="仿宋" w:eastAsia="仿宋" w:cs="仿宋"/>
          <w:snapToGrid w:val="0"/>
          <w:color w:val="auto"/>
          <w:kern w:val="0"/>
          <w:sz w:val="24"/>
          <w:highlight w:val="none"/>
        </w:rPr>
        <w:t>承包人应在发票记载的开具时间之日起15个工作日内（不得跨公历年）送达发包人。若承包人开具的增值税发票信息不正确，应在接到发包人要求后的15日内重新开具正确的增值税发票并送达至发包人，承包人自行承担相关费用。发票无论何种原因丢失，承包人应配合发包人按照国家</w:t>
      </w:r>
      <w:r>
        <w:rPr>
          <w:rFonts w:hint="eastAsia" w:ascii="仿宋" w:hAnsi="仿宋" w:eastAsia="仿宋" w:cs="仿宋"/>
          <w:snapToGrid w:val="0"/>
          <w:color w:val="auto"/>
          <w:kern w:val="0"/>
          <w:sz w:val="24"/>
          <w:highlight w:val="none"/>
          <w:lang w:eastAsia="zh-CN"/>
        </w:rPr>
        <w:t>法律法规</w:t>
      </w:r>
      <w:r>
        <w:rPr>
          <w:rFonts w:hint="eastAsia" w:ascii="仿宋" w:hAnsi="仿宋" w:eastAsia="仿宋" w:cs="仿宋"/>
          <w:snapToGrid w:val="0"/>
          <w:color w:val="auto"/>
          <w:kern w:val="0"/>
          <w:sz w:val="24"/>
          <w:highlight w:val="none"/>
        </w:rPr>
        <w:t>、规章、政策等规定重新取得发包人可用作原始会计凭证并受税务机关认可的合法合规的相关凭证。</w:t>
      </w:r>
    </w:p>
    <w:p w14:paraId="3FAF806E">
      <w:pPr>
        <w:shd w:val="clear"/>
        <w:adjustRightInd w:val="0"/>
        <w:snapToGrid w:val="0"/>
        <w:spacing w:line="360" w:lineRule="auto"/>
        <w:ind w:right="11" w:firstLine="460" w:firstLineChars="192"/>
        <w:rPr>
          <w:rFonts w:hint="eastAsia" w:ascii="仿宋" w:hAnsi="仿宋" w:eastAsia="仿宋" w:cs="仿宋"/>
          <w:snapToGrid w:val="0"/>
          <w:color w:val="auto"/>
          <w:kern w:val="0"/>
          <w:sz w:val="24"/>
          <w:highlight w:val="none"/>
        </w:rPr>
      </w:pPr>
      <w:bookmarkStart w:id="197" w:name="OLE_LINK9"/>
      <w:bookmarkStart w:id="198" w:name="OLE_LINK32"/>
      <w:bookmarkStart w:id="199" w:name="OLE_LINK10"/>
      <w:bookmarkStart w:id="200" w:name="OLE_LINK33"/>
      <w:r>
        <w:rPr>
          <w:rFonts w:hint="eastAsia" w:ascii="仿宋" w:hAnsi="仿宋" w:eastAsia="仿宋" w:cs="仿宋"/>
          <w:snapToGrid w:val="0"/>
          <w:color w:val="auto"/>
          <w:kern w:val="0"/>
          <w:sz w:val="24"/>
          <w:highlight w:val="none"/>
        </w:rPr>
        <w:t>30.</w:t>
      </w:r>
      <w:r>
        <w:rPr>
          <w:rFonts w:hint="eastAsia" w:ascii="仿宋" w:hAnsi="仿宋" w:eastAsia="仿宋" w:cs="仿宋"/>
          <w:snapToGrid w:val="0"/>
          <w:color w:val="auto"/>
          <w:kern w:val="0"/>
          <w:sz w:val="24"/>
          <w:highlight w:val="none"/>
          <w:lang w:val="en-US" w:eastAsia="zh-CN"/>
        </w:rPr>
        <w:t>8</w:t>
      </w:r>
      <w:r>
        <w:rPr>
          <w:rFonts w:hint="eastAsia" w:ascii="仿宋" w:hAnsi="仿宋" w:eastAsia="仿宋" w:cs="仿宋"/>
          <w:snapToGrid w:val="0"/>
          <w:color w:val="auto"/>
          <w:kern w:val="0"/>
          <w:sz w:val="24"/>
          <w:highlight w:val="none"/>
        </w:rPr>
        <w:t>本合同的罚款、违约金、赔偿均已包含增值税费及其附加，如为承包人收取，则承包人必须开具增值税发票，增值税发票类型要求同前述。承包人向发包人支付的罚款、违约赔偿款等并非原合同约定价款，因此合同总价款不变，承包人向发包人开具的发票金额不受该等罚款违约赔偿安排的影响。</w:t>
      </w:r>
    </w:p>
    <w:p w14:paraId="76DD2A4D">
      <w:pPr>
        <w:shd w:val="clear"/>
        <w:adjustRightInd w:val="0"/>
        <w:snapToGrid w:val="0"/>
        <w:spacing w:line="360" w:lineRule="auto"/>
        <w:ind w:right="11" w:firstLine="460" w:firstLineChars="192"/>
        <w:rPr>
          <w:rFonts w:hint="eastAsia" w:ascii="仿宋" w:hAnsi="仿宋" w:eastAsia="仿宋" w:cs="仿宋"/>
          <w:snapToGrid w:val="0"/>
          <w:color w:val="FF0000"/>
          <w:kern w:val="0"/>
          <w:sz w:val="24"/>
          <w:highlight w:val="none"/>
          <w:lang w:val="en-US" w:eastAsia="zh-CN"/>
        </w:rPr>
      </w:pPr>
      <w:r>
        <w:rPr>
          <w:rFonts w:hint="eastAsia" w:ascii="仿宋" w:hAnsi="仿宋" w:eastAsia="仿宋" w:cs="仿宋"/>
          <w:snapToGrid w:val="0"/>
          <w:color w:val="FF0000"/>
          <w:kern w:val="0"/>
          <w:sz w:val="24"/>
          <w:highlight w:val="none"/>
          <w:lang w:val="en-US" w:eastAsia="zh-CN"/>
        </w:rPr>
        <w:t xml:space="preserve">30.9 </w:t>
      </w:r>
      <w:r>
        <w:rPr>
          <w:rFonts w:hint="eastAsia" w:ascii="仿宋" w:hAnsi="仿宋" w:eastAsia="仿宋" w:cs="仿宋"/>
          <w:i w:val="0"/>
          <w:iCs w:val="0"/>
          <w:caps w:val="0"/>
          <w:snapToGrid w:val="0"/>
          <w:color w:val="FF0000"/>
          <w:spacing w:val="0"/>
          <w:kern w:val="0"/>
          <w:sz w:val="24"/>
          <w:szCs w:val="20"/>
          <w:highlight w:val="none"/>
          <w:shd w:val="clear" w:fill="auto"/>
        </w:rPr>
        <w:t>如遇国家税收法律法规或政策调整或地方税收政策改革，双方同意本合同保持不含税价不变，自国家税收法律法规或政策调整或地方税收政策改革之日起，未支付合同款项按最新税率计算并进行相应调整，按改革后新政策执行。</w:t>
      </w:r>
    </w:p>
    <w:bookmarkEnd w:id="197"/>
    <w:bookmarkEnd w:id="198"/>
    <w:bookmarkEnd w:id="199"/>
    <w:bookmarkEnd w:id="200"/>
    <w:p w14:paraId="5524CE50">
      <w:pPr>
        <w:shd w:val="clear"/>
        <w:adjustRightInd w:val="0"/>
        <w:snapToGrid w:val="0"/>
        <w:spacing w:line="360" w:lineRule="auto"/>
        <w:ind w:right="11"/>
        <w:rPr>
          <w:rFonts w:ascii="仿宋" w:hAnsi="仿宋" w:eastAsia="仿宋" w:cs="仿宋"/>
          <w:snapToGrid w:val="0"/>
          <w:color w:val="auto"/>
          <w:kern w:val="0"/>
          <w:sz w:val="24"/>
          <w:highlight w:val="none"/>
          <w:u w:val="single"/>
        </w:rPr>
      </w:pPr>
    </w:p>
    <w:p w14:paraId="1370B650">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01" w:name="_Toc83377278"/>
      <w:r>
        <w:rPr>
          <w:rFonts w:hint="eastAsia" w:ascii="仿宋" w:hAnsi="仿宋" w:eastAsia="仿宋" w:cs="仿宋"/>
          <w:b/>
          <w:snapToGrid w:val="0"/>
          <w:color w:val="auto"/>
          <w:kern w:val="0"/>
          <w:sz w:val="24"/>
          <w:highlight w:val="none"/>
          <w:lang w:eastAsia="zh-CN"/>
        </w:rPr>
        <w:t>31.</w:t>
      </w:r>
      <w:r>
        <w:rPr>
          <w:rFonts w:hint="eastAsia" w:ascii="仿宋" w:hAnsi="仿宋" w:eastAsia="仿宋" w:cs="仿宋"/>
          <w:b/>
          <w:snapToGrid w:val="0"/>
          <w:color w:val="auto"/>
          <w:kern w:val="0"/>
          <w:sz w:val="24"/>
          <w:highlight w:val="none"/>
        </w:rPr>
        <w:t>合同价款调整</w:t>
      </w:r>
      <w:bookmarkEnd w:id="201"/>
    </w:p>
    <w:p w14:paraId="1CD0AEB6">
      <w:pPr>
        <w:shd w:val="clea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31.1工程设计费：</w:t>
      </w:r>
      <w:r>
        <w:rPr>
          <w:rFonts w:hint="eastAsia" w:ascii="仿宋" w:hAnsi="仿宋" w:eastAsia="仿宋" w:cs="仿宋"/>
          <w:snapToGrid w:val="0"/>
          <w:color w:val="auto"/>
          <w:kern w:val="0"/>
          <w:sz w:val="24"/>
          <w:highlight w:val="none"/>
          <w:lang w:val="en-US" w:eastAsia="zh-CN"/>
        </w:rPr>
        <w:t>详见合同协议书第3条</w:t>
      </w:r>
      <w:r>
        <w:rPr>
          <w:rFonts w:hint="eastAsia" w:ascii="仿宋" w:hAnsi="仿宋" w:eastAsia="仿宋" w:cs="仿宋"/>
          <w:snapToGrid w:val="0"/>
          <w:color w:val="auto"/>
          <w:kern w:val="0"/>
          <w:sz w:val="24"/>
          <w:highlight w:val="none"/>
        </w:rPr>
        <w:t>。</w:t>
      </w:r>
    </w:p>
    <w:p w14:paraId="76CEBF15">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31.2施工费（建安工程费）：</w:t>
      </w:r>
      <w:r>
        <w:rPr>
          <w:rFonts w:hint="eastAsia" w:ascii="仿宋" w:hAnsi="仿宋" w:eastAsia="仿宋" w:cs="仿宋"/>
          <w:b w:val="0"/>
          <w:bCs/>
          <w:snapToGrid w:val="0"/>
          <w:color w:val="auto"/>
          <w:kern w:val="0"/>
          <w:sz w:val="24"/>
          <w:szCs w:val="22"/>
          <w:highlight w:val="none"/>
          <w:lang w:val="en-US" w:eastAsia="zh-CN"/>
        </w:rPr>
        <w:t>详见合同协议书第</w:t>
      </w:r>
      <w:r>
        <w:rPr>
          <w:rFonts w:hint="eastAsia" w:ascii="仿宋" w:hAnsi="仿宋" w:eastAsia="仿宋" w:cs="仿宋"/>
          <w:b w:val="0"/>
          <w:bCs/>
          <w:snapToGrid w:val="0"/>
          <w:color w:val="auto"/>
          <w:kern w:val="0"/>
          <w:sz w:val="24"/>
          <w:highlight w:val="none"/>
          <w:lang w:val="en-US" w:eastAsia="zh-CN"/>
        </w:rPr>
        <w:t>3条</w:t>
      </w:r>
      <w:r>
        <w:rPr>
          <w:rFonts w:hint="eastAsia" w:ascii="仿宋" w:hAnsi="仿宋" w:eastAsia="仿宋" w:cs="仿宋"/>
          <w:b w:val="0"/>
          <w:bCs/>
          <w:snapToGrid w:val="0"/>
          <w:color w:val="auto"/>
          <w:kern w:val="0"/>
          <w:sz w:val="24"/>
          <w:szCs w:val="22"/>
          <w:highlight w:val="none"/>
        </w:rPr>
        <w:t>。</w:t>
      </w:r>
    </w:p>
    <w:p w14:paraId="794D362A">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31.3对于报价文件范围内图纸已经明确、工程量清单已经包含的工程内容，不出现设计变更时，综合单价不变。在整个合同执行期内，除合同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条款另有约定外综合单价不作调整。分部分项工程结算原则如下：以合同综合单价或经双方确认的变更项目综合单价乘以经双方确认的工程实际施工工作量计算。</w:t>
      </w:r>
    </w:p>
    <w:p w14:paraId="5B4BDA39">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31.4分部分项清单项目的综合单价包含：人工费、材料费（含辅材）、机具费、综合管理费、不可预见费、利润、高层建筑增加费、暗室增加费等子目增加费用、一定范围内的风险费用、以及完成该项目的所有施工工序的一切费用。</w:t>
      </w:r>
    </w:p>
    <w:p w14:paraId="17B9B9E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p>
    <w:p w14:paraId="0C66D833">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02" w:name="_Toc16327"/>
      <w:bookmarkStart w:id="203" w:name="_Toc2784890"/>
      <w:bookmarkStart w:id="204" w:name="_Toc83377279"/>
      <w:r>
        <w:rPr>
          <w:rFonts w:hint="eastAsia" w:ascii="仿宋" w:hAnsi="仿宋" w:eastAsia="仿宋" w:cs="仿宋"/>
          <w:b/>
          <w:snapToGrid w:val="0"/>
          <w:color w:val="auto"/>
          <w:kern w:val="0"/>
          <w:sz w:val="24"/>
          <w:highlight w:val="none"/>
          <w:lang w:eastAsia="zh-CN"/>
        </w:rPr>
        <w:t>32.</w:t>
      </w:r>
      <w:r>
        <w:rPr>
          <w:rFonts w:hint="eastAsia" w:ascii="仿宋" w:hAnsi="仿宋" w:eastAsia="仿宋" w:cs="仿宋"/>
          <w:b/>
          <w:snapToGrid w:val="0"/>
          <w:color w:val="auto"/>
          <w:kern w:val="0"/>
          <w:sz w:val="24"/>
          <w:highlight w:val="none"/>
        </w:rPr>
        <w:t>工程量的确认</w:t>
      </w:r>
      <w:bookmarkEnd w:id="202"/>
      <w:bookmarkEnd w:id="203"/>
      <w:bookmarkEnd w:id="204"/>
    </w:p>
    <w:p w14:paraId="1C8C85BE">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32.1承包人每次申请工程进度款时应提交已完工程进度款申请报表。</w:t>
      </w:r>
    </w:p>
    <w:p w14:paraId="3977797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32.2总监理工程师收到承包人报告后7天内未进行计量，从第8天起，承包人报告中开列的工程量即视为被确认，作为工程价款支付的依据。总监理工程师不按约定时间通知承包人，致使承包人未能参加计量，计量结果无效。</w:t>
      </w:r>
    </w:p>
    <w:p w14:paraId="71F55C22">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32.3不予计量的情况：</w:t>
      </w:r>
    </w:p>
    <w:p w14:paraId="259F3D3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（1）隐蔽工程无验收记录表的；</w:t>
      </w:r>
    </w:p>
    <w:p w14:paraId="5070485A">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（2）施工图之外的工作量（签证项目除外）；</w:t>
      </w:r>
    </w:p>
    <w:p w14:paraId="6E2025F5">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（3）未经发包人批准的分包单位施工的工程；</w:t>
      </w:r>
    </w:p>
    <w:p w14:paraId="3FF15D65">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（4）不符合合同约定或设计要求的工程。</w:t>
      </w:r>
    </w:p>
    <w:p w14:paraId="64BF9035">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32.4除另有特别说明外，总监理工程师应根据合同的约定和批准的施工图纸、设计变更图纸通过计量来核实并确认已</w:t>
      </w:r>
      <w:r>
        <w:rPr>
          <w:rFonts w:hint="eastAsia" w:ascii="仿宋" w:hAnsi="仿宋" w:eastAsia="仿宋" w:cs="仿宋"/>
          <w:snapToGrid w:val="0"/>
          <w:color w:val="auto"/>
          <w:kern w:val="0"/>
          <w:sz w:val="24"/>
          <w:highlight w:val="none"/>
          <w:lang w:eastAsia="zh-CN"/>
        </w:rPr>
        <w:t>完成</w:t>
      </w:r>
      <w:r>
        <w:rPr>
          <w:rFonts w:hint="eastAsia" w:ascii="仿宋" w:hAnsi="仿宋" w:eastAsia="仿宋" w:cs="仿宋"/>
          <w:snapToGrid w:val="0"/>
          <w:color w:val="auto"/>
          <w:kern w:val="0"/>
          <w:sz w:val="24"/>
          <w:highlight w:val="none"/>
        </w:rPr>
        <w:t>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4BF82041">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32.5工程的计量应以合同约定为准，双方另有约定的除外。</w:t>
      </w:r>
    </w:p>
    <w:p w14:paraId="27E0249F">
      <w:pPr>
        <w:pStyle w:val="13"/>
        <w:shd w:val="clear"/>
        <w:adjustRightInd w:val="0"/>
        <w:snapToGrid w:val="0"/>
        <w:spacing w:line="360" w:lineRule="auto"/>
        <w:ind w:left="99" w:leftChars="47"/>
        <w:rPr>
          <w:rFonts w:ascii="仿宋" w:hAnsi="仿宋" w:eastAsia="仿宋" w:cs="仿宋"/>
          <w:b/>
          <w:snapToGrid w:val="0"/>
          <w:color w:val="auto"/>
          <w:sz w:val="28"/>
          <w:szCs w:val="28"/>
          <w:highlight w:val="none"/>
        </w:rPr>
      </w:pPr>
    </w:p>
    <w:p w14:paraId="0D0EA569">
      <w:pPr>
        <w:pStyle w:val="13"/>
        <w:shd w:val="clear"/>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205" w:name="_Toc83377280"/>
      <w:bookmarkStart w:id="206" w:name="_Toc2784891"/>
      <w:bookmarkStart w:id="207" w:name="_Toc10525"/>
      <w:r>
        <w:rPr>
          <w:rFonts w:hint="eastAsia" w:ascii="仿宋" w:hAnsi="仿宋" w:eastAsia="仿宋" w:cs="仿宋"/>
          <w:b/>
          <w:snapToGrid w:val="0"/>
          <w:color w:val="auto"/>
          <w:sz w:val="28"/>
          <w:szCs w:val="28"/>
          <w:highlight w:val="none"/>
        </w:rPr>
        <w:t>八、材料设备供应</w:t>
      </w:r>
      <w:bookmarkEnd w:id="205"/>
      <w:bookmarkEnd w:id="206"/>
      <w:bookmarkEnd w:id="207"/>
    </w:p>
    <w:p w14:paraId="67840200">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08" w:name="_Toc83377281"/>
      <w:bookmarkStart w:id="209" w:name="_Toc3449"/>
      <w:bookmarkStart w:id="210" w:name="_Toc2784892"/>
      <w:r>
        <w:rPr>
          <w:rFonts w:hint="eastAsia" w:ascii="仿宋" w:hAnsi="仿宋" w:eastAsia="仿宋" w:cs="仿宋"/>
          <w:b/>
          <w:snapToGrid w:val="0"/>
          <w:color w:val="auto"/>
          <w:kern w:val="0"/>
          <w:sz w:val="24"/>
          <w:highlight w:val="none"/>
          <w:lang w:eastAsia="zh-CN"/>
        </w:rPr>
        <w:t>33.</w:t>
      </w:r>
      <w:r>
        <w:rPr>
          <w:rFonts w:hint="eastAsia" w:ascii="仿宋" w:hAnsi="仿宋" w:eastAsia="仿宋" w:cs="仿宋"/>
          <w:b/>
          <w:snapToGrid w:val="0"/>
          <w:color w:val="auto"/>
          <w:kern w:val="0"/>
          <w:sz w:val="24"/>
          <w:highlight w:val="none"/>
        </w:rPr>
        <w:t>承包人采购材料设备（本项目材料设备均由承包人负责供应）</w:t>
      </w:r>
      <w:bookmarkEnd w:id="208"/>
      <w:bookmarkEnd w:id="209"/>
      <w:bookmarkEnd w:id="210"/>
    </w:p>
    <w:p w14:paraId="420D2D39">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33.1承包人负责采购材料设备的，应按照合同条款约定及设计和有关标准要求采购，所有材料的设备必须报发包人批准后方可供货，其中主材（含主要材料及工程设备）应由承包人选定三家或以上厂家和品牌并提供样板等资料。并提供产品合格证明，报发包人最终选择确定。承包人对材料设备质量负责。承包人在材料设备到货前24小时通知总监理工程师清点。</w:t>
      </w:r>
    </w:p>
    <w:p w14:paraId="5A17C6AD">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33.2承包人采购的材料设备与设计或标准要求不符时，承包人应按总监理工程师要求的时间运出施工场地，重新采购符合要求的产品，承担由此发生的费用，由此延误的工期不予顺延。</w:t>
      </w:r>
    </w:p>
    <w:p w14:paraId="09DC5B10">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33.3承包人采购的材料设备在使用前，承包人应按总监理工程师的要求进行检验或试验，不合格的不得使用，检验或试验不合格的，检验或试验费用由承包人承担。</w:t>
      </w:r>
    </w:p>
    <w:p w14:paraId="7D165B5F">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33.4总监理工程师发现承包人采购并使用不符合设计或标准要求的材料或设备时，应要求由承包人负责修复、拆除或重新采购，并承担发生的费用，由此延误的工期不予顺延。</w:t>
      </w:r>
    </w:p>
    <w:p w14:paraId="37D8343D">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33.5承包人需要使用代用材料时，应经总监理工程师认可后才能使用，由此增减的合同价款双方以书面形式议定。</w:t>
      </w:r>
    </w:p>
    <w:p w14:paraId="629CB91C">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33.6由承包人采购的材料设备，发包人不得指定生产厂或供应商。</w:t>
      </w:r>
    </w:p>
    <w:p w14:paraId="7F293F1E">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33.7对材料设备采购的相关要求</w:t>
      </w:r>
    </w:p>
    <w:p w14:paraId="003EA1FB">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（1）乙供材料设备</w:t>
      </w:r>
    </w:p>
    <w:p w14:paraId="774C0813">
      <w:pPr>
        <w:shd w:val="clear"/>
        <w:autoSpaceDE w:val="0"/>
        <w:autoSpaceDN w:val="0"/>
        <w:adjustRightInd w:val="0"/>
        <w:spacing w:line="360" w:lineRule="auto"/>
        <w:ind w:firstLine="480" w:firstLineChars="200"/>
        <w:jc w:val="left"/>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①乙供材料设备品牌的选用按国内名牌、国家免检产品、省知名品牌的顺序确定。</w:t>
      </w:r>
    </w:p>
    <w:p w14:paraId="33F3E665">
      <w:pPr>
        <w:pStyle w:val="12"/>
        <w:shd w:val="clea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②承包人必须在提交工程施工图预算时同时注明所选用材料设备的品牌、产地、规格、等级，该材料设备信息仅作为概算审核的依据，乙供材料最终的选用按合同</w:t>
      </w:r>
      <w:r>
        <w:rPr>
          <w:rFonts w:hint="eastAsia" w:ascii="仿宋" w:hAnsi="仿宋" w:eastAsia="仿宋" w:cs="仿宋"/>
          <w:snapToGrid w:val="0"/>
          <w:color w:val="auto"/>
          <w:sz w:val="24"/>
          <w:highlight w:val="none"/>
          <w:lang w:val="en-US" w:eastAsia="zh-CN"/>
        </w:rPr>
        <w:t>专用</w:t>
      </w:r>
      <w:r>
        <w:rPr>
          <w:rFonts w:hint="eastAsia" w:ascii="仿宋" w:hAnsi="仿宋" w:eastAsia="仿宋" w:cs="仿宋"/>
          <w:snapToGrid w:val="0"/>
          <w:color w:val="auto"/>
          <w:sz w:val="24"/>
          <w:highlight w:val="none"/>
        </w:rPr>
        <w:t>条款第33.1款约定及发包人下发的《乙供材料看样定板管理办法》执行。</w:t>
      </w:r>
    </w:p>
    <w:p w14:paraId="13BAA71E">
      <w:pPr>
        <w:pStyle w:val="12"/>
        <w:shd w:val="clea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③承包人必须在满足或优于招标文件（包括各专业主要设备材料技术参数）、招标图纸和相关规范要求的前提下，可以选择一种或多种品牌；履约中只要发包人未有对各专业主要设备材料技术参数的相关要求进行调整，则均不因承包人改变选用的品牌而调整其承包价。</w:t>
      </w:r>
    </w:p>
    <w:p w14:paraId="503AFE38">
      <w:pPr>
        <w:pStyle w:val="12"/>
        <w:shd w:val="clea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420097C8">
      <w:pPr>
        <w:pStyle w:val="12"/>
        <w:shd w:val="clear"/>
        <w:adjustRightInd w:val="0"/>
        <w:snapToGrid w:val="0"/>
        <w:spacing w:line="360" w:lineRule="auto"/>
        <w:ind w:firstLine="480" w:firstLineChars="200"/>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承包人在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14:paraId="515BC427">
      <w:pPr>
        <w:pStyle w:val="12"/>
        <w:shd w:val="clear"/>
        <w:adjustRightInd w:val="0"/>
        <w:snapToGrid w:val="0"/>
        <w:spacing w:line="360" w:lineRule="auto"/>
        <w:ind w:firstLine="480" w:firstLineChars="200"/>
        <w:rPr>
          <w:rFonts w:ascii="仿宋" w:hAnsi="仿宋" w:eastAsia="仿宋" w:cs="仿宋"/>
          <w:snapToGrid w:val="0"/>
          <w:color w:val="auto"/>
          <w:sz w:val="24"/>
          <w:highlight w:val="none"/>
        </w:rPr>
      </w:pPr>
    </w:p>
    <w:p w14:paraId="60892835">
      <w:pPr>
        <w:shd w:val="clear"/>
        <w:adjustRightInd w:val="0"/>
        <w:snapToGrid w:val="0"/>
        <w:spacing w:line="360" w:lineRule="auto"/>
        <w:outlineLvl w:val="1"/>
        <w:rPr>
          <w:rFonts w:ascii="仿宋" w:hAnsi="仿宋" w:eastAsia="仿宋" w:cs="仿宋"/>
          <w:b/>
          <w:snapToGrid w:val="0"/>
          <w:color w:val="auto"/>
          <w:kern w:val="0"/>
          <w:sz w:val="30"/>
          <w:szCs w:val="30"/>
          <w:highlight w:val="none"/>
        </w:rPr>
      </w:pPr>
      <w:bookmarkStart w:id="211" w:name="_Toc83377282"/>
      <w:bookmarkStart w:id="212" w:name="_Toc23809"/>
      <w:bookmarkStart w:id="213" w:name="_Toc2784893"/>
      <w:r>
        <w:rPr>
          <w:rFonts w:hint="eastAsia" w:ascii="仿宋" w:hAnsi="仿宋" w:eastAsia="仿宋" w:cs="仿宋"/>
          <w:b/>
          <w:snapToGrid w:val="0"/>
          <w:color w:val="auto"/>
          <w:kern w:val="0"/>
          <w:sz w:val="30"/>
          <w:szCs w:val="30"/>
          <w:highlight w:val="none"/>
        </w:rPr>
        <w:t>九</w:t>
      </w:r>
      <w:r>
        <w:rPr>
          <w:rFonts w:hint="eastAsia" w:ascii="仿宋" w:hAnsi="仿宋" w:eastAsia="仿宋" w:cs="仿宋"/>
          <w:b/>
          <w:snapToGrid w:val="0"/>
          <w:color w:val="auto"/>
          <w:kern w:val="0"/>
          <w:sz w:val="28"/>
          <w:szCs w:val="28"/>
          <w:highlight w:val="none"/>
        </w:rPr>
        <w:t>、</w:t>
      </w:r>
      <w:r>
        <w:rPr>
          <w:rFonts w:hint="eastAsia" w:ascii="仿宋" w:hAnsi="仿宋" w:eastAsia="仿宋" w:cs="仿宋"/>
          <w:b/>
          <w:snapToGrid w:val="0"/>
          <w:color w:val="auto"/>
          <w:kern w:val="0"/>
          <w:sz w:val="30"/>
          <w:szCs w:val="30"/>
          <w:highlight w:val="none"/>
        </w:rPr>
        <w:t>工程变更</w:t>
      </w:r>
      <w:bookmarkEnd w:id="211"/>
      <w:bookmarkEnd w:id="212"/>
      <w:bookmarkEnd w:id="213"/>
    </w:p>
    <w:p w14:paraId="139D4EC9">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14" w:name="_Toc83377283"/>
      <w:bookmarkStart w:id="215" w:name="_Toc2784894"/>
      <w:bookmarkStart w:id="216" w:name="_Toc8065"/>
      <w:r>
        <w:rPr>
          <w:rFonts w:hint="eastAsia" w:ascii="仿宋" w:hAnsi="仿宋" w:eastAsia="仿宋" w:cs="仿宋"/>
          <w:b/>
          <w:snapToGrid w:val="0"/>
          <w:color w:val="auto"/>
          <w:kern w:val="0"/>
          <w:sz w:val="24"/>
          <w:highlight w:val="none"/>
          <w:lang w:eastAsia="zh-CN"/>
        </w:rPr>
        <w:t>34.</w:t>
      </w:r>
      <w:r>
        <w:rPr>
          <w:rFonts w:hint="eastAsia" w:ascii="仿宋" w:hAnsi="仿宋" w:eastAsia="仿宋" w:cs="仿宋"/>
          <w:b/>
          <w:snapToGrid w:val="0"/>
          <w:color w:val="auto"/>
          <w:kern w:val="0"/>
          <w:sz w:val="24"/>
          <w:highlight w:val="none"/>
        </w:rPr>
        <w:t>工程变更</w:t>
      </w:r>
      <w:bookmarkEnd w:id="214"/>
      <w:bookmarkEnd w:id="215"/>
      <w:bookmarkEnd w:id="216"/>
    </w:p>
    <w:p w14:paraId="2CF7A6DE">
      <w:pPr>
        <w:pStyle w:val="19"/>
        <w:shd w:val="clear"/>
        <w:adjustRightInd w:val="0"/>
        <w:snapToGrid w:val="0"/>
        <w:spacing w:line="360" w:lineRule="auto"/>
        <w:ind w:firstLine="480" w:firstLineChars="200"/>
        <w:rPr>
          <w:rFonts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34.1工程变更调整按照如下约定执行：</w:t>
      </w:r>
    </w:p>
    <w:p w14:paraId="0FF120F6">
      <w:pPr>
        <w:pStyle w:val="19"/>
        <w:shd w:val="clear"/>
        <w:adjustRightInd w:val="0"/>
        <w:snapToGrid w:val="0"/>
        <w:spacing w:line="360" w:lineRule="auto"/>
        <w:ind w:firstLine="480" w:firstLineChars="200"/>
        <w:rPr>
          <w:rFonts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34.1.1变更的提出</w:t>
      </w:r>
    </w:p>
    <w:p w14:paraId="40B777FC">
      <w:pPr>
        <w:shd w:val="clea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若经发包人批准的设计变更而增加的工程量按实际计算，如有发生新增项目，按以下顺序确定价格：</w:t>
      </w:r>
    </w:p>
    <w:p w14:paraId="5A150121">
      <w:pPr>
        <w:shd w:val="clea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（1）合同预算价中已有适用的综合单价，按预算价中已有的综合单价确定；</w:t>
      </w:r>
    </w:p>
    <w:p w14:paraId="46EF96BC">
      <w:pPr>
        <w:shd w:val="clea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（2）合同预算价中有类似的综合单价，参照类似的综合单价确定；</w:t>
      </w:r>
    </w:p>
    <w:p w14:paraId="2450352B">
      <w:pPr>
        <w:shd w:val="clea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（3）合同预算中没有适用或类似的综合单价，由承包人（施工单位）提出综合单价，经发包人审核确认后执行。按以下方式定价：①计价依据执行《建设工程工程量清单计价规范</w:t>
      </w:r>
      <w:r>
        <w:rPr>
          <w:rFonts w:hint="eastAsia" w:ascii="仿宋" w:hAnsi="仿宋" w:eastAsia="仿宋" w:cs="仿宋"/>
          <w:snapToGrid w:val="0"/>
          <w:color w:val="auto"/>
          <w:spacing w:val="0"/>
          <w:kern w:val="0"/>
          <w:sz w:val="24"/>
          <w:szCs w:val="20"/>
          <w:highlight w:val="none"/>
        </w:rPr>
        <w:t>GB/T50500-2024</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广东省房屋建筑和市政修缮工程综合定额（2012）</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广东省房屋建筑与装饰工程综合定额（2018）</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广东省通用安装工程综合定额（2018）</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东省市政工程综合定额（2018）》及其相应的文件规定；定额规定中，取值范围有上、下限的取中值。没有定额可执行的项目，双方通过协商确定。②人工工资、材料、机械台班单价按广州市工程造价管理部门发布的基准期《广州地区建设工程常用材料税前综合价格》及相应文件执行；《广州地区建设工程常用材料税前综合价格》中没有的材料（设备），</w:t>
      </w:r>
      <w:r>
        <w:rPr>
          <w:rFonts w:hint="eastAsia" w:ascii="仿宋" w:hAnsi="仿宋" w:eastAsia="仿宋" w:cs="仿宋"/>
          <w:snapToGrid w:val="0"/>
          <w:color w:val="auto"/>
          <w:kern w:val="0"/>
          <w:sz w:val="24"/>
          <w:highlight w:val="none"/>
          <w:lang w:val="en-US" w:eastAsia="zh-CN"/>
        </w:rPr>
        <w:t>按照合同协议书第</w:t>
      </w:r>
      <w:r>
        <w:rPr>
          <w:rFonts w:hint="eastAsia" w:ascii="仿宋" w:hAnsi="仿宋" w:eastAsia="仿宋" w:cs="仿宋"/>
          <w:snapToGrid w:val="0"/>
          <w:color w:val="auto"/>
          <w:kern w:val="0"/>
          <w:sz w:val="24"/>
          <w:highlight w:val="none"/>
        </w:rPr>
        <w:t>2.3.4.2</w:t>
      </w:r>
      <w:r>
        <w:rPr>
          <w:rFonts w:hint="eastAsia" w:ascii="仿宋" w:hAnsi="仿宋" w:eastAsia="仿宋" w:cs="仿宋"/>
          <w:snapToGrid w:val="0"/>
          <w:color w:val="auto"/>
          <w:kern w:val="0"/>
          <w:sz w:val="24"/>
          <w:highlight w:val="none"/>
          <w:lang w:val="en-US" w:eastAsia="zh-CN"/>
        </w:rPr>
        <w:t>条</w:t>
      </w:r>
      <w:r>
        <w:rPr>
          <w:rFonts w:hint="eastAsia" w:ascii="仿宋" w:hAnsi="仿宋" w:eastAsia="仿宋" w:cs="仿宋"/>
          <w:snapToGrid w:val="0"/>
          <w:color w:val="auto"/>
          <w:kern w:val="0"/>
          <w:sz w:val="24"/>
          <w:highlight w:val="none"/>
        </w:rPr>
        <w:t xml:space="preserve">概算建安工程费第(2)点约定，报发包人审定。对必须进行市场询价的材料（设备），采用厂商询价予以计取材料（设备）单价；厂商询价由承包人（施工单位）至少提供三家以上同档次品牌报价，结合合理的市场价格，报发包人审核确认后执行。 </w:t>
      </w:r>
    </w:p>
    <w:p w14:paraId="3EA106B1">
      <w:pPr>
        <w:shd w:val="clear"/>
        <w:adjustRightInd w:val="0"/>
        <w:snapToGrid w:val="0"/>
        <w:spacing w:line="360" w:lineRule="auto"/>
        <w:ind w:firstLine="420"/>
        <w:outlineLvl w:val="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（4）承包人（施工单位）在施工过程中，如造成附近建筑物、构筑物及现场已完成的构件损坏，需要恢复的费用由承包人（施工单位）承担，此费用已包含在合同价款中，不得另行计算。</w:t>
      </w:r>
    </w:p>
    <w:p w14:paraId="7BF35CFA">
      <w:pPr>
        <w:pStyle w:val="19"/>
        <w:shd w:val="clear"/>
        <w:adjustRightInd w:val="0"/>
        <w:snapToGrid w:val="0"/>
        <w:spacing w:line="360" w:lineRule="auto"/>
        <w:ind w:firstLine="480" w:firstLineChars="200"/>
        <w:rPr>
          <w:rFonts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（5）工作期间要求承包人（施工单位）及时与其他单位做好施工配合工作，配合所需的相关费用已包含在合同价款中，不得另行计算。</w:t>
      </w:r>
    </w:p>
    <w:p w14:paraId="12CB98AB">
      <w:pPr>
        <w:pStyle w:val="19"/>
        <w:shd w:val="clear"/>
        <w:adjustRightInd w:val="0"/>
        <w:snapToGrid w:val="0"/>
        <w:spacing w:line="360" w:lineRule="auto"/>
        <w:ind w:firstLine="480" w:firstLineChars="200"/>
        <w:rPr>
          <w:rFonts w:ascii="仿宋" w:hAnsi="仿宋" w:eastAsia="仿宋" w:cs="仿宋"/>
          <w:snapToGrid w:val="0"/>
          <w:color w:val="auto"/>
          <w:kern w:val="0"/>
          <w:highlight w:val="none"/>
        </w:rPr>
      </w:pPr>
    </w:p>
    <w:p w14:paraId="5E68ACDF">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17" w:name="_Toc4071"/>
      <w:bookmarkStart w:id="218" w:name="_Toc2784895"/>
      <w:bookmarkStart w:id="219" w:name="_Toc83377284"/>
      <w:r>
        <w:rPr>
          <w:rFonts w:hint="eastAsia" w:ascii="仿宋" w:hAnsi="仿宋" w:eastAsia="仿宋" w:cs="仿宋"/>
          <w:b/>
          <w:snapToGrid w:val="0"/>
          <w:color w:val="auto"/>
          <w:kern w:val="0"/>
          <w:sz w:val="24"/>
          <w:highlight w:val="none"/>
          <w:lang w:eastAsia="zh-CN"/>
        </w:rPr>
        <w:t>35.</w:t>
      </w:r>
      <w:bookmarkEnd w:id="217"/>
      <w:bookmarkEnd w:id="218"/>
      <w:r>
        <w:rPr>
          <w:rFonts w:hint="eastAsia" w:ascii="仿宋" w:hAnsi="仿宋" w:eastAsia="仿宋" w:cs="仿宋"/>
          <w:b/>
          <w:snapToGrid w:val="0"/>
          <w:color w:val="auto"/>
          <w:kern w:val="0"/>
          <w:sz w:val="24"/>
          <w:highlight w:val="none"/>
        </w:rPr>
        <w:t>工程量偏差</w:t>
      </w:r>
      <w:bookmarkEnd w:id="219"/>
    </w:p>
    <w:p w14:paraId="437C467A">
      <w:pPr>
        <w:shd w:val="clear"/>
        <w:adjustRightInd w:val="0"/>
        <w:snapToGrid w:val="0"/>
        <w:spacing w:line="360" w:lineRule="auto"/>
        <w:ind w:firstLine="470" w:firstLineChars="196"/>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35.1所有涉及工期、价款、质量标准的变更均应获得发包人正式批准才能生效。</w:t>
      </w:r>
    </w:p>
    <w:p w14:paraId="0AEBB657">
      <w:pPr>
        <w:shd w:val="clear"/>
        <w:adjustRightInd w:val="0"/>
        <w:snapToGrid w:val="0"/>
        <w:spacing w:line="360" w:lineRule="auto"/>
        <w:rPr>
          <w:rFonts w:ascii="仿宋" w:hAnsi="仿宋" w:eastAsia="仿宋" w:cs="仿宋"/>
          <w:snapToGrid w:val="0"/>
          <w:color w:val="auto"/>
          <w:kern w:val="0"/>
          <w:sz w:val="24"/>
          <w:highlight w:val="none"/>
        </w:rPr>
      </w:pPr>
    </w:p>
    <w:p w14:paraId="580A171F">
      <w:pPr>
        <w:shd w:val="clear"/>
        <w:adjustRightInd w:val="0"/>
        <w:snapToGrid w:val="0"/>
        <w:spacing w:line="360" w:lineRule="auto"/>
        <w:outlineLvl w:val="1"/>
        <w:rPr>
          <w:rFonts w:ascii="仿宋" w:hAnsi="仿宋" w:eastAsia="仿宋" w:cs="仿宋"/>
          <w:b/>
          <w:snapToGrid w:val="0"/>
          <w:color w:val="auto"/>
          <w:kern w:val="0"/>
          <w:sz w:val="30"/>
          <w:szCs w:val="30"/>
          <w:highlight w:val="none"/>
        </w:rPr>
      </w:pPr>
      <w:bookmarkStart w:id="220" w:name="_Toc83377286"/>
      <w:bookmarkStart w:id="221" w:name="_Toc2784897"/>
      <w:bookmarkStart w:id="222" w:name="_Toc17716"/>
      <w:r>
        <w:rPr>
          <w:rFonts w:hint="eastAsia" w:ascii="仿宋" w:hAnsi="仿宋" w:eastAsia="仿宋" w:cs="仿宋"/>
          <w:b/>
          <w:snapToGrid w:val="0"/>
          <w:color w:val="auto"/>
          <w:kern w:val="0"/>
          <w:sz w:val="30"/>
          <w:szCs w:val="30"/>
          <w:highlight w:val="none"/>
        </w:rPr>
        <w:t>十、竣工验收与结算</w:t>
      </w:r>
      <w:bookmarkEnd w:id="220"/>
      <w:bookmarkEnd w:id="221"/>
      <w:bookmarkEnd w:id="222"/>
    </w:p>
    <w:p w14:paraId="22B0254F">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23" w:name="_Toc2784898"/>
      <w:bookmarkStart w:id="224" w:name="_Toc9895"/>
      <w:bookmarkStart w:id="225" w:name="_Toc83377287"/>
      <w:r>
        <w:rPr>
          <w:rFonts w:hint="eastAsia" w:ascii="仿宋" w:hAnsi="仿宋" w:eastAsia="仿宋" w:cs="仿宋"/>
          <w:b/>
          <w:snapToGrid w:val="0"/>
          <w:color w:val="auto"/>
          <w:kern w:val="0"/>
          <w:sz w:val="24"/>
          <w:highlight w:val="none"/>
          <w:lang w:eastAsia="zh-CN"/>
        </w:rPr>
        <w:t>36.</w:t>
      </w:r>
      <w:r>
        <w:rPr>
          <w:rFonts w:hint="eastAsia" w:ascii="仿宋" w:hAnsi="仿宋" w:eastAsia="仿宋" w:cs="仿宋"/>
          <w:b/>
          <w:snapToGrid w:val="0"/>
          <w:color w:val="auto"/>
          <w:kern w:val="0"/>
          <w:sz w:val="24"/>
          <w:highlight w:val="none"/>
        </w:rPr>
        <w:t>竣工验收</w:t>
      </w:r>
      <w:bookmarkEnd w:id="223"/>
      <w:bookmarkEnd w:id="224"/>
      <w:bookmarkEnd w:id="225"/>
    </w:p>
    <w:p w14:paraId="5A72777A">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.1工程具备竣工验收条件，承包人按国家工程竣工验收有关规定，向发包人提供完整竣工资料（包含竣工图）及竣工验收报告。</w:t>
      </w:r>
    </w:p>
    <w:p w14:paraId="503E4C28">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73F894DD">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.3发包人应在验收后14天内给予认可或提出修改意见。承包人按要求修改，并承担由自身原因造成修改的费用。</w:t>
      </w:r>
    </w:p>
    <w:p w14:paraId="418D105F">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.4发包人收到承包人送交的竣工验收报告后28天内无故不组织验收，或验收后14天内不提出修改意见，视为竣工验收报告已被认可。</w:t>
      </w:r>
    </w:p>
    <w:p w14:paraId="1229AE83">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.5工程竣工验收通过，承包人送交竣工验收报告的日期为实际竣工日期。工程按发包人要求修改后通过竣工验收的，实际竣工日期为承包人修改后提请发包人验收的日期。</w:t>
      </w:r>
    </w:p>
    <w:p w14:paraId="6C9F13DD">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.6发包人收到承包人竣工验收报告后28天内无故不组织验收，从第29天起承担工程保管及一切意外责任。</w:t>
      </w:r>
    </w:p>
    <w:p w14:paraId="7A3E4049">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.7中间交工工程的验收按合同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条款第21条的约定办理。</w:t>
      </w:r>
    </w:p>
    <w:p w14:paraId="521FCC53">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.8因特殊原因，发包人要求部分单位工程或工程部位甩项竣工的，双方另行签订甩项竣工协议，明确双方责任和工程价款的支付方法。</w:t>
      </w:r>
    </w:p>
    <w:p w14:paraId="73F58693">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9经验收评定，工程质量及工程内容符合合同要求的，发包人、承包人、监理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384EDECF">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.10工程未经竣工验收或竣工验收未通过的，发包人不得使用（经承包人同意除外）。发包人强行使用时，由此发生的质量问题及其它问题，由发包人承担责任。</w:t>
      </w:r>
    </w:p>
    <w:p w14:paraId="1FD976E7">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.11承包人应按如下程序进行竣工资料准备：</w:t>
      </w:r>
    </w:p>
    <w:p w14:paraId="0C370C01">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（1）承包人有责任根据竣工验收要求对分包单位所绘制的竣工图进行符合性审查。</w:t>
      </w:r>
    </w:p>
    <w:p w14:paraId="572B1CB8">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承包人有义务对专业管理、分包单位的工程资料按照国家《城市建设档案管理规定》《建筑工程施工技术资料编制指南（2012年版）》（广州市建设工程质量监督站主编）《广州市建设工程档案编制指南（2009版）》（广州市城市建设档案馆主编）和发包人的具体要求进行收集、整理、编制、汇总和管理。</w:t>
      </w:r>
    </w:p>
    <w:p w14:paraId="253DDFDB">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12验收依据和标准：施工图纸，图纸说明，设计变更资料和图纸，技术交底及会议纪要，国家颁布的施工验收规范、规定，以及本建设项目专家委员会根据国家有关标准、规范制订的针对本工程特殊子项的施工规范及验收标准。</w:t>
      </w:r>
    </w:p>
    <w:p w14:paraId="1C0F4369">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13专业分包工程需单独验收的，经承包人预验合格后，属专业分包项目的再报监理单位进行监理预验；不属专业分包项目的由监理单位进行监理预验，合格后由该分包单位与专业工程验收管理部门、监理单位、发包人协商确定验收时间，并及时通知承包人参与验收。</w:t>
      </w:r>
    </w:p>
    <w:p w14:paraId="0B5118E3">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14专业分包工程不需要办理单独验收的，经承包人预验合格后，属专业分包项目的再报监理单位进行监理预验；不属专业分包项目的由监理单位进行监理预验，合格后由分包单位、承包人、施工监理单位、发包人协商验收。</w:t>
      </w:r>
    </w:p>
    <w:p w14:paraId="0BC8983C">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.15承包人必须全力配合发包人组织的专项验收工作，包括但不限于质量验收、档案验收、消防验收、规划验收、电梯验收、环保验收、人防验收、卫生防疫验收、信息工程测评和信息安全测评等。</w:t>
      </w:r>
    </w:p>
    <w:p w14:paraId="601281D7">
      <w:pPr>
        <w:shd w:val="clear"/>
        <w:adjustRightInd w:val="0"/>
        <w:snapToGrid w:val="0"/>
        <w:spacing w:line="360" w:lineRule="auto"/>
        <w:rPr>
          <w:rFonts w:ascii="仿宋" w:hAnsi="仿宋" w:eastAsia="仿宋" w:cs="仿宋"/>
          <w:b/>
          <w:snapToGrid w:val="0"/>
          <w:color w:val="auto"/>
          <w:kern w:val="0"/>
          <w:sz w:val="24"/>
          <w:highlight w:val="none"/>
        </w:rPr>
      </w:pPr>
    </w:p>
    <w:p w14:paraId="74ACF2B7">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26" w:name="_Toc2784899"/>
      <w:bookmarkStart w:id="227" w:name="_Toc83377288"/>
      <w:bookmarkStart w:id="228" w:name="_Toc23159"/>
      <w:r>
        <w:rPr>
          <w:rFonts w:hint="eastAsia" w:ascii="仿宋" w:hAnsi="仿宋" w:eastAsia="仿宋" w:cs="仿宋"/>
          <w:b/>
          <w:snapToGrid w:val="0"/>
          <w:color w:val="auto"/>
          <w:kern w:val="0"/>
          <w:sz w:val="24"/>
          <w:highlight w:val="none"/>
          <w:lang w:eastAsia="zh-CN"/>
        </w:rPr>
        <w:t>37.</w:t>
      </w:r>
      <w:r>
        <w:rPr>
          <w:rFonts w:hint="eastAsia" w:ascii="仿宋" w:hAnsi="仿宋" w:eastAsia="仿宋" w:cs="仿宋"/>
          <w:b/>
          <w:snapToGrid w:val="0"/>
          <w:color w:val="auto"/>
          <w:kern w:val="0"/>
          <w:sz w:val="24"/>
          <w:highlight w:val="none"/>
        </w:rPr>
        <w:t>工程移交</w:t>
      </w:r>
      <w:bookmarkEnd w:id="226"/>
      <w:bookmarkEnd w:id="227"/>
      <w:bookmarkEnd w:id="228"/>
    </w:p>
    <w:p w14:paraId="411859CE">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.1承包人应在工程项目移交前将场地清理干净，将无关机械设备及材料撤离现场，保证移交的工程项目环境洁净、安全卫生。</w:t>
      </w:r>
    </w:p>
    <w:p w14:paraId="30CCCCA3">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.2移交手册包括但不限于以下内容：</w:t>
      </w:r>
    </w:p>
    <w:p w14:paraId="24BD9EE3">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（1）工程项目各部分、各系统的工程概况；</w:t>
      </w:r>
    </w:p>
    <w:p w14:paraId="1E0DB514">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（2）工程项目全部的图纸及清单；</w:t>
      </w:r>
    </w:p>
    <w:p w14:paraId="1FA8E617">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（3）工程项目的承包人、主要材料设备供货商清单、联系人及电话；</w:t>
      </w:r>
    </w:p>
    <w:p w14:paraId="0FA9759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（4）各系统的设计功能、使用功能或使用说明；</w:t>
      </w:r>
    </w:p>
    <w:p w14:paraId="2445D991">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（5）空调、发电机（若有）等主要设备的运行参数；</w:t>
      </w:r>
    </w:p>
    <w:p w14:paraId="5B488754">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（6）主要材料设备的数量；</w:t>
      </w:r>
    </w:p>
    <w:p w14:paraId="3E21F81E">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（7）工程、材料、设备的保修书（包括保修内容、期限、联系人、电话等）。</w:t>
      </w:r>
    </w:p>
    <w:p w14:paraId="3A99CA83">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.3承包人应在进行本条第3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.2款工作的同时编写工程项目移交计划，并于本条第3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.2款工作完成后3天内组织发包人、承包人、项目产权管理单位按如下程序进行工程项目移交：</w:t>
      </w:r>
    </w:p>
    <w:p w14:paraId="0CB8B9B6">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（1）按移交手册的资料清单移交图纸、资料；</w:t>
      </w:r>
    </w:p>
    <w:p w14:paraId="15275E5D">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（2）按移交手册的数量清单清点主要材料设备的数量；</w:t>
      </w:r>
    </w:p>
    <w:p w14:paraId="34EB361B">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（3）按移交手册的设计、使用功能说明进行必要的功能性试验（或组织各方参加政府指定机构、第三方检测机构进行的功能性试验）；</w:t>
      </w:r>
    </w:p>
    <w:p w14:paraId="0EAA390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（4）按移交手册的说明进行系统的试运行（或组织各方参加政府指定机构、第三方检测机构进行的功能性试验），测试主要设备的运行参数；</w:t>
      </w:r>
    </w:p>
    <w:p w14:paraId="138B473B">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（5）组织发包人、承包人、项目产权管理单位各方对上述移交过程进行签认；</w:t>
      </w:r>
    </w:p>
    <w:p w14:paraId="53E9230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（6）对移交过程中发现的质量问题进行记录并及时组织责任方进行维修，验收合格后重新组织移交；</w:t>
      </w:r>
    </w:p>
    <w:p w14:paraId="682F32DA">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（7）对于某些在操作上有专门要求的机电系统（如消防、智能化等）督促承包人编制培训计划，并按合同要求对项目产权管理单位人员进行培训。</w:t>
      </w:r>
    </w:p>
    <w:p w14:paraId="3B4D71FA">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.4承包人应按照国家《城市建设档案管理规定</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rPr>
        <w:t>广州市城市建设档案管理办法》和发包人有关整理工程档案的要求，在工程施工期间及时收集、汇总、整理、编制竣工档案，包括：</w:t>
      </w:r>
    </w:p>
    <w:p w14:paraId="4D740D90">
      <w:pPr>
        <w:shd w:val="clear"/>
        <w:adjustRightInd w:val="0"/>
        <w:snapToGrid w:val="0"/>
        <w:spacing w:line="360" w:lineRule="auto"/>
        <w:ind w:left="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（1）竣工文件资料、竣工图档案（原件）各一式四份；</w:t>
      </w:r>
    </w:p>
    <w:p w14:paraId="5A94B7E8">
      <w:pPr>
        <w:shd w:val="clear"/>
        <w:adjustRightInd w:val="0"/>
        <w:snapToGrid w:val="0"/>
        <w:spacing w:line="360" w:lineRule="auto"/>
        <w:ind w:left="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（2）与本款（1）项内容相同的电子版档案一式二份；</w:t>
      </w:r>
    </w:p>
    <w:p w14:paraId="1180F882">
      <w:pPr>
        <w:shd w:val="clear"/>
        <w:adjustRightInd w:val="0"/>
        <w:snapToGrid w:val="0"/>
        <w:spacing w:line="360" w:lineRule="auto"/>
        <w:ind w:left="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（3）声像档案一式二份。</w:t>
      </w:r>
    </w:p>
    <w:p w14:paraId="2937CB9E">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4C7DAD9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.6电子版竣工图的编制，以发包人提供的电子版施工图为基础。承包人在移交竣工档案时，应一并移交发包人提供的电子版施工图。</w:t>
      </w:r>
    </w:p>
    <w:p w14:paraId="329E9CE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.7电子版施工图和电子版竣工图的知识产权归属发包人所有，非经发包人许可，承包人不得以任何方式复制、备份、转让和利用，否则由此引起的任何纠纷和责任由承包人承担。</w:t>
      </w:r>
    </w:p>
    <w:p w14:paraId="690536BD">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.8承包人应督促其工程分包单位及时做好竣工资料整理工作，于分包工程竣工验收后25天内将全部档案资料移交给承包人，由承包人汇总、归档，并在承包人移交竣工档案时一并移交。</w:t>
      </w:r>
    </w:p>
    <w:p w14:paraId="5D62C88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.9承包人不按时移交竣工档案，或者移交的竣工档案不完整且在发包人规定的期限内不补充完整的，发包人有权按合同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条款第30.2款约定的施工费进度款支付原则暂停支付余下的施工费扣取部分或者全部保证金，同时，并不免除承包人完整移交竣工档案的义务。</w:t>
      </w:r>
    </w:p>
    <w:p w14:paraId="5823ADE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.10因承包人的原因致使发包人未能按照国家规定向政府有关部门移交工程竣工档案而受到经济处罚的，由承包人承担全额赔偿责任。</w:t>
      </w:r>
    </w:p>
    <w:p w14:paraId="1A38D47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.11由承包人先移交给发包人、然后再由发包人移交给项目产权管理单位的工程项目，承包人仍应按发包人的要求及上述约定予以协助。</w:t>
      </w:r>
    </w:p>
    <w:p w14:paraId="1FD1733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.12工程项目移交给项目产权管理单位后，由项目产权管理单位替代发包人在本合同中的地位，承继发包人的权利义务。</w:t>
      </w:r>
    </w:p>
    <w:p w14:paraId="189A6689">
      <w:pPr>
        <w:shd w:val="clear"/>
        <w:adjustRightInd w:val="0"/>
        <w:snapToGrid w:val="0"/>
        <w:spacing w:line="360" w:lineRule="auto"/>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7</w:t>
      </w:r>
      <w:r>
        <w:rPr>
          <w:rFonts w:hint="eastAsia" w:ascii="仿宋" w:hAnsi="仿宋" w:eastAsia="仿宋" w:cs="仿宋"/>
          <w:snapToGrid w:val="0"/>
          <w:color w:val="auto"/>
          <w:kern w:val="0"/>
          <w:sz w:val="24"/>
          <w:highlight w:val="none"/>
        </w:rPr>
        <w:t>.13承包人参与移交或协助移交的所有费用均已包含在合同价款之内。</w:t>
      </w:r>
    </w:p>
    <w:p w14:paraId="352F3D02">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29" w:name="_Toc83377289"/>
      <w:bookmarkStart w:id="230" w:name="_Toc2784900"/>
      <w:bookmarkStart w:id="231" w:name="_Toc6140"/>
    </w:p>
    <w:p w14:paraId="0FE5E778">
      <w:pPr>
        <w:shd w:val="clear"/>
        <w:adjustRightInd w:val="0"/>
        <w:snapToGrid w:val="0"/>
        <w:spacing w:line="360" w:lineRule="auto"/>
        <w:outlineLvl w:val="2"/>
        <w:rPr>
          <w:rFonts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lang w:eastAsia="zh-CN"/>
        </w:rPr>
        <w:t>38.</w:t>
      </w:r>
      <w:r>
        <w:rPr>
          <w:rFonts w:hint="eastAsia" w:ascii="仿宋" w:hAnsi="仿宋" w:eastAsia="仿宋" w:cs="仿宋"/>
          <w:b/>
          <w:snapToGrid w:val="0"/>
          <w:color w:val="auto"/>
          <w:kern w:val="0"/>
          <w:sz w:val="24"/>
          <w:highlight w:val="none"/>
        </w:rPr>
        <w:t>竣工结算</w:t>
      </w:r>
      <w:bookmarkEnd w:id="229"/>
      <w:bookmarkEnd w:id="230"/>
      <w:bookmarkEnd w:id="231"/>
    </w:p>
    <w:p w14:paraId="3B47E382">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3</w:t>
      </w:r>
      <w:r>
        <w:rPr>
          <w:rFonts w:ascii="仿宋" w:hAnsi="仿宋" w:eastAsia="仿宋" w:cs="仿宋"/>
          <w:snapToGrid w:val="0"/>
          <w:color w:val="auto"/>
          <w:kern w:val="0"/>
          <w:sz w:val="24"/>
          <w:highlight w:val="none"/>
        </w:rPr>
        <w:t>8</w:t>
      </w:r>
      <w:r>
        <w:rPr>
          <w:rFonts w:hint="eastAsia" w:ascii="仿宋" w:hAnsi="仿宋" w:eastAsia="仿宋" w:cs="仿宋"/>
          <w:snapToGrid w:val="0"/>
          <w:color w:val="auto"/>
          <w:kern w:val="0"/>
          <w:sz w:val="24"/>
          <w:highlight w:val="none"/>
        </w:rPr>
        <w:t>.1</w:t>
      </w:r>
      <w:r>
        <w:rPr>
          <w:rFonts w:hint="eastAsia" w:ascii="仿宋" w:hAnsi="仿宋" w:eastAsia="仿宋" w:cs="仿宋"/>
          <w:bCs/>
          <w:snapToGrid w:val="0"/>
          <w:color w:val="auto"/>
          <w:kern w:val="0"/>
          <w:sz w:val="24"/>
          <w:highlight w:val="none"/>
        </w:rPr>
        <w:t>竣工结算的程序和时限：</w:t>
      </w:r>
    </w:p>
    <w:p w14:paraId="095E119F">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（1）承包人提交竣工结算资料的期限：在竣工验收报告批准后，承包人应按国家有关规定，在60个日历天内向发包人提出完整的工程结算文件、办理竣工结算。</w:t>
      </w:r>
    </w:p>
    <w:p w14:paraId="2F8912ED">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（2）竣工结算资料要求：承包人提交的工程结算文件（含电子文档）须签名、注明日期及加盖公章，包括但不限于以下内容：</w:t>
      </w:r>
    </w:p>
    <w:p w14:paraId="497E900A">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1）结算送审资料移交表；</w:t>
      </w:r>
    </w:p>
    <w:p w14:paraId="7BD1F6B8">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2）竣工结算书：包括封面、编制说明、工期证明、质量证明、结算汇总表、分部分项工程结算清单、工程量计算书、材料设备单价审核单、综合单价申报/审批表、材料验收/签收单等；</w:t>
      </w:r>
    </w:p>
    <w:p w14:paraId="20EBCA27">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3）合同结算依据：招标文件（含答疑和补充文件）、投标文件（技术标、经济标）、中标通知书、委托函、施工合同（含补充合同、协议书）；</w:t>
      </w:r>
    </w:p>
    <w:p w14:paraId="02B3B4B4">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4）招标图纸或预算施工图纸；</w:t>
      </w:r>
    </w:p>
    <w:p w14:paraId="090C0D89">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5）施工组织设计及施工方案（含分部及专项施工方案）；</w:t>
      </w:r>
    </w:p>
    <w:p w14:paraId="2102762B">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6）开工报告、竣工验收报告；</w:t>
      </w:r>
    </w:p>
    <w:p w14:paraId="1F65AA64">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ascii="仿宋" w:hAnsi="仿宋" w:eastAsia="仿宋" w:cs="仿宋"/>
          <w:bCs/>
          <w:snapToGrid w:val="0"/>
          <w:color w:val="auto"/>
          <w:kern w:val="0"/>
          <w:sz w:val="24"/>
          <w:highlight w:val="none"/>
        </w:rPr>
        <w:t>7</w:t>
      </w:r>
      <w:r>
        <w:rPr>
          <w:rFonts w:hint="eastAsia" w:ascii="仿宋" w:hAnsi="仿宋" w:eastAsia="仿宋" w:cs="仿宋"/>
          <w:bCs/>
          <w:snapToGrid w:val="0"/>
          <w:color w:val="auto"/>
          <w:kern w:val="0"/>
          <w:sz w:val="24"/>
          <w:highlight w:val="none"/>
        </w:rPr>
        <w:t>）工程变更资料或指令文件；</w:t>
      </w:r>
    </w:p>
    <w:p w14:paraId="65B869E1">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ascii="仿宋" w:hAnsi="仿宋" w:eastAsia="仿宋" w:cs="仿宋"/>
          <w:bCs/>
          <w:snapToGrid w:val="0"/>
          <w:color w:val="auto"/>
          <w:kern w:val="0"/>
          <w:sz w:val="24"/>
          <w:highlight w:val="none"/>
        </w:rPr>
        <w:t>8</w:t>
      </w:r>
      <w:r>
        <w:rPr>
          <w:rFonts w:hint="eastAsia" w:ascii="仿宋" w:hAnsi="仿宋" w:eastAsia="仿宋" w:cs="仿宋"/>
          <w:bCs/>
          <w:snapToGrid w:val="0"/>
          <w:color w:val="auto"/>
          <w:kern w:val="0"/>
          <w:sz w:val="24"/>
          <w:highlight w:val="none"/>
        </w:rPr>
        <w:t>）施工记录及相关票据：按实计算费用的证明材料，如桩基础施工记录以及消纳费、税费、材料检验试验费等相关发票；</w:t>
      </w:r>
    </w:p>
    <w:p w14:paraId="2C97D3D2">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ascii="仿宋" w:hAnsi="仿宋" w:eastAsia="仿宋" w:cs="仿宋"/>
          <w:bCs/>
          <w:snapToGrid w:val="0"/>
          <w:color w:val="auto"/>
          <w:kern w:val="0"/>
          <w:sz w:val="24"/>
          <w:highlight w:val="none"/>
        </w:rPr>
        <w:t>9</w:t>
      </w:r>
      <w:r>
        <w:rPr>
          <w:rFonts w:hint="eastAsia" w:ascii="仿宋" w:hAnsi="仿宋" w:eastAsia="仿宋" w:cs="仿宋"/>
          <w:bCs/>
          <w:snapToGrid w:val="0"/>
          <w:color w:val="auto"/>
          <w:kern w:val="0"/>
          <w:sz w:val="24"/>
          <w:highlight w:val="none"/>
        </w:rPr>
        <w:t>）发包人的送货通知书（如有）；</w:t>
      </w:r>
    </w:p>
    <w:p w14:paraId="0726BEEE">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0</w:t>
      </w:r>
      <w:r>
        <w:rPr>
          <w:rFonts w:hint="eastAsia" w:ascii="仿宋" w:hAnsi="仿宋" w:eastAsia="仿宋" w:cs="仿宋"/>
          <w:bCs/>
          <w:snapToGrid w:val="0"/>
          <w:color w:val="auto"/>
          <w:kern w:val="0"/>
          <w:sz w:val="24"/>
          <w:highlight w:val="none"/>
        </w:rPr>
        <w:t>）发包人出具的所有验收证明文件；</w:t>
      </w:r>
    </w:p>
    <w:p w14:paraId="4DC06FC5">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1</w:t>
      </w:r>
      <w:r>
        <w:rPr>
          <w:rFonts w:hint="eastAsia" w:ascii="仿宋" w:hAnsi="仿宋" w:eastAsia="仿宋" w:cs="仿宋"/>
          <w:bCs/>
          <w:snapToGrid w:val="0"/>
          <w:color w:val="auto"/>
          <w:kern w:val="0"/>
          <w:sz w:val="24"/>
          <w:highlight w:val="none"/>
        </w:rPr>
        <w:t>）约定的其它应收款及索赔相关资料；</w:t>
      </w:r>
    </w:p>
    <w:p w14:paraId="75ABC4F1">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2</w:t>
      </w:r>
      <w:r>
        <w:rPr>
          <w:rFonts w:hint="eastAsia" w:ascii="仿宋" w:hAnsi="仿宋" w:eastAsia="仿宋" w:cs="仿宋"/>
          <w:bCs/>
          <w:snapToGrid w:val="0"/>
          <w:color w:val="auto"/>
          <w:kern w:val="0"/>
          <w:sz w:val="24"/>
          <w:highlight w:val="none"/>
        </w:rPr>
        <w:t>）承包人已收到的各期货款明细及总金额，附相关财务凭证；</w:t>
      </w:r>
    </w:p>
    <w:p w14:paraId="2E29F331">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3</w:t>
      </w:r>
      <w:r>
        <w:rPr>
          <w:rFonts w:hint="eastAsia" w:ascii="仿宋" w:hAnsi="仿宋" w:eastAsia="仿宋" w:cs="仿宋"/>
          <w:bCs/>
          <w:snapToGrid w:val="0"/>
          <w:color w:val="auto"/>
          <w:kern w:val="0"/>
          <w:sz w:val="24"/>
          <w:highlight w:val="none"/>
        </w:rPr>
        <w:t>）结算承诺书；</w:t>
      </w:r>
    </w:p>
    <w:p w14:paraId="3F96F2E8">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w:t>
      </w:r>
      <w:r>
        <w:rPr>
          <w:rFonts w:ascii="仿宋" w:hAnsi="仿宋" w:eastAsia="仿宋" w:cs="仿宋"/>
          <w:bCs/>
          <w:snapToGrid w:val="0"/>
          <w:color w:val="auto"/>
          <w:kern w:val="0"/>
          <w:sz w:val="24"/>
          <w:highlight w:val="none"/>
        </w:rPr>
        <w:t>4</w:t>
      </w:r>
      <w:r>
        <w:rPr>
          <w:rFonts w:hint="eastAsia" w:ascii="仿宋" w:hAnsi="仿宋" w:eastAsia="仿宋" w:cs="仿宋"/>
          <w:bCs/>
          <w:snapToGrid w:val="0"/>
          <w:color w:val="auto"/>
          <w:kern w:val="0"/>
          <w:sz w:val="24"/>
          <w:highlight w:val="none"/>
        </w:rPr>
        <w:t>）竣工图：要求竣工图必须是经过建设单位、设计院、监理、总包单位确认，设计变更和实际的施工变更必须在竣工图上全面、准确地反映。</w:t>
      </w:r>
    </w:p>
    <w:p w14:paraId="5A23F4F4">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其中对于编制竣工图的形式和深度，主要有以下几种不同的情况：</w:t>
      </w:r>
    </w:p>
    <w:p w14:paraId="0337D6AE">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A</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 xml:space="preserve">施工图施工没有变动的，则由承包人在原施工图上加盖“竣工图”章后，即作为竣工图。 </w:t>
      </w:r>
    </w:p>
    <w:p w14:paraId="501BE565">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B</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凡在施工中，虽有一般性设计变更，但图面改动量较小的，可不重新绘制，将原施工图加以修改补充作为竣工图。由承包人负责在原施工图（必须是新蓝图）上注明修改的部分（采用不同于蓝图的颜色表示），并附以设计变更通知单和施工说明，加盖“竣工图”标志后，即作为竣工图。</w:t>
      </w:r>
    </w:p>
    <w:p w14:paraId="74368DC8">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C</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结构形式改变、工艺改变、平面布置改变、项目改变以及有其他重大改变，图面改动量较大，不宜再在原施工图上修改、补充的，应重新绘制改变后的图纸作为竣工图。其中，设计原因造成的图纸变动，由原设计单位负责重新绘图；其他原因造成的，由承包人委托原设计人重新绘图，相关费用已经包含在投标报价内。对于重新绘制的竣工图纸，设计人要在新的图纸上用云线标记改动的部分以与原设计图纸进行区分，并在图纸上标示改动部分相对应的变更编号。设计院出图后，承包人在新图上加盖“竣工图”章并附以有关记录和说明，作为竣工图。</w:t>
      </w:r>
    </w:p>
    <w:p w14:paraId="1F2774AD">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D</w:t>
      </w:r>
      <w:r>
        <w:rPr>
          <w:rFonts w:hint="eastAsia" w:ascii="仿宋" w:hAnsi="仿宋" w:eastAsia="仿宋" w:cs="仿宋"/>
          <w:bCs/>
          <w:snapToGrid w:val="0"/>
          <w:color w:val="auto"/>
          <w:kern w:val="0"/>
          <w:sz w:val="24"/>
          <w:highlight w:val="none"/>
          <w:lang w:eastAsia="zh-CN"/>
        </w:rPr>
        <w:t>.</w:t>
      </w:r>
      <w:r>
        <w:rPr>
          <w:rFonts w:hint="eastAsia" w:ascii="仿宋" w:hAnsi="仿宋" w:eastAsia="仿宋" w:cs="仿宋"/>
          <w:bCs/>
          <w:snapToGrid w:val="0"/>
          <w:color w:val="auto"/>
          <w:kern w:val="0"/>
          <w:sz w:val="24"/>
          <w:highlight w:val="none"/>
        </w:rPr>
        <w:t>竣工图一定要与实际施工情况相符，保证图纸质量，做到规格统一，图面整洁、字迹清楚，不得用圆珠笔或其他易于褪色的墨水绘制。竣工图要经承包人的技术负责人审核签认。竣工图上无反映的，不结算（除现场签证）。竣工图上反映不正确的，需改正后才能结算。施工图改绘竣工图若变更部分超过图面1/3的，应当重新绘制竣工图。</w:t>
      </w:r>
    </w:p>
    <w:p w14:paraId="0C438000">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（3）承包人应向监理人、工程造价咨询人</w:t>
      </w:r>
      <w:r>
        <w:rPr>
          <w:rFonts w:hint="eastAsia" w:ascii="仿宋" w:hAnsi="仿宋" w:eastAsia="仿宋" w:cs="仿宋"/>
          <w:bCs/>
          <w:snapToGrid w:val="0"/>
          <w:color w:val="auto"/>
          <w:kern w:val="0"/>
          <w:sz w:val="24"/>
          <w:highlight w:val="none"/>
          <w:lang w:eastAsia="zh"/>
          <w:woUserID w:val="1"/>
        </w:rPr>
        <w:t>（如有）</w:t>
      </w:r>
      <w:r>
        <w:rPr>
          <w:rFonts w:hint="eastAsia" w:ascii="仿宋" w:hAnsi="仿宋" w:eastAsia="仿宋" w:cs="仿宋"/>
          <w:bCs/>
          <w:snapToGrid w:val="0"/>
          <w:color w:val="auto"/>
          <w:kern w:val="0"/>
          <w:sz w:val="24"/>
          <w:highlight w:val="none"/>
        </w:rPr>
        <w:t>及发包人一次性提交完整的结算资料原件伍份（监理一份，发包人四份），结算资料不得后补。如监理合同中无审核造价义务，则监理人在收到承包人完整结算书之日起14个工作日内依据合同对报审工程进行工程质量、合同履约情况（明确合同内未做及新增项目）、工程实际工期节点、隐蔽工程验收情况及资料等进行审核并出具专项报告后提交至发包人项目部。如监理人合同中有审核造价义务，则监理人审核结算时间按发包人要求时间执行。如果不在规定时间内提交结算资料的，发包人可单方面确定本工程的结算造价。由于承包人提交结算资料不完整而影响发包人审核结算价的视为承包人同意该结算资料不完整部分的工程结算价由发包人单方面确定。</w:t>
      </w:r>
    </w:p>
    <w:p w14:paraId="46A3E4D7">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承包人必须无条件配合发包人提出的结算对数时间和地点，承包人须根据发包人安排参与结算对数工作，承包人不在发包人要求的时间或地点内参与对数的视为承包人同意该工程的结算价由发包人单方面确定。</w:t>
      </w:r>
    </w:p>
    <w:p w14:paraId="18D1D43C">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（5）若承包人对发包人提出的结算核减拒不接受且不能提出合理依据或不在规定的时间内配合对数并最终书面确认，则视为承包人放弃合同中约定的权利，发包人可单方面确定本工程的结算造价。</w:t>
      </w:r>
    </w:p>
    <w:p w14:paraId="446189DD">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6）本合同履行过程中所有往来文件如图纸会审记录、工作联系单、合同变更单、签证单等一切来往资料涉及到结算时增加费用，必须以发包人盖章（公司公章或其授权的施工现场管理机构章）确认为准，其他任何形式的文件（如监理人、咨询公司、设计单位盖章或个人签名文件、复印件等文件、发包人非授权部门公章或个人签订原件或复印件等文件）一律无效；涉及到结算金额减少的来往文件则不限发包人盖章（公司公章或其授权的施工现场管理机构章）确认，如承包人不按发包人要求在规定时间内书面确认上述减少金额的，发包人可单方面确定扣减金额并从合同结算总价中扣除。</w:t>
      </w:r>
    </w:p>
    <w:p w14:paraId="2260074F">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7）属于承包人合同范围内的工程或变更新增工程，承包人应及时按变更进行施工，不得以任何理由拒绝，如承包人不按合同约定施工的，发包人可安排第三方单位施工，由此发包人支付给第三方单位的费用且在该费用上增加20%的管理费均由承包人承担并在结算总价中直接扣除。</w:t>
      </w:r>
    </w:p>
    <w:p w14:paraId="64582652">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（8）如承包人不能按上述要求报送结算资料，则按1000元/天扣罚，罚金在工程款支付中扣减。</w:t>
      </w:r>
    </w:p>
    <w:p w14:paraId="46999EC1">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（9）施工较独立的具备分段结算的工程项目，须按发包人要求的时间提交结算资料办理分段结算。</w:t>
      </w:r>
    </w:p>
    <w:p w14:paraId="52D8D7CF">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w:t>
      </w:r>
      <w:r>
        <w:rPr>
          <w:rFonts w:ascii="仿宋" w:hAnsi="仿宋" w:eastAsia="仿宋" w:cs="仿宋"/>
          <w:bCs/>
          <w:snapToGrid w:val="0"/>
          <w:color w:val="auto"/>
          <w:kern w:val="0"/>
          <w:sz w:val="24"/>
          <w:highlight w:val="none"/>
        </w:rPr>
        <w:t>8</w:t>
      </w:r>
      <w:r>
        <w:rPr>
          <w:rFonts w:hint="eastAsia" w:ascii="仿宋" w:hAnsi="仿宋" w:eastAsia="仿宋" w:cs="仿宋"/>
          <w:bCs/>
          <w:snapToGrid w:val="0"/>
          <w:color w:val="auto"/>
          <w:kern w:val="0"/>
          <w:sz w:val="24"/>
          <w:highlight w:val="none"/>
        </w:rPr>
        <w:t>.2关于承包人高估冒算的约定</w:t>
      </w:r>
    </w:p>
    <w:p w14:paraId="22B8E075">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承包人编制造价文件（即涉及确定费用的文件，含变更签证费用、工程结算书等）应实事求是，不得高估冒算，否则承包人应承担相应的违约费用，超出合同约定的核减率，每次审核按以下方法计算相应违约费用（以发包方审核结果为准）：</w:t>
      </w:r>
    </w:p>
    <w:p w14:paraId="06950921">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核减额=承包人编报金额-发包人最终审核金额</w:t>
      </w:r>
    </w:p>
    <w:p w14:paraId="1F099A46">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核减率=核减额/承包人编报金额×100%。</w:t>
      </w:r>
    </w:p>
    <w:p w14:paraId="3F38ACF5">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（1）若5%＜核减率≤10%，承包人承担违约费用=（核减率-5%）×承包人编报金额×5%。</w:t>
      </w:r>
    </w:p>
    <w:p w14:paraId="65F84FE9">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（2）若核减率＞10%，承包人承担违约费用=核减额×5%。</w:t>
      </w:r>
    </w:p>
    <w:p w14:paraId="4A6229B4">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（3）签证、变更的违约费用在审核造价中扣减；结算审核的违约费用在结算款支付中扣减。</w:t>
      </w:r>
    </w:p>
    <w:p w14:paraId="1C2903E0">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14:paraId="6EF9987E">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w:t>
      </w:r>
      <w:r>
        <w:rPr>
          <w:rFonts w:ascii="仿宋" w:hAnsi="仿宋" w:eastAsia="仿宋" w:cs="仿宋"/>
          <w:bCs/>
          <w:snapToGrid w:val="0"/>
          <w:color w:val="auto"/>
          <w:kern w:val="0"/>
          <w:sz w:val="24"/>
          <w:highlight w:val="none"/>
        </w:rPr>
        <w:t>8</w:t>
      </w:r>
      <w:r>
        <w:rPr>
          <w:rFonts w:hint="eastAsia" w:ascii="仿宋" w:hAnsi="仿宋" w:eastAsia="仿宋" w:cs="仿宋"/>
          <w:bCs/>
          <w:snapToGrid w:val="0"/>
          <w:color w:val="auto"/>
          <w:kern w:val="0"/>
          <w:sz w:val="24"/>
          <w:highlight w:val="none"/>
        </w:rPr>
        <w:t>.3竣工结算审核</w:t>
      </w:r>
    </w:p>
    <w:p w14:paraId="63AA3803">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发包人审批竣工结算的期限：监理人及工程造价咨询人应在收到竣工结算文件后90天内完成核查并报送发包人。发包人应在收到监理人及工程造价咨询人提交的经审核的竣工结算文件后90天内完成审批。监理人及工程造价咨询人或发包人对竣工结算文件有异议的，有权要求承包人进行修正和提供补充资料，承包人应提交修正后的竣工结算文件。</w:t>
      </w:r>
    </w:p>
    <w:p w14:paraId="26C34009">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（2）发包人可根据需要对结算进行复审（不限制次数），承包人须无条件配合，否则视为承包人违约；属于承包人违约的，结算工作每延误一天完成的承包人须向发包人支付合同总价0.1%的违约金。</w:t>
      </w:r>
    </w:p>
    <w:p w14:paraId="69F87F29">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关于竣工结算异议部分复核的方式和程序：承包人对发包人审核的竣工结算有异议的，对于有异议部分应在收到发包人的审核意见后7天内提出异议，并由合同当事人按照专用合同条款约定的方式和程序进行复核。承包人逾期未提出异议的，视为认可发包人的审批结果。</w:t>
      </w:r>
    </w:p>
    <w:p w14:paraId="61D6515D">
      <w:pPr>
        <w:shd w:val="clear"/>
        <w:adjustRightInd w:val="0"/>
        <w:snapToGrid w:val="0"/>
        <w:spacing w:line="360" w:lineRule="auto"/>
        <w:ind w:firstLine="480" w:firstLineChars="200"/>
        <w:rPr>
          <w:rFonts w:ascii="仿宋" w:hAnsi="仿宋" w:eastAsia="仿宋" w:cs="仿宋"/>
          <w:b/>
          <w:snapToGrid w:val="0"/>
          <w:color w:val="auto"/>
          <w:kern w:val="0"/>
          <w:sz w:val="24"/>
          <w:highlight w:val="none"/>
        </w:rPr>
      </w:pPr>
      <w:r>
        <w:rPr>
          <w:rFonts w:hint="eastAsia" w:ascii="仿宋" w:hAnsi="仿宋" w:eastAsia="仿宋" w:cs="仿宋"/>
          <w:snapToGrid w:val="0"/>
          <w:color w:val="auto"/>
          <w:kern w:val="0"/>
          <w:sz w:val="24"/>
          <w:highlight w:val="none"/>
        </w:rPr>
        <w:t xml:space="preserve">    </w:t>
      </w:r>
    </w:p>
    <w:p w14:paraId="15A07507">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32" w:name="_Toc83377290"/>
      <w:bookmarkStart w:id="233" w:name="_Toc28739"/>
      <w:bookmarkStart w:id="234" w:name="_Toc2784901"/>
      <w:r>
        <w:rPr>
          <w:rFonts w:hint="eastAsia" w:ascii="仿宋" w:hAnsi="仿宋" w:eastAsia="仿宋" w:cs="仿宋"/>
          <w:b/>
          <w:snapToGrid w:val="0"/>
          <w:color w:val="auto"/>
          <w:kern w:val="0"/>
          <w:sz w:val="24"/>
          <w:highlight w:val="none"/>
          <w:lang w:eastAsia="zh-CN"/>
        </w:rPr>
        <w:t>39.</w:t>
      </w:r>
      <w:r>
        <w:rPr>
          <w:rFonts w:hint="eastAsia" w:ascii="仿宋" w:hAnsi="仿宋" w:eastAsia="仿宋" w:cs="仿宋"/>
          <w:b/>
          <w:snapToGrid w:val="0"/>
          <w:color w:val="auto"/>
          <w:kern w:val="0"/>
          <w:sz w:val="24"/>
          <w:highlight w:val="none"/>
        </w:rPr>
        <w:t>缺陷责任及质量保修</w:t>
      </w:r>
      <w:bookmarkEnd w:id="232"/>
      <w:bookmarkEnd w:id="233"/>
      <w:bookmarkEnd w:id="234"/>
    </w:p>
    <w:p w14:paraId="37554175">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ascii="仿宋" w:hAnsi="仿宋" w:eastAsia="仿宋" w:cs="仿宋"/>
          <w:snapToGrid w:val="0"/>
          <w:color w:val="auto"/>
          <w:kern w:val="0"/>
          <w:sz w:val="24"/>
          <w:highlight w:val="none"/>
        </w:rPr>
        <w:t>39</w:t>
      </w:r>
      <w:r>
        <w:rPr>
          <w:rFonts w:hint="eastAsia" w:ascii="仿宋" w:hAnsi="仿宋" w:eastAsia="仿宋" w:cs="仿宋"/>
          <w:snapToGrid w:val="0"/>
          <w:color w:val="auto"/>
          <w:kern w:val="0"/>
          <w:sz w:val="24"/>
          <w:highlight w:val="none"/>
        </w:rPr>
        <w:t>.1承包人应按法律、行政法规或国家关于工程质量保修的有关规定，对交付发包人（或项目产权管理单位）使用的工程在缺陷责任期及质量保修期内承担质量保修责任。</w:t>
      </w:r>
    </w:p>
    <w:p w14:paraId="40F3290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ascii="仿宋" w:hAnsi="仿宋" w:eastAsia="仿宋" w:cs="仿宋"/>
          <w:snapToGrid w:val="0"/>
          <w:color w:val="auto"/>
          <w:kern w:val="0"/>
          <w:sz w:val="24"/>
          <w:highlight w:val="none"/>
        </w:rPr>
        <w:t>39</w:t>
      </w:r>
      <w:r>
        <w:rPr>
          <w:rFonts w:hint="eastAsia" w:ascii="仿宋" w:hAnsi="仿宋" w:eastAsia="仿宋" w:cs="仿宋"/>
          <w:snapToGrid w:val="0"/>
          <w:color w:val="auto"/>
          <w:kern w:val="0"/>
          <w:sz w:val="24"/>
          <w:highlight w:val="none"/>
        </w:rPr>
        <w:t>.2承包人应在签订本合同的同时与发包人签订工程质量保修书（见合同附件）。</w:t>
      </w:r>
    </w:p>
    <w:p w14:paraId="3FAB4C0A">
      <w:pPr>
        <w:shd w:val="clear"/>
        <w:adjustRightInd w:val="0"/>
        <w:snapToGrid w:val="0"/>
        <w:spacing w:line="360" w:lineRule="auto"/>
        <w:ind w:firstLine="480" w:firstLineChars="200"/>
        <w:rPr>
          <w:rFonts w:ascii="仿宋" w:hAnsi="仿宋" w:eastAsia="仿宋" w:cs="仿宋"/>
          <w:color w:val="auto"/>
          <w:sz w:val="24"/>
          <w:szCs w:val="24"/>
          <w:highlight w:val="none"/>
        </w:rPr>
      </w:pPr>
      <w:r>
        <w:rPr>
          <w:rFonts w:ascii="仿宋" w:hAnsi="仿宋" w:eastAsia="仿宋" w:cs="仿宋"/>
          <w:snapToGrid w:val="0"/>
          <w:color w:val="auto"/>
          <w:kern w:val="0"/>
          <w:sz w:val="24"/>
          <w:highlight w:val="none"/>
        </w:rPr>
        <w:t>39</w:t>
      </w:r>
      <w:r>
        <w:rPr>
          <w:rFonts w:hint="eastAsia" w:ascii="仿宋" w:hAnsi="仿宋" w:eastAsia="仿宋" w:cs="仿宋"/>
          <w:snapToGrid w:val="0"/>
          <w:color w:val="auto"/>
          <w:kern w:val="0"/>
          <w:sz w:val="24"/>
          <w:highlight w:val="none"/>
        </w:rPr>
        <w:t>.3</w:t>
      </w:r>
      <w:r>
        <w:rPr>
          <w:rFonts w:hint="eastAsia" w:ascii="仿宋" w:hAnsi="仿宋" w:eastAsia="仿宋" w:cs="仿宋"/>
          <w:color w:val="auto"/>
          <w:sz w:val="24"/>
          <w:szCs w:val="24"/>
          <w:highlight w:val="none"/>
        </w:rPr>
        <w:t>保修期内，承包人应当根据法律规定以及合同约定承担缺陷修复及质量保修责任，承包人不得以其与分包单位之间保修责任划分而拒绝履行缺陷修复及质量保修责任。</w:t>
      </w:r>
    </w:p>
    <w:p w14:paraId="03BEB9F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p>
    <w:p w14:paraId="7914C008">
      <w:pPr>
        <w:shd w:val="clear"/>
        <w:adjustRightInd w:val="0"/>
        <w:snapToGrid w:val="0"/>
        <w:spacing w:line="360" w:lineRule="auto"/>
        <w:outlineLvl w:val="1"/>
        <w:rPr>
          <w:rFonts w:ascii="仿宋" w:hAnsi="仿宋" w:eastAsia="仿宋" w:cs="仿宋"/>
          <w:b/>
          <w:snapToGrid w:val="0"/>
          <w:color w:val="auto"/>
          <w:kern w:val="0"/>
          <w:sz w:val="30"/>
          <w:szCs w:val="30"/>
          <w:highlight w:val="none"/>
        </w:rPr>
      </w:pPr>
      <w:bookmarkStart w:id="235" w:name="_Toc2784902"/>
      <w:bookmarkStart w:id="236" w:name="_Toc83377291"/>
      <w:bookmarkStart w:id="237" w:name="_Toc8665"/>
      <w:r>
        <w:rPr>
          <w:rFonts w:hint="eastAsia" w:ascii="仿宋" w:hAnsi="仿宋" w:eastAsia="仿宋" w:cs="仿宋"/>
          <w:b/>
          <w:snapToGrid w:val="0"/>
          <w:color w:val="auto"/>
          <w:kern w:val="0"/>
          <w:sz w:val="30"/>
          <w:szCs w:val="30"/>
          <w:highlight w:val="none"/>
        </w:rPr>
        <w:t>十一、违约、索赔和争议</w:t>
      </w:r>
      <w:bookmarkEnd w:id="235"/>
      <w:bookmarkEnd w:id="236"/>
      <w:bookmarkEnd w:id="237"/>
    </w:p>
    <w:p w14:paraId="0DE10EC0">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38" w:name="_Toc22275"/>
      <w:bookmarkStart w:id="239" w:name="_Toc2784903"/>
      <w:bookmarkStart w:id="240" w:name="_Toc83377292"/>
      <w:r>
        <w:rPr>
          <w:rFonts w:hint="eastAsia" w:ascii="仿宋" w:hAnsi="仿宋" w:eastAsia="仿宋" w:cs="仿宋"/>
          <w:b/>
          <w:snapToGrid w:val="0"/>
          <w:color w:val="auto"/>
          <w:kern w:val="0"/>
          <w:sz w:val="24"/>
          <w:highlight w:val="none"/>
          <w:lang w:eastAsia="zh-CN"/>
        </w:rPr>
        <w:t>40.</w:t>
      </w:r>
      <w:r>
        <w:rPr>
          <w:rFonts w:hint="eastAsia" w:ascii="仿宋" w:hAnsi="仿宋" w:eastAsia="仿宋" w:cs="仿宋"/>
          <w:b/>
          <w:snapToGrid w:val="0"/>
          <w:color w:val="auto"/>
          <w:kern w:val="0"/>
          <w:sz w:val="24"/>
          <w:highlight w:val="none"/>
        </w:rPr>
        <w:t>违约</w:t>
      </w:r>
      <w:bookmarkEnd w:id="238"/>
      <w:bookmarkEnd w:id="239"/>
      <w:bookmarkEnd w:id="240"/>
    </w:p>
    <w:p w14:paraId="2B92E7E1">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4</w:t>
      </w:r>
      <w:r>
        <w:rPr>
          <w:rFonts w:ascii="仿宋" w:hAnsi="仿宋" w:eastAsia="仿宋" w:cs="仿宋"/>
          <w:bCs/>
          <w:snapToGrid w:val="0"/>
          <w:color w:val="auto"/>
          <w:kern w:val="0"/>
          <w:sz w:val="24"/>
          <w:highlight w:val="none"/>
        </w:rPr>
        <w:t>0</w:t>
      </w:r>
      <w:r>
        <w:rPr>
          <w:rFonts w:hint="eastAsia" w:ascii="仿宋" w:hAnsi="仿宋" w:eastAsia="仿宋" w:cs="仿宋"/>
          <w:bCs/>
          <w:snapToGrid w:val="0"/>
          <w:color w:val="auto"/>
          <w:kern w:val="0"/>
          <w:sz w:val="24"/>
          <w:highlight w:val="none"/>
        </w:rPr>
        <w:t>.1</w:t>
      </w:r>
      <w:r>
        <w:rPr>
          <w:rFonts w:hint="eastAsia" w:ascii="仿宋" w:hAnsi="仿宋" w:eastAsia="仿宋" w:cs="仿宋"/>
          <w:snapToGrid w:val="0"/>
          <w:color w:val="auto"/>
          <w:kern w:val="0"/>
          <w:sz w:val="24"/>
          <w:highlight w:val="none"/>
        </w:rPr>
        <w:t>发包人的违约责任</w:t>
      </w:r>
    </w:p>
    <w:p w14:paraId="0D498C57">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（1）发包人无正当理由不按合同约定支付工程预付款、进度款和竣工结算款的，除应继续支付本合同约定的工程预付款、进度款和竣工结算款外，承包人有权根据应付未付合同款要求发包人按照</w:t>
      </w:r>
      <w:bookmarkStart w:id="241" w:name="OLE_LINK29"/>
      <w:bookmarkStart w:id="242" w:name="OLE_LINK30"/>
      <w:r>
        <w:rPr>
          <w:rFonts w:hint="eastAsia" w:ascii="仿宋" w:hAnsi="仿宋" w:eastAsia="仿宋" w:cs="仿宋"/>
          <w:snapToGrid w:val="0"/>
          <w:color w:val="auto"/>
          <w:kern w:val="0"/>
          <w:sz w:val="24"/>
          <w:highlight w:val="none"/>
        </w:rPr>
        <w:t>中国人民银行发布的同期活期存款基准利率</w:t>
      </w:r>
      <w:bookmarkEnd w:id="241"/>
      <w:bookmarkEnd w:id="242"/>
      <w:r>
        <w:rPr>
          <w:rFonts w:hint="eastAsia" w:ascii="仿宋" w:hAnsi="仿宋" w:eastAsia="仿宋" w:cs="仿宋"/>
          <w:snapToGrid w:val="0"/>
          <w:color w:val="auto"/>
          <w:kern w:val="0"/>
          <w:sz w:val="24"/>
          <w:highlight w:val="none"/>
        </w:rPr>
        <w:t>支付违约金。</w:t>
      </w:r>
    </w:p>
    <w:p w14:paraId="00624225">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（2）因发包人违约或者过错给承包人造成损失的，在承包人提交足够证据并经查证属实的情况下，发包人应赔偿其直接经济损失。</w:t>
      </w:r>
    </w:p>
    <w:p w14:paraId="77A230C7">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4</w:t>
      </w:r>
      <w:r>
        <w:rPr>
          <w:rFonts w:ascii="仿宋" w:hAnsi="仿宋" w:eastAsia="仿宋" w:cs="仿宋"/>
          <w:bCs/>
          <w:snapToGrid w:val="0"/>
          <w:color w:val="auto"/>
          <w:kern w:val="0"/>
          <w:sz w:val="24"/>
          <w:highlight w:val="none"/>
        </w:rPr>
        <w:t>0</w:t>
      </w:r>
      <w:r>
        <w:rPr>
          <w:rFonts w:hint="eastAsia" w:ascii="仿宋" w:hAnsi="仿宋" w:eastAsia="仿宋" w:cs="仿宋"/>
          <w:snapToGrid w:val="0"/>
          <w:color w:val="auto"/>
          <w:kern w:val="0"/>
          <w:sz w:val="24"/>
          <w:highlight w:val="none"/>
        </w:rPr>
        <w:t>.2承包人违约。</w:t>
      </w:r>
    </w:p>
    <w:p w14:paraId="43698A21">
      <w:pPr>
        <w:pStyle w:val="21"/>
        <w:shd w:val="clear"/>
        <w:spacing w:line="360" w:lineRule="auto"/>
        <w:ind w:firstLine="240"/>
        <w:rPr>
          <w:rFonts w:ascii="仿宋" w:hAnsi="仿宋" w:eastAsia="仿宋" w:cs="仿宋"/>
          <w:color w:val="auto"/>
          <w:highlight w:val="none"/>
        </w:rPr>
      </w:pPr>
      <w:r>
        <w:rPr>
          <w:rFonts w:hint="eastAsia" w:ascii="仿宋" w:hAnsi="仿宋" w:eastAsia="仿宋" w:cs="仿宋"/>
          <w:snapToGrid w:val="0"/>
          <w:color w:val="auto"/>
          <w:sz w:val="24"/>
          <w:highlight w:val="none"/>
        </w:rPr>
        <w:t>承包人一方在履行本合同时因自身原因导致违约或发包人要求赔偿时，相应的违约责任及赔偿由违约的一方承担。</w:t>
      </w:r>
    </w:p>
    <w:p w14:paraId="25C1CE2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snapToGrid w:val="0"/>
          <w:color w:val="auto"/>
          <w:kern w:val="0"/>
          <w:sz w:val="24"/>
          <w:highlight w:val="none"/>
        </w:rPr>
        <w:t>4</w:t>
      </w:r>
      <w:r>
        <w:rPr>
          <w:rFonts w:ascii="仿宋" w:hAnsi="仿宋" w:eastAsia="仿宋" w:cs="仿宋"/>
          <w:bCs/>
          <w:snapToGrid w:val="0"/>
          <w:color w:val="auto"/>
          <w:kern w:val="0"/>
          <w:sz w:val="24"/>
          <w:highlight w:val="none"/>
        </w:rPr>
        <w:t>0</w:t>
      </w:r>
      <w:r>
        <w:rPr>
          <w:rFonts w:hint="eastAsia" w:ascii="仿宋" w:hAnsi="仿宋" w:eastAsia="仿宋" w:cs="仿宋"/>
          <w:snapToGrid w:val="0"/>
          <w:color w:val="auto"/>
          <w:kern w:val="0"/>
          <w:sz w:val="24"/>
          <w:highlight w:val="none"/>
        </w:rPr>
        <w:t>.2.1承包人违约的情形：</w:t>
      </w:r>
    </w:p>
    <w:p w14:paraId="0BFA255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（1）工程质量方面的违约责任；</w:t>
      </w:r>
    </w:p>
    <w:p w14:paraId="55631C7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（2）安全生产方面的违约责任；</w:t>
      </w:r>
    </w:p>
    <w:p w14:paraId="24D6F2E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（3）文明施工、环境保护方面的违约责任；</w:t>
      </w:r>
    </w:p>
    <w:p w14:paraId="2BD9E95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（4）工程分包、转包方面的违约责任；</w:t>
      </w:r>
    </w:p>
    <w:p w14:paraId="60C4377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（5）其他违约责任。</w:t>
      </w:r>
    </w:p>
    <w:p w14:paraId="114A21E5">
      <w:pPr>
        <w:pStyle w:val="21"/>
        <w:shd w:val="clear"/>
        <w:ind w:firstLine="480" w:firstLineChars="200"/>
        <w:rPr>
          <w:rFonts w:ascii="仿宋" w:hAnsi="仿宋" w:eastAsia="仿宋" w:cs="仿宋"/>
          <w:snapToGrid w:val="0"/>
          <w:color w:val="auto"/>
          <w:sz w:val="24"/>
          <w:highlight w:val="none"/>
        </w:rPr>
      </w:pPr>
      <w:r>
        <w:rPr>
          <w:rFonts w:hint="eastAsia" w:ascii="仿宋" w:hAnsi="仿宋" w:eastAsia="仿宋" w:cs="仿宋"/>
          <w:bCs/>
          <w:snapToGrid w:val="0"/>
          <w:color w:val="auto"/>
          <w:sz w:val="24"/>
          <w:highlight w:val="none"/>
        </w:rPr>
        <w:t>4</w:t>
      </w:r>
      <w:r>
        <w:rPr>
          <w:rFonts w:ascii="仿宋" w:hAnsi="仿宋" w:eastAsia="仿宋" w:cs="仿宋"/>
          <w:bCs/>
          <w:snapToGrid w:val="0"/>
          <w:color w:val="auto"/>
          <w:sz w:val="24"/>
          <w:highlight w:val="none"/>
        </w:rPr>
        <w:t>0</w:t>
      </w:r>
      <w:r>
        <w:rPr>
          <w:rFonts w:hint="eastAsia" w:ascii="仿宋" w:hAnsi="仿宋" w:eastAsia="仿宋" w:cs="仿宋"/>
          <w:snapToGrid w:val="0"/>
          <w:color w:val="auto"/>
          <w:sz w:val="24"/>
          <w:highlight w:val="none"/>
        </w:rPr>
        <w:t>.2.2承包人承担违约责任形式包括但不限于：</w:t>
      </w:r>
    </w:p>
    <w:p w14:paraId="01350D69">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（1）书面警告。承包人未履行或未按时履行或未按质履行义务时，监理人或发包人有权向承包人发出书面警告，每次书面警告，承包人应当支付违约金人民币2000元给发包人。</w:t>
      </w:r>
    </w:p>
    <w:p w14:paraId="1735F576">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2）限期改正。承包人受到书面警告后仍不改正，监理人或发包人有权向承包人发出《违约责任通知书》，要求承包人必须在监理人或发包人限定的时间内履行义务，同时，承包人应当向发包人支付违约金人民币5000元。</w:t>
      </w:r>
    </w:p>
    <w:p w14:paraId="5E41F8BD">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（3）一般违约责任。承包人违反本合同的约定须承担一般违约责任时，必须主动向发包人交纳违约金人民币5万元/次；若承包人再犯性质相同的违约行为，第2次7.5万元，2次以上（不含本数）10万元/次。</w:t>
      </w:r>
    </w:p>
    <w:p w14:paraId="016C1297">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（4）严重违约责任。承包人违反本合同的约定须承担严重违约责任时，必须向发包人交纳违约金人民币25万元/次。</w:t>
      </w:r>
    </w:p>
    <w:p w14:paraId="5DBB7032">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5）部分解除合同。当承包人违反本合同的约定符合解除部分合同的条件时，发包人有权向承包人发出书面解除部分合同的通知，该通知在送达承包人时部分解除合同即生效。发包人有权从本合同价款中直接扣除被解除部分工程所需的全部费用。</w:t>
      </w:r>
    </w:p>
    <w:p w14:paraId="7DB0DE2A">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（6）解除合同。当承包人违反本合同的约定符合解除全部合同的条件时，发包人有权向承包人发出书面解除全部合同的通知，该通知在送达承包人时解除合同即生效。解除合同的法律后果依照相关约定执行。</w:t>
      </w:r>
    </w:p>
    <w:p w14:paraId="41EA5DE3">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（7）赔偿损失。因承包人原因造成发包人经济损失的，承包人应向发包人赔偿因其造成的直接经济损失，但赔偿金额累计不超过合同款项总额。</w:t>
      </w:r>
    </w:p>
    <w:p w14:paraId="0F44FDCD">
      <w:pPr>
        <w:pStyle w:val="22"/>
        <w:shd w:val="clear"/>
        <w:ind w:firstLine="480"/>
        <w:rPr>
          <w:rFonts w:hint="eastAsia" w:ascii="仿宋" w:hAnsi="仿宋" w:eastAsia="仿宋" w:cs="仿宋"/>
          <w:color w:val="auto"/>
          <w:highlight w:val="none"/>
        </w:rPr>
      </w:pPr>
      <w:r>
        <w:rPr>
          <w:rFonts w:hint="eastAsia" w:ascii="仿宋" w:hAnsi="仿宋" w:eastAsia="仿宋" w:cs="仿宋"/>
          <w:color w:val="auto"/>
          <w:highlight w:val="none"/>
        </w:rPr>
        <w:t>（8）承包人施工过程必须保证施工质量、进度以及安全。在发包人以及发包人上级单位组织的月度巡检中，巡检打分表内关于质量、安全、文明施工和进度（不含成本）：当月累计扣分≤5分，发包人奖励承包人2万元/次；当月累计扣分大于5分不大于10分时，不奖不罚；当月累计扣分大于10分不大于20分时，承包人应当向发包人支付违约金人民币5万元/次；当月累计扣分大于20分时，承包人应当向发包人支付违约金人民币15万元/次。</w:t>
      </w:r>
    </w:p>
    <w:p w14:paraId="6B2D9E9F">
      <w:pPr>
        <w:pStyle w:val="22"/>
        <w:shd w:val="clear"/>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w:t>
      </w:r>
      <w:r>
        <w:rPr>
          <w:rFonts w:hint="eastAsia" w:ascii="仿宋" w:hAnsi="仿宋" w:eastAsia="仿宋"/>
          <w:color w:val="auto"/>
          <w:highlight w:val="none"/>
          <w:lang w:eastAsia="zh-CN"/>
        </w:rPr>
        <w:t>承包人按本合同约定应缴纳的违约金和赔偿金应分别计算；违约金累计总额不超过本合同结算价款的25%。</w:t>
      </w:r>
    </w:p>
    <w:p w14:paraId="4726780F">
      <w:pPr>
        <w:pStyle w:val="22"/>
        <w:shd w:val="clear"/>
        <w:ind w:firstLine="480"/>
        <w:rPr>
          <w:rFonts w:ascii="仿宋" w:hAnsi="仿宋" w:eastAsia="仿宋" w:cs="仿宋"/>
          <w:color w:val="auto"/>
          <w:highlight w:val="none"/>
        </w:rPr>
      </w:pPr>
      <w:r>
        <w:rPr>
          <w:rFonts w:hint="eastAsia" w:ascii="仿宋" w:hAnsi="仿宋" w:eastAsia="仿宋" w:cs="仿宋"/>
          <w:bCs/>
          <w:snapToGrid w:val="0"/>
          <w:color w:val="auto"/>
          <w:highlight w:val="none"/>
        </w:rPr>
        <w:t>4</w:t>
      </w:r>
      <w:r>
        <w:rPr>
          <w:rFonts w:ascii="仿宋" w:hAnsi="仿宋" w:eastAsia="仿宋" w:cs="仿宋"/>
          <w:bCs/>
          <w:snapToGrid w:val="0"/>
          <w:color w:val="auto"/>
          <w:highlight w:val="none"/>
        </w:rPr>
        <w:t>0</w:t>
      </w:r>
      <w:r>
        <w:rPr>
          <w:rFonts w:hint="eastAsia" w:ascii="仿宋" w:hAnsi="仿宋" w:eastAsia="仿宋" w:cs="仿宋"/>
          <w:snapToGrid w:val="0"/>
          <w:color w:val="auto"/>
          <w:highlight w:val="none"/>
        </w:rPr>
        <w:t>.2.3承包人违约的责任</w:t>
      </w:r>
    </w:p>
    <w:p w14:paraId="43E557F9">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承包人违约责任的承担方式和计算方法：承包人违约须向发包人支付违约金或赔偿金时，发包人有权从应支付给承包人的工程款中直接抵扣，承包人不得有异议。如在月工程款无法扣付，或扣除月工程款会影响工程正常施工时，发包人将</w:t>
      </w:r>
      <w:r>
        <w:rPr>
          <w:rFonts w:hint="eastAsia" w:ascii="仿宋" w:hAnsi="仿宋" w:eastAsia="仿宋" w:cs="仿宋"/>
          <w:color w:val="auto"/>
          <w:highlight w:val="none"/>
          <w:lang w:val="en-US" w:eastAsia="zh-CN"/>
        </w:rPr>
        <w:t>启用履约保函，详见合同</w:t>
      </w:r>
      <w:r>
        <w:rPr>
          <w:rFonts w:hint="eastAsia" w:ascii="仿宋" w:hAnsi="仿宋" w:eastAsia="仿宋" w:cs="仿宋"/>
          <w:color w:val="auto"/>
          <w:sz w:val="24"/>
          <w:szCs w:val="24"/>
          <w:highlight w:val="none"/>
          <w:lang w:eastAsia="zh-CN"/>
        </w:rPr>
        <w:t>协议</w:t>
      </w:r>
      <w:r>
        <w:rPr>
          <w:rFonts w:hint="eastAsia" w:ascii="仿宋" w:hAnsi="仿宋" w:eastAsia="仿宋" w:cs="仿宋"/>
          <w:color w:val="auto"/>
          <w:sz w:val="24"/>
          <w:szCs w:val="24"/>
          <w:highlight w:val="none"/>
          <w:lang w:val="en-US" w:eastAsia="zh-CN"/>
        </w:rPr>
        <w:t>书</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条款</w:t>
      </w:r>
      <w:r>
        <w:rPr>
          <w:rFonts w:hint="eastAsia" w:ascii="仿宋" w:hAnsi="仿宋" w:eastAsia="仿宋" w:cs="仿宋"/>
          <w:color w:val="auto"/>
          <w:highlight w:val="none"/>
          <w:lang w:val="en-US" w:eastAsia="zh-CN"/>
        </w:rPr>
        <w:t>“工程担保”</w:t>
      </w:r>
      <w:r>
        <w:rPr>
          <w:rFonts w:hint="eastAsia" w:ascii="仿宋" w:hAnsi="仿宋" w:eastAsia="仿宋" w:cs="仿宋"/>
          <w:color w:val="auto"/>
          <w:highlight w:val="none"/>
        </w:rPr>
        <w:t>。</w:t>
      </w:r>
    </w:p>
    <w:p w14:paraId="74BD72E4">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（1）承包人未按合同约定单方停工的，每停工1天</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应向发包人支付合同价款3‰的违约金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停工超过15天，发包人有权解除合同并不免除承包人的违约赔偿责任。</w:t>
      </w:r>
      <w:r>
        <w:rPr>
          <w:rFonts w:hint="eastAsia" w:ascii="仿宋" w:hAnsi="仿宋" w:eastAsia="仿宋" w:cs="仿宋"/>
          <w:bCs/>
          <w:snapToGrid w:val="0"/>
          <w:color w:val="auto"/>
          <w:szCs w:val="22"/>
          <w:highlight w:val="none"/>
        </w:rPr>
        <w:t>承包人未能如期按合同工期完成设计和施工任务，或承包人施工进度滞后、不符合本合同约定的，除本合同另有约定外，每延后1天，应向发包人支付合同价款</w:t>
      </w:r>
      <w:r>
        <w:rPr>
          <w:rFonts w:hint="eastAsia" w:ascii="仿宋" w:hAnsi="仿宋" w:eastAsia="仿宋" w:cs="仿宋"/>
          <w:color w:val="auto"/>
          <w:highlight w:val="none"/>
        </w:rPr>
        <w:t>3‰的违约金，延后超过15天，发包人有权解除合同并不免除承包人的违约责任。</w:t>
      </w:r>
    </w:p>
    <w:p w14:paraId="3879EE3E">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2）发包人和监理人按照本合同第20.5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14:paraId="79A463E4">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A</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单宗或批次材料价值在10万元以上100万元以下（含100万元），承包人承担1次一般违约责任。</w:t>
      </w:r>
    </w:p>
    <w:p w14:paraId="645055E8">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B</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单宗或批次材料价值</w:t>
      </w:r>
      <w:r>
        <w:rPr>
          <w:rFonts w:hint="eastAsia" w:ascii="仿宋" w:hAnsi="仿宋" w:eastAsia="仿宋" w:cs="仿宋"/>
          <w:color w:val="auto"/>
          <w:highlight w:val="none"/>
          <w:lang w:eastAsia="zh-CN"/>
        </w:rPr>
        <w:t>100万-200万</w:t>
      </w:r>
      <w:r>
        <w:rPr>
          <w:rFonts w:hint="eastAsia" w:ascii="仿宋" w:hAnsi="仿宋" w:eastAsia="仿宋" w:cs="仿宋"/>
          <w:color w:val="auto"/>
          <w:highlight w:val="none"/>
        </w:rPr>
        <w:t>元（含200万元），承包人承担1次严重违约责任。</w:t>
      </w:r>
    </w:p>
    <w:p w14:paraId="0939348F">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C</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单宗或批次材料价值在200万元以上的，发包人有权部分解除合同或解除合同，并要求承包人赔偿发包人由此遭受的实际损失。</w:t>
      </w:r>
    </w:p>
    <w:p w14:paraId="17D4C39F">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D</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对于单宗或批次材料价值不高于10万元的（含10万元），但累计抽检不合格达5次，承包人承担1次一般违约责任。</w:t>
      </w:r>
    </w:p>
    <w:p w14:paraId="207AA57A">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3）承包人按合同约定对材料、工程设备以及工程的所有部位及其施工工艺进行全过程的质量检查和检验，如经监理人或发包人检查发现存在较大质量问题（如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承担一般违约责任；总计发现3次以上（不含本数）或连续发现2次以上（不含本数）质量控制点不合格的，承包人承担严重违约责任；承包人采取整改措施后效果仍不明显的，发包人有权部分解除合同，将该分项工程另行发包，并不免除承包人应承担的违约赔偿责任。</w:t>
      </w:r>
    </w:p>
    <w:p w14:paraId="6F46D720">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（4）工程竣工验收达不到合同约定的质量标准的，承包人向发包人交纳审定税前结算总价2%的违约金。</w:t>
      </w:r>
    </w:p>
    <w:p w14:paraId="3F71DDEB">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5）工程保修期内发现重大质量不合格问题（该重大质量问题应界定为达不到要求的质量标准，属质量保修的问题除外），承包人必须在规定的期限返工并达到合同约定的质量等级，并按该不合格项目所处分项工程造价5%计算向发包人承担支付违约金的责任。</w:t>
      </w:r>
    </w:p>
    <w:p w14:paraId="76E801A4">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6）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14:paraId="25422F80">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7）承包人在发包人、监理人进行的日常质量安全检查中，被发现存在安全隐患的，承包人应限期改正。若同样问题被发现2次的或累计类似问题被发现3次，承包人必须承担一般违约责任1次；此类问题的认定，以发包人、监理人书面通知、指令、通报和会议纪要为准。</w:t>
      </w:r>
    </w:p>
    <w:p w14:paraId="53ECDA49">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（8）发包人、监理人按照合同约定，对承包人文明施工措施进行对照检查。经检查发现承包人因自身原因未能落实的，承包人必须承担一般违约责任，并限期改正；如不限期改正，承包人须承担严重违约责任。</w:t>
      </w:r>
    </w:p>
    <w:p w14:paraId="6320A408">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9）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14:paraId="2B289085">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10）承包人在施工过程中因其自身原因造成周围环境卫生状况较差，被其他施工单位或周围居民投诉的，承包人必须在当天内整改。若故意拖延或同样问题累计被投诉2次，或累计被投诉3次，经查实，承包人必须承担一般违约责任1次。</w:t>
      </w:r>
    </w:p>
    <w:p w14:paraId="20F95A1C">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（11）承包人擅自分包或者转包工程的，发包人有权单方部分解除合同或解除合同，由此而造成的经济损失由承包人负责赔偿。</w:t>
      </w:r>
    </w:p>
    <w:p w14:paraId="3697582E">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（12）承包人必须服从发包人、监理人管理，主动支持发包人、监理人的工作，对发包人、监理人的指令，若无正当理由而公开或变相拒不执行的，承包人须承担严重违约责任，并承担由此造成的一切经济损失。</w:t>
      </w:r>
    </w:p>
    <w:p w14:paraId="35FE1E08">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（13）承包人的承包人代表或技术负责人必须参加监理人或发包人主持的工程例会和其他要求的专题会议。除获得监理人或发包人批准外，每缺席1次，承包人须承担1次一般违约责任。</w:t>
      </w:r>
    </w:p>
    <w:p w14:paraId="454C407B">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14）承包人的工程管理人员和工程技术人员在收到中标通知书后未在合同规定的时间内全部及时到位，或未经监理人同意缺位超过24小时，或更换主要管理或技术人员的（无合理原因且未经发包人同意的）或被发包人发现有兼职情况而要求更换承包人代表及主要人员的，承包人需承担合同条款约定的全部责任，并按下表违约金额承担违约责任：</w:t>
      </w:r>
    </w:p>
    <w:p w14:paraId="48E00F10">
      <w:pPr>
        <w:shd w:val="clear"/>
        <w:spacing w:line="360" w:lineRule="auto"/>
        <w:ind w:firstLine="480" w:firstLineChars="200"/>
        <w:rPr>
          <w:rFonts w:ascii="仿宋" w:hAnsi="仿宋" w:eastAsia="仿宋" w:cs="仿宋"/>
          <w:color w:val="auto"/>
          <w:kern w:val="0"/>
          <w:sz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4140"/>
        <w:gridCol w:w="2925"/>
      </w:tblGrid>
      <w:tr w14:paraId="320E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vAlign w:val="center"/>
          </w:tcPr>
          <w:p w14:paraId="38D45A8C">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140" w:type="dxa"/>
            <w:vAlign w:val="center"/>
          </w:tcPr>
          <w:p w14:paraId="24E799A9">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违约说明</w:t>
            </w:r>
          </w:p>
        </w:tc>
        <w:tc>
          <w:tcPr>
            <w:tcW w:w="2925" w:type="dxa"/>
            <w:vAlign w:val="center"/>
          </w:tcPr>
          <w:p w14:paraId="0B19C6EE">
            <w:pPr>
              <w:shd w:val="clea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违约金额（人民币元）</w:t>
            </w:r>
          </w:p>
        </w:tc>
      </w:tr>
      <w:tr w14:paraId="4DEE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restart"/>
            <w:vAlign w:val="center"/>
          </w:tcPr>
          <w:p w14:paraId="4E7323FF">
            <w:pPr>
              <w:widowControl/>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w:t>
            </w:r>
          </w:p>
        </w:tc>
        <w:tc>
          <w:tcPr>
            <w:tcW w:w="4140" w:type="dxa"/>
            <w:vAlign w:val="center"/>
          </w:tcPr>
          <w:p w14:paraId="175E748E">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更换承包人代表</w:t>
            </w:r>
          </w:p>
        </w:tc>
        <w:tc>
          <w:tcPr>
            <w:tcW w:w="2925" w:type="dxa"/>
          </w:tcPr>
          <w:p w14:paraId="4F99CCEC">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1000000元/人</w:t>
            </w:r>
          </w:p>
        </w:tc>
      </w:tr>
      <w:tr w14:paraId="17E8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14:paraId="25934E65">
            <w:pPr>
              <w:widowControl/>
              <w:shd w:val="clear"/>
              <w:spacing w:line="360" w:lineRule="auto"/>
              <w:jc w:val="left"/>
              <w:rPr>
                <w:rFonts w:ascii="仿宋" w:hAnsi="仿宋" w:eastAsia="仿宋" w:cs="仿宋"/>
                <w:color w:val="auto"/>
                <w:kern w:val="0"/>
                <w:sz w:val="24"/>
                <w:szCs w:val="18"/>
                <w:highlight w:val="none"/>
              </w:rPr>
            </w:pPr>
          </w:p>
        </w:tc>
        <w:tc>
          <w:tcPr>
            <w:tcW w:w="4140" w:type="dxa"/>
            <w:vAlign w:val="center"/>
          </w:tcPr>
          <w:p w14:paraId="4CCC914C">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更换总工或项目副经理</w:t>
            </w:r>
          </w:p>
        </w:tc>
        <w:tc>
          <w:tcPr>
            <w:tcW w:w="2925" w:type="dxa"/>
          </w:tcPr>
          <w:p w14:paraId="6E07ED06">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500000元/人</w:t>
            </w:r>
          </w:p>
        </w:tc>
      </w:tr>
      <w:tr w14:paraId="333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14:paraId="15B27068">
            <w:pPr>
              <w:widowControl/>
              <w:shd w:val="clear"/>
              <w:spacing w:line="360" w:lineRule="auto"/>
              <w:jc w:val="left"/>
              <w:rPr>
                <w:rFonts w:ascii="仿宋" w:hAnsi="仿宋" w:eastAsia="仿宋" w:cs="仿宋"/>
                <w:color w:val="auto"/>
                <w:kern w:val="0"/>
                <w:sz w:val="24"/>
                <w:szCs w:val="18"/>
                <w:highlight w:val="none"/>
              </w:rPr>
            </w:pPr>
          </w:p>
        </w:tc>
        <w:tc>
          <w:tcPr>
            <w:tcW w:w="4140" w:type="dxa"/>
            <w:vAlign w:val="center"/>
          </w:tcPr>
          <w:p w14:paraId="2E000647">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更换其他主要施工管理及技术人员</w:t>
            </w:r>
          </w:p>
        </w:tc>
        <w:tc>
          <w:tcPr>
            <w:tcW w:w="2925" w:type="dxa"/>
          </w:tcPr>
          <w:p w14:paraId="3F3E6370">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200000元/人</w:t>
            </w:r>
          </w:p>
        </w:tc>
      </w:tr>
      <w:tr w14:paraId="29E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14" w:type="dxa"/>
            <w:vMerge w:val="restart"/>
            <w:vAlign w:val="center"/>
          </w:tcPr>
          <w:p w14:paraId="4943CB59">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2</w:t>
            </w:r>
          </w:p>
        </w:tc>
        <w:tc>
          <w:tcPr>
            <w:tcW w:w="4140" w:type="dxa"/>
            <w:vAlign w:val="center"/>
          </w:tcPr>
          <w:p w14:paraId="2003CDE2">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承包人代表岗位空缺或未到位</w:t>
            </w:r>
          </w:p>
        </w:tc>
        <w:tc>
          <w:tcPr>
            <w:tcW w:w="2925" w:type="dxa"/>
            <w:vAlign w:val="center"/>
          </w:tcPr>
          <w:p w14:paraId="01E482EC">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10000元/人·天</w:t>
            </w:r>
          </w:p>
        </w:tc>
      </w:tr>
      <w:tr w14:paraId="2E87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14:paraId="6EE90B85">
            <w:pPr>
              <w:widowControl/>
              <w:shd w:val="clear"/>
              <w:spacing w:line="360" w:lineRule="auto"/>
              <w:jc w:val="left"/>
              <w:rPr>
                <w:rFonts w:ascii="仿宋" w:hAnsi="仿宋" w:eastAsia="仿宋" w:cs="仿宋"/>
                <w:color w:val="auto"/>
                <w:kern w:val="0"/>
                <w:sz w:val="24"/>
                <w:szCs w:val="18"/>
                <w:highlight w:val="none"/>
              </w:rPr>
            </w:pPr>
          </w:p>
        </w:tc>
        <w:tc>
          <w:tcPr>
            <w:tcW w:w="4140" w:type="dxa"/>
            <w:vAlign w:val="center"/>
          </w:tcPr>
          <w:p w14:paraId="7199A8DA">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项目总工或项目副经理岗位空缺或未到位</w:t>
            </w:r>
          </w:p>
        </w:tc>
        <w:tc>
          <w:tcPr>
            <w:tcW w:w="2925" w:type="dxa"/>
          </w:tcPr>
          <w:p w14:paraId="4A59F1EA">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5000元/人·天</w:t>
            </w:r>
          </w:p>
        </w:tc>
      </w:tr>
      <w:tr w14:paraId="7219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14" w:type="dxa"/>
            <w:vMerge w:val="continue"/>
            <w:vAlign w:val="center"/>
          </w:tcPr>
          <w:p w14:paraId="731F6067">
            <w:pPr>
              <w:widowControl/>
              <w:shd w:val="clear"/>
              <w:spacing w:line="360" w:lineRule="auto"/>
              <w:jc w:val="left"/>
              <w:rPr>
                <w:rFonts w:ascii="仿宋" w:hAnsi="仿宋" w:eastAsia="仿宋" w:cs="仿宋"/>
                <w:color w:val="auto"/>
                <w:kern w:val="0"/>
                <w:sz w:val="24"/>
                <w:szCs w:val="18"/>
                <w:highlight w:val="none"/>
              </w:rPr>
            </w:pPr>
          </w:p>
        </w:tc>
        <w:tc>
          <w:tcPr>
            <w:tcW w:w="4140" w:type="dxa"/>
            <w:vAlign w:val="center"/>
          </w:tcPr>
          <w:p w14:paraId="2398F68A">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其他主要施工管理及技术人员岗位空缺或未到位</w:t>
            </w:r>
          </w:p>
        </w:tc>
        <w:tc>
          <w:tcPr>
            <w:tcW w:w="2925" w:type="dxa"/>
          </w:tcPr>
          <w:p w14:paraId="1B147FFE">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3000元/人·天</w:t>
            </w:r>
          </w:p>
        </w:tc>
      </w:tr>
      <w:tr w14:paraId="1E1C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14:paraId="56AD3C09">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3</w:t>
            </w:r>
          </w:p>
        </w:tc>
        <w:tc>
          <w:tcPr>
            <w:tcW w:w="4140" w:type="dxa"/>
            <w:vAlign w:val="center"/>
          </w:tcPr>
          <w:p w14:paraId="7F823579">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特种技术工人岗位空缺或未到位</w:t>
            </w:r>
          </w:p>
        </w:tc>
        <w:tc>
          <w:tcPr>
            <w:tcW w:w="2925" w:type="dxa"/>
          </w:tcPr>
          <w:p w14:paraId="2731CFD2">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1000元/人·天</w:t>
            </w:r>
          </w:p>
        </w:tc>
      </w:tr>
      <w:tr w14:paraId="71CA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14:paraId="6601E644">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4</w:t>
            </w:r>
          </w:p>
        </w:tc>
        <w:tc>
          <w:tcPr>
            <w:tcW w:w="4140" w:type="dxa"/>
            <w:vAlign w:val="center"/>
          </w:tcPr>
          <w:p w14:paraId="5BAD6288">
            <w:pPr>
              <w:shd w:val="clear"/>
              <w:spacing w:line="360" w:lineRule="auto"/>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抽查的劳务人员经验达不到要求的</w:t>
            </w:r>
          </w:p>
        </w:tc>
        <w:tc>
          <w:tcPr>
            <w:tcW w:w="2925" w:type="dxa"/>
          </w:tcPr>
          <w:p w14:paraId="08B2CC31">
            <w:pPr>
              <w:shd w:val="clear"/>
              <w:spacing w:line="360" w:lineRule="auto"/>
              <w:jc w:val="center"/>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1000元/人·天</w:t>
            </w:r>
          </w:p>
        </w:tc>
      </w:tr>
    </w:tbl>
    <w:p w14:paraId="31AE543C">
      <w:pPr>
        <w:pStyle w:val="22"/>
        <w:shd w:val="clear"/>
        <w:ind w:firstLine="480"/>
        <w:rPr>
          <w:rFonts w:ascii="仿宋" w:hAnsi="仿宋" w:eastAsia="仿宋" w:cs="仿宋"/>
          <w:color w:val="auto"/>
          <w:highlight w:val="none"/>
        </w:rPr>
      </w:pPr>
    </w:p>
    <w:p w14:paraId="75C9E0C6">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15）承包人需保证投标所报的全部主要机械设备按发包人批准计划全部投入本工程项目，并根据工程的实际需要适当增加投入。如果承包人的实际投入情况不满足投标文件的承诺，承包人需无条件接受合同条款的处罚，直至被清退出场，并为此承担赔偿及法律责任。</w:t>
      </w:r>
    </w:p>
    <w:p w14:paraId="1EC55B64">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（16）承包人承担一般违约责任累计达3次的，另行追加严重违约责任1次；累计承担严重违约责任达3次的，发包人有权单方面部分解除合同或解除合同。</w:t>
      </w:r>
    </w:p>
    <w:p w14:paraId="16AADEF2">
      <w:pPr>
        <w:pStyle w:val="22"/>
        <w:shd w:val="clear"/>
        <w:ind w:firstLine="480"/>
        <w:rPr>
          <w:rFonts w:ascii="仿宋" w:hAnsi="仿宋" w:eastAsia="仿宋" w:cs="仿宋"/>
          <w:color w:val="auto"/>
          <w:highlight w:val="none"/>
        </w:rPr>
      </w:pPr>
      <w:r>
        <w:rPr>
          <w:rFonts w:hint="eastAsia" w:ascii="仿宋" w:hAnsi="仿宋" w:eastAsia="仿宋" w:cs="仿宋"/>
          <w:color w:val="auto"/>
          <w:highlight w:val="none"/>
        </w:rPr>
        <w:t>（17）由于承包人或其管理的分包单位（包括施工专业分包、供货分包及劳务分包单位等）拖欠工人工资致使发包人被投诉或起诉并被判令先行垫付工人工资的，承包人除承担1次严重违约责任外，发包人有权暂停支付工程款，承包人按照每人每次10000元的标准向发包人支付违约金。该违约金在当期支付工程款中直接扣除。</w:t>
      </w:r>
    </w:p>
    <w:p w14:paraId="18ECB528">
      <w:pPr>
        <w:shd w:val="clear"/>
        <w:adjustRightInd w:val="0"/>
        <w:snapToGrid w:val="0"/>
        <w:spacing w:line="360" w:lineRule="auto"/>
        <w:rPr>
          <w:rFonts w:ascii="仿宋" w:hAnsi="仿宋" w:eastAsia="仿宋" w:cs="仿宋"/>
          <w:snapToGrid w:val="0"/>
          <w:color w:val="auto"/>
          <w:kern w:val="0"/>
          <w:sz w:val="24"/>
          <w:highlight w:val="none"/>
        </w:rPr>
      </w:pPr>
    </w:p>
    <w:p w14:paraId="279D8AA4">
      <w:pPr>
        <w:shd w:val="clear"/>
        <w:adjustRightInd w:val="0"/>
        <w:snapToGrid w:val="0"/>
        <w:spacing w:line="360" w:lineRule="auto"/>
        <w:outlineLvl w:val="2"/>
        <w:rPr>
          <w:rFonts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lang w:eastAsia="zh-CN"/>
        </w:rPr>
        <w:t>41.</w:t>
      </w:r>
      <w:r>
        <w:rPr>
          <w:rFonts w:hint="eastAsia" w:ascii="仿宋" w:hAnsi="仿宋" w:eastAsia="仿宋" w:cs="仿宋"/>
          <w:b/>
          <w:snapToGrid w:val="0"/>
          <w:color w:val="auto"/>
          <w:kern w:val="0"/>
          <w:sz w:val="24"/>
          <w:highlight w:val="none"/>
        </w:rPr>
        <w:t>索赔</w:t>
      </w:r>
    </w:p>
    <w:p w14:paraId="38EB224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.1当一方向另一方提出索赔时，要有正当索赔理由，且有索赔事件发生时的有效证据。</w:t>
      </w:r>
    </w:p>
    <w:p w14:paraId="1FEE4ECF">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.2承包人向发包人索赔的程序</w:t>
      </w:r>
    </w:p>
    <w:p w14:paraId="66662D55">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20498B16">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3FE7EDBB">
      <w:pPr>
        <w:shd w:val="clear"/>
        <w:adjustRightInd w:val="0"/>
        <w:snapToGrid w:val="0"/>
        <w:spacing w:line="360" w:lineRule="auto"/>
        <w:ind w:right="11" w:firstLine="460" w:firstLineChars="192"/>
        <w:rPr>
          <w:rFonts w:ascii="仿宋" w:hAnsi="仿宋" w:eastAsia="仿宋" w:cs="仿宋"/>
          <w:bCs/>
          <w:snapToGrid w:val="0"/>
          <w:color w:val="auto"/>
          <w:kern w:val="0"/>
          <w:sz w:val="24"/>
          <w:highlight w:val="none"/>
        </w:rPr>
      </w:pPr>
      <w:r>
        <w:rPr>
          <w:rFonts w:hint="eastAsia" w:ascii="仿宋" w:hAnsi="仿宋" w:eastAsia="仿宋" w:cs="仿宋"/>
          <w:snapToGrid w:val="0"/>
          <w:color w:val="auto"/>
          <w:kern w:val="0"/>
          <w:sz w:val="24"/>
          <w:highlight w:val="none"/>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14:paraId="23F30DE9">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（4）监理单位在收到承包人索赔报告或最终索赔报告后14天内，将处理意见书面通知发包人、承包人双方。若双方接受，此索赔事件结束；若任何一方不接受，经再次协商仍达不成一致的，则按合同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条款第4</w:t>
      </w:r>
      <w:r>
        <w:rPr>
          <w:rFonts w:hint="eastAsia" w:ascii="仿宋" w:hAnsi="仿宋" w:eastAsia="仿宋" w:cs="仿宋"/>
          <w:snapToGrid w:val="0"/>
          <w:color w:val="auto"/>
          <w:kern w:val="0"/>
          <w:sz w:val="24"/>
          <w:highlight w:val="none"/>
          <w:lang w:val="en-US" w:eastAsia="zh-CN"/>
        </w:rPr>
        <w:t>2</w:t>
      </w:r>
      <w:r>
        <w:rPr>
          <w:rFonts w:hint="eastAsia" w:ascii="仿宋" w:hAnsi="仿宋" w:eastAsia="仿宋" w:cs="仿宋"/>
          <w:snapToGrid w:val="0"/>
          <w:color w:val="auto"/>
          <w:kern w:val="0"/>
          <w:sz w:val="24"/>
          <w:highlight w:val="none"/>
        </w:rPr>
        <w:t>条的约定处理。</w:t>
      </w:r>
    </w:p>
    <w:p w14:paraId="2221BE52">
      <w:pPr>
        <w:shd w:val="clear"/>
        <w:adjustRightInd w:val="0"/>
        <w:snapToGrid w:val="0"/>
        <w:spacing w:line="360" w:lineRule="auto"/>
        <w:ind w:firstLine="470" w:firstLineChars="196"/>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lang w:val="zh-CN"/>
        </w:rPr>
        <w:t>.3承包人未能按合同约定履行自己的各项义务或发生错误，发包人按</w:t>
      </w:r>
      <w:r>
        <w:rPr>
          <w:rFonts w:hint="eastAsia" w:ascii="仿宋" w:hAnsi="仿宋" w:eastAsia="仿宋" w:cs="仿宋"/>
          <w:snapToGrid w:val="0"/>
          <w:color w:val="auto"/>
          <w:kern w:val="0"/>
          <w:sz w:val="24"/>
          <w:highlight w:val="none"/>
        </w:rPr>
        <w:t>如下约定向承包人索赔：</w:t>
      </w:r>
    </w:p>
    <w:p w14:paraId="49FDCC20">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（1）发包人将自己的索赔意向书面通知承包人，要求承包人在限期内纠正其违约行为，否则发包人将考虑按合同约定作出相关处理决定。</w:t>
      </w:r>
    </w:p>
    <w:p w14:paraId="7C3B44F3">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限期届满，承包人没有用实际行动纠正自己的违约行为或者纠正行为不能使发包人满意或者纠正行为无法弥补发包人的损失的，则发包人直接按合同约定作出相关处理决定并向本合同附件所述之银行发出正式书面索赔通知。</w:t>
      </w:r>
    </w:p>
    <w:p w14:paraId="3511319C">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4在任何索赔期间，不论索赔是否有据，均不能免除承包人按合同约定履行合同义务。承包人不得以此为借口，拒不履行或拖延合同的履行，否则发包人有权终止合同，并要求承包人赔偿由此导致的发包人的损失。</w:t>
      </w:r>
    </w:p>
    <w:p w14:paraId="567D5BE9">
      <w:pPr>
        <w:shd w:val="clear"/>
        <w:adjustRightInd w:val="0"/>
        <w:snapToGrid w:val="0"/>
        <w:spacing w:line="360" w:lineRule="auto"/>
        <w:rPr>
          <w:rFonts w:ascii="仿宋" w:hAnsi="仿宋" w:eastAsia="仿宋" w:cs="仿宋"/>
          <w:snapToGrid w:val="0"/>
          <w:color w:val="auto"/>
          <w:kern w:val="0"/>
          <w:sz w:val="24"/>
          <w:highlight w:val="none"/>
        </w:rPr>
      </w:pPr>
    </w:p>
    <w:p w14:paraId="2A3234DF">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43" w:name="_Toc83377294"/>
      <w:bookmarkStart w:id="244" w:name="_Toc1852"/>
      <w:bookmarkStart w:id="245" w:name="_Toc2784905"/>
      <w:r>
        <w:rPr>
          <w:rFonts w:hint="eastAsia" w:ascii="仿宋" w:hAnsi="仿宋" w:eastAsia="仿宋" w:cs="仿宋"/>
          <w:b/>
          <w:snapToGrid w:val="0"/>
          <w:color w:val="auto"/>
          <w:kern w:val="0"/>
          <w:sz w:val="24"/>
          <w:highlight w:val="none"/>
          <w:lang w:eastAsia="zh-CN"/>
        </w:rPr>
        <w:t>42.</w:t>
      </w:r>
      <w:r>
        <w:rPr>
          <w:rFonts w:hint="eastAsia" w:ascii="仿宋" w:hAnsi="仿宋" w:eastAsia="仿宋" w:cs="仿宋"/>
          <w:b/>
          <w:snapToGrid w:val="0"/>
          <w:color w:val="auto"/>
          <w:kern w:val="0"/>
          <w:sz w:val="24"/>
          <w:highlight w:val="none"/>
        </w:rPr>
        <w:t>争议</w:t>
      </w:r>
      <w:bookmarkEnd w:id="243"/>
      <w:bookmarkEnd w:id="244"/>
      <w:bookmarkEnd w:id="245"/>
    </w:p>
    <w:p w14:paraId="21BFCFF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rPr>
        <w:t>.</w:t>
      </w:r>
      <w:r>
        <w:rPr>
          <w:rFonts w:ascii="仿宋" w:hAnsi="仿宋" w:eastAsia="仿宋" w:cs="仿宋"/>
          <w:snapToGrid w:val="0"/>
          <w:color w:val="auto"/>
          <w:kern w:val="0"/>
          <w:sz w:val="24"/>
          <w:highlight w:val="none"/>
        </w:rPr>
        <w:t>1</w:t>
      </w:r>
      <w:r>
        <w:rPr>
          <w:rFonts w:hint="eastAsia" w:ascii="仿宋" w:hAnsi="仿宋" w:eastAsia="仿宋" w:cs="仿宋"/>
          <w:snapToGrid w:val="0"/>
          <w:color w:val="auto"/>
          <w:kern w:val="0"/>
          <w:sz w:val="24"/>
          <w:highlight w:val="none"/>
        </w:rPr>
        <w:t>发生争议后，除非出现下列情况的，双方都应继续履行合同，保持施工连续，保护好已</w:t>
      </w:r>
      <w:r>
        <w:rPr>
          <w:rFonts w:hint="eastAsia" w:ascii="仿宋" w:hAnsi="仿宋" w:eastAsia="仿宋" w:cs="仿宋"/>
          <w:snapToGrid w:val="0"/>
          <w:color w:val="auto"/>
          <w:kern w:val="0"/>
          <w:sz w:val="24"/>
          <w:highlight w:val="none"/>
          <w:lang w:eastAsia="zh-CN"/>
        </w:rPr>
        <w:t>完成</w:t>
      </w:r>
      <w:r>
        <w:rPr>
          <w:rFonts w:hint="eastAsia" w:ascii="仿宋" w:hAnsi="仿宋" w:eastAsia="仿宋" w:cs="仿宋"/>
          <w:snapToGrid w:val="0"/>
          <w:color w:val="auto"/>
          <w:kern w:val="0"/>
          <w:sz w:val="24"/>
          <w:highlight w:val="none"/>
        </w:rPr>
        <w:t>工程：</w:t>
      </w:r>
    </w:p>
    <w:p w14:paraId="433C014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（1）单方违约导致合同确已无法履行，双方协议停止施工；</w:t>
      </w:r>
    </w:p>
    <w:p w14:paraId="48E4C0EE">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（2）调解要求停止施工，且为双方接受；</w:t>
      </w:r>
    </w:p>
    <w:p w14:paraId="7E1A4F1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（3）仲裁机构要求停止施工；</w:t>
      </w:r>
      <w:bookmarkStart w:id="316" w:name="_GoBack"/>
      <w:bookmarkEnd w:id="316"/>
    </w:p>
    <w:p w14:paraId="00EF4B0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（4）法院要求停止施工。</w:t>
      </w:r>
    </w:p>
    <w:p w14:paraId="6905028F">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rPr>
        <w:t>.</w:t>
      </w:r>
      <w:r>
        <w:rPr>
          <w:rFonts w:ascii="仿宋" w:hAnsi="仿宋" w:eastAsia="仿宋" w:cs="仿宋"/>
          <w:snapToGrid w:val="0"/>
          <w:color w:val="auto"/>
          <w:kern w:val="0"/>
          <w:sz w:val="24"/>
          <w:highlight w:val="none"/>
        </w:rPr>
        <w:t>2</w:t>
      </w:r>
      <w:r>
        <w:rPr>
          <w:rFonts w:hint="eastAsia" w:ascii="仿宋" w:hAnsi="仿宋" w:eastAsia="仿宋" w:cs="仿宋"/>
          <w:snapToGrid w:val="0"/>
          <w:color w:val="auto"/>
          <w:kern w:val="0"/>
          <w:sz w:val="24"/>
          <w:highlight w:val="none"/>
        </w:rPr>
        <w:t>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14:paraId="4A101CA8">
      <w:pPr>
        <w:pStyle w:val="13"/>
        <w:shd w:val="clear"/>
        <w:adjustRightInd w:val="0"/>
        <w:snapToGrid w:val="0"/>
        <w:spacing w:line="360" w:lineRule="auto"/>
        <w:ind w:left="99" w:leftChars="47"/>
        <w:rPr>
          <w:rFonts w:ascii="仿宋" w:hAnsi="仿宋" w:eastAsia="仿宋" w:cs="仿宋"/>
          <w:snapToGrid w:val="0"/>
          <w:color w:val="auto"/>
          <w:highlight w:val="none"/>
        </w:rPr>
      </w:pPr>
    </w:p>
    <w:p w14:paraId="00BF097F">
      <w:pPr>
        <w:shd w:val="clear"/>
        <w:rPr>
          <w:rFonts w:ascii="仿宋" w:hAnsi="仿宋" w:eastAsia="仿宋" w:cs="仿宋"/>
          <w:color w:val="auto"/>
          <w:highlight w:val="none"/>
        </w:rPr>
      </w:pPr>
    </w:p>
    <w:p w14:paraId="34E5EE03">
      <w:pPr>
        <w:pStyle w:val="13"/>
        <w:shd w:val="clear"/>
        <w:adjustRightInd w:val="0"/>
        <w:snapToGrid w:val="0"/>
        <w:spacing w:line="360" w:lineRule="auto"/>
        <w:ind w:left="99" w:leftChars="47"/>
        <w:outlineLvl w:val="1"/>
        <w:rPr>
          <w:rFonts w:ascii="仿宋" w:hAnsi="仿宋" w:eastAsia="仿宋" w:cs="仿宋"/>
          <w:b/>
          <w:snapToGrid w:val="0"/>
          <w:color w:val="auto"/>
          <w:sz w:val="28"/>
          <w:szCs w:val="28"/>
          <w:highlight w:val="none"/>
        </w:rPr>
      </w:pPr>
      <w:bookmarkStart w:id="246" w:name="_Toc22592"/>
      <w:bookmarkStart w:id="247" w:name="_Toc2784906"/>
      <w:bookmarkStart w:id="248" w:name="_Toc83377295"/>
      <w:r>
        <w:rPr>
          <w:rFonts w:hint="eastAsia" w:ascii="仿宋" w:hAnsi="仿宋" w:eastAsia="仿宋" w:cs="仿宋"/>
          <w:b/>
          <w:snapToGrid w:val="0"/>
          <w:color w:val="auto"/>
          <w:sz w:val="28"/>
          <w:szCs w:val="28"/>
          <w:highlight w:val="none"/>
        </w:rPr>
        <w:t>十二、</w:t>
      </w:r>
      <w:r>
        <w:rPr>
          <w:rFonts w:hint="eastAsia" w:ascii="仿宋" w:hAnsi="仿宋" w:eastAsia="仿宋" w:cs="仿宋"/>
          <w:b/>
          <w:snapToGrid w:val="0"/>
          <w:color w:val="auto"/>
          <w:sz w:val="28"/>
          <w:szCs w:val="28"/>
          <w:highlight w:val="none"/>
          <w:lang w:eastAsia="zh-CN"/>
        </w:rPr>
        <w:t>其他</w:t>
      </w:r>
      <w:bookmarkEnd w:id="246"/>
      <w:bookmarkEnd w:id="247"/>
      <w:bookmarkEnd w:id="248"/>
    </w:p>
    <w:p w14:paraId="2EF35C43">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49" w:name="_Toc83377296"/>
      <w:bookmarkStart w:id="250" w:name="_Toc10523"/>
      <w:bookmarkStart w:id="251" w:name="_Toc2784907"/>
      <w:r>
        <w:rPr>
          <w:rFonts w:hint="eastAsia" w:ascii="仿宋" w:hAnsi="仿宋" w:eastAsia="仿宋" w:cs="仿宋"/>
          <w:b/>
          <w:snapToGrid w:val="0"/>
          <w:color w:val="auto"/>
          <w:kern w:val="0"/>
          <w:sz w:val="24"/>
          <w:highlight w:val="none"/>
          <w:lang w:eastAsia="zh-CN"/>
        </w:rPr>
        <w:t>43.</w:t>
      </w:r>
      <w:r>
        <w:rPr>
          <w:rFonts w:hint="eastAsia" w:ascii="仿宋" w:hAnsi="仿宋" w:eastAsia="仿宋" w:cs="仿宋"/>
          <w:b/>
          <w:snapToGrid w:val="0"/>
          <w:color w:val="auto"/>
          <w:kern w:val="0"/>
          <w:sz w:val="24"/>
          <w:highlight w:val="none"/>
        </w:rPr>
        <w:t>工程分包</w:t>
      </w:r>
      <w:bookmarkEnd w:id="249"/>
      <w:bookmarkEnd w:id="250"/>
      <w:bookmarkEnd w:id="251"/>
    </w:p>
    <w:p w14:paraId="73095228">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.1本工程的主体必须由承包人自行完成，不得分包。非主体、非关键性工作的分包应当在投标文件中载明或者经发包人同意，承包人应严格按照投标文件的规定或发包人限定的时间与分包单位签订分包合同。</w:t>
      </w:r>
    </w:p>
    <w:p w14:paraId="04493B09">
      <w:pPr>
        <w:pStyle w:val="12"/>
        <w:shd w:val="clear"/>
        <w:adjustRightInd w:val="0"/>
        <w:snapToGrid w:val="0"/>
        <w:spacing w:line="360" w:lineRule="auto"/>
        <w:ind w:firstLine="465"/>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承包人应当对其承包的全部建设工程负责，分包不免除承包人对全部建设工程所负的责任。分包人对其承接的分包工程负直接责任，</w:t>
      </w:r>
      <w:r>
        <w:rPr>
          <w:rFonts w:hint="eastAsia" w:ascii="仿宋" w:hAnsi="仿宋" w:eastAsia="仿宋" w:cs="仿宋"/>
          <w:snapToGrid w:val="0"/>
          <w:color w:val="auto"/>
          <w:sz w:val="24"/>
          <w:highlight w:val="none"/>
        </w:rPr>
        <w:t>承包人和分包人就分包工程向发包人承担连带责任。</w:t>
      </w:r>
    </w:p>
    <w:p w14:paraId="646E649C">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.2承包人应严格按照《房屋建筑和市政基础设施工程施工分包管理办法》（建设部令第124号）和本合同的约定做好分包管理工作，禁止将承包的工程进行转包或违法分包，禁止转让、出借企业资质证书</w:t>
      </w:r>
      <w:r>
        <w:rPr>
          <w:rFonts w:hint="eastAsia" w:ascii="仿宋" w:hAnsi="仿宋" w:eastAsia="仿宋" w:cs="仿宋"/>
          <w:snapToGrid w:val="0"/>
          <w:color w:val="auto"/>
          <w:kern w:val="0"/>
          <w:sz w:val="24"/>
          <w:highlight w:val="none"/>
          <w:lang w:eastAsia="zh-CN"/>
        </w:rPr>
        <w:t>或者以其他方式</w:t>
      </w:r>
      <w:r>
        <w:rPr>
          <w:rFonts w:hint="eastAsia" w:ascii="仿宋" w:hAnsi="仿宋" w:eastAsia="仿宋" w:cs="仿宋"/>
          <w:snapToGrid w:val="0"/>
          <w:color w:val="auto"/>
          <w:kern w:val="0"/>
          <w:sz w:val="24"/>
          <w:highlight w:val="none"/>
        </w:rPr>
        <w:t>允许他人以本企业名义承揽工程，严禁个人承揽分包工程业务。</w:t>
      </w:r>
    </w:p>
    <w:p w14:paraId="331D4571">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.3工程分包不能解除承包人任何责任与义务。承包人应在分包场地派驻相应管理人员，保证本合同的履行。分包单位的任何违约行为或疏忽导致工程损害或给发包人造成</w:t>
      </w:r>
      <w:r>
        <w:rPr>
          <w:rFonts w:hint="eastAsia" w:ascii="仿宋" w:hAnsi="仿宋" w:eastAsia="仿宋" w:cs="仿宋"/>
          <w:snapToGrid w:val="0"/>
          <w:color w:val="auto"/>
          <w:kern w:val="0"/>
          <w:sz w:val="24"/>
          <w:highlight w:val="none"/>
          <w:lang w:eastAsia="zh-CN"/>
        </w:rPr>
        <w:t>其他损失</w:t>
      </w:r>
      <w:r>
        <w:rPr>
          <w:rFonts w:hint="eastAsia" w:ascii="仿宋" w:hAnsi="仿宋" w:eastAsia="仿宋" w:cs="仿宋"/>
          <w:snapToGrid w:val="0"/>
          <w:color w:val="auto"/>
          <w:kern w:val="0"/>
          <w:sz w:val="24"/>
          <w:highlight w:val="none"/>
        </w:rPr>
        <w:t>，承包人承担连带责任。</w:t>
      </w:r>
    </w:p>
    <w:p w14:paraId="3553ABEF">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4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2C8D3D34">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color w:val="auto"/>
          <w:sz w:val="24"/>
          <w:szCs w:val="24"/>
          <w:highlight w:val="none"/>
        </w:rPr>
        <w:t>采用联合体方式承包工程的，在联合体分工协议中约定或者在项目实际实施过程中，联合体一方既不按照其资质实施设计或者施工业务，也不对工程实施组织管理，且向联合体其他成员收取管理费或者其他类似费用的，视为联合体一方将其承包的工程转包。</w:t>
      </w:r>
    </w:p>
    <w:p w14:paraId="08AD526C">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.5下列行为，属于违法分包：</w:t>
      </w:r>
    </w:p>
    <w:p w14:paraId="00F1F8FF">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（1）承包人将专业工程或者劳务作业分包给不具备相应资质条件的分包人的；</w:t>
      </w:r>
    </w:p>
    <w:p w14:paraId="44B43032">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（2）本合同中未有约定，又未经发包人认可，承包人将承包工程中的部分专业工程分包给他人的。</w:t>
      </w:r>
    </w:p>
    <w:p w14:paraId="2A27B48D">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6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349975EC">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.7承包人应参照合同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条款第7条、第9条的有关约定，在发包人批准分包后5天内将分包单位工程技术管理人员名单及劳动力、施工机械设备投入计划报送发包人且负责落实到位，并接受总监理工程师和发包人代表的查验。</w:t>
      </w:r>
    </w:p>
    <w:p w14:paraId="4EF6141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.8分包工程价款由承包人与发包人结算。承包人应按本合同及分包合同的有关约定及时审核、申请支付各种工程、劳务及材料设备款项，并向发包人提交下列资料：</w:t>
      </w:r>
    </w:p>
    <w:p w14:paraId="75B9DBD9">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（1）属专业工程分包的，应向发包人提交分包人提交给承包人的履约担保文件复印件（应同时携带原件供发包人复核），具体按招标文件或发包人要求执行。</w:t>
      </w:r>
    </w:p>
    <w:p w14:paraId="277214CA">
      <w:pPr>
        <w:shd w:val="clear"/>
        <w:adjustRightInd w:val="0"/>
        <w:snapToGrid w:val="0"/>
        <w:spacing w:line="360" w:lineRule="auto"/>
        <w:ind w:firstLine="48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（2）属材料设备供货的，应向发包人提交供货商提交给承包人的履约担保文件复印件（应同时携带原件供发包人复核），具体按招标文件或发包人要求执行。</w:t>
      </w:r>
    </w:p>
    <w:p w14:paraId="0D4C86FC">
      <w:pPr>
        <w:shd w:val="clear"/>
        <w:adjustRightInd w:val="0"/>
        <w:snapToGrid w:val="0"/>
        <w:spacing w:line="360" w:lineRule="auto"/>
        <w:ind w:right="11" w:firstLine="480" w:firstLineChars="200"/>
        <w:rPr>
          <w:rFonts w:ascii="仿宋" w:hAnsi="仿宋" w:eastAsia="仿宋" w:cs="仿宋"/>
          <w:bCs/>
          <w:iCs/>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9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15A43E47">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3</w:t>
      </w:r>
      <w:r>
        <w:rPr>
          <w:rFonts w:hint="eastAsia" w:ascii="仿宋" w:hAnsi="仿宋" w:eastAsia="仿宋" w:cs="仿宋"/>
          <w:snapToGrid w:val="0"/>
          <w:color w:val="auto"/>
          <w:kern w:val="0"/>
          <w:sz w:val="24"/>
          <w:highlight w:val="none"/>
        </w:rPr>
        <w:t>.10承包人擅自更换投标时填报或经发包人审核后认可的专业分包单位，承包人承担10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03129DFA">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p>
    <w:p w14:paraId="1D4888A1">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52" w:name="_Toc8774"/>
      <w:bookmarkStart w:id="253" w:name="_Toc83377297"/>
      <w:bookmarkStart w:id="254" w:name="_Toc2784908"/>
      <w:r>
        <w:rPr>
          <w:rFonts w:hint="eastAsia" w:ascii="仿宋" w:hAnsi="仿宋" w:eastAsia="仿宋" w:cs="仿宋"/>
          <w:b/>
          <w:snapToGrid w:val="0"/>
          <w:color w:val="auto"/>
          <w:kern w:val="0"/>
          <w:sz w:val="24"/>
          <w:highlight w:val="none"/>
          <w:lang w:eastAsia="zh-CN"/>
        </w:rPr>
        <w:t>44.</w:t>
      </w:r>
      <w:r>
        <w:rPr>
          <w:rFonts w:hint="eastAsia" w:ascii="仿宋" w:hAnsi="仿宋" w:eastAsia="仿宋" w:cs="仿宋"/>
          <w:b/>
          <w:snapToGrid w:val="0"/>
          <w:color w:val="auto"/>
          <w:kern w:val="0"/>
          <w:sz w:val="24"/>
          <w:highlight w:val="none"/>
        </w:rPr>
        <w:t>不可抗力</w:t>
      </w:r>
      <w:bookmarkEnd w:id="252"/>
      <w:bookmarkEnd w:id="253"/>
      <w:bookmarkEnd w:id="254"/>
    </w:p>
    <w:p w14:paraId="091BEEA2">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1不可抗力，是指不能预见、不能避免并不能克服，对本工程的施工造成重大实质性影响的自然灾害和战争、动乱（不包括承包人内部的任何纠纷和纷争）等事件。政府对本工程的政策变化、计划的调整，导致本工程不能如期进行，也属不可抗力的范围。</w:t>
      </w:r>
    </w:p>
    <w:p w14:paraId="6E621A22">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自然灾害的范围及其认定方式，按如下约定执行：</w:t>
      </w:r>
    </w:p>
    <w:p w14:paraId="7621037C">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w:t>
      </w:r>
      <w:r>
        <w:rPr>
          <w:rFonts w:hint="eastAsia" w:ascii="仿宋" w:hAnsi="仿宋" w:eastAsia="仿宋" w:cs="仿宋"/>
          <w:snapToGrid w:val="0"/>
          <w:color w:val="auto"/>
          <w:kern w:val="0"/>
          <w:sz w:val="24"/>
          <w:highlight w:val="none"/>
        </w:rPr>
        <w:t>施工</w:t>
      </w:r>
      <w:r>
        <w:rPr>
          <w:rFonts w:hint="eastAsia" w:ascii="仿宋" w:hAnsi="仿宋" w:eastAsia="仿宋" w:cs="仿宋"/>
          <w:bCs/>
          <w:snapToGrid w:val="0"/>
          <w:color w:val="auto"/>
          <w:kern w:val="0"/>
          <w:sz w:val="24"/>
          <w:highlight w:val="none"/>
        </w:rPr>
        <w:t>日志、现场照片办理证据保全公证，方可认定为是不可抗力。</w:t>
      </w:r>
    </w:p>
    <w:p w14:paraId="29B0CA26">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（2）里氏5级（含5级）以上的地震。</w:t>
      </w:r>
    </w:p>
    <w:p w14:paraId="0BBD0CEF">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（3）当地卫生部门规定的情形：仅指构成突发公共卫生事件的重大传染病疫情暴发而被卫生部门强行要求停工的情况发生。</w:t>
      </w:r>
    </w:p>
    <w:p w14:paraId="60D840F1">
      <w:pPr>
        <w:shd w:val="clear"/>
        <w:adjustRightInd w:val="0"/>
        <w:snapToGrid w:val="0"/>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（4）征地，拆迁、迁坟。</w:t>
      </w:r>
    </w:p>
    <w:p w14:paraId="279887A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.2不可抗力事件发生后，承包人应立即通知总监理工程师，并在</w:t>
      </w:r>
      <w:r>
        <w:rPr>
          <w:rFonts w:hint="eastAsia" w:ascii="仿宋" w:hAnsi="仿宋" w:eastAsia="仿宋" w:cs="仿宋"/>
          <w:snapToGrid w:val="0"/>
          <w:color w:val="auto"/>
          <w:kern w:val="0"/>
          <w:sz w:val="24"/>
          <w:highlight w:val="none"/>
          <w:lang w:eastAsia="zh-CN"/>
        </w:rPr>
        <w:t>力所能及</w:t>
      </w:r>
      <w:r>
        <w:rPr>
          <w:rFonts w:hint="eastAsia" w:ascii="仿宋" w:hAnsi="仿宋" w:eastAsia="仿宋" w:cs="仿宋"/>
          <w:snapToGrid w:val="0"/>
          <w:color w:val="auto"/>
          <w:kern w:val="0"/>
          <w:sz w:val="24"/>
          <w:highlight w:val="none"/>
        </w:rPr>
        <w:t>的条件下迅速采取措施，尽力减少损失，发包人应协助承包人采取措施。总监理工程师认为应当暂停施工的，承包人应暂停施工。不可抗力事件结束后48小时内承包人向总监理工程师通报受害情况和损失情况，及预计清理和修复的费用。不可抗力事件持续发生，承包人应每隔7天向总监理工程师报告一次受害情况。不可抗力事件结束后14天内，承包人向总监理工程师提交清理和修复费用的正式报告及有关资料。</w:t>
      </w:r>
    </w:p>
    <w:p w14:paraId="23DE453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.3因不可抗力引起工程停工的，工期按合同</w:t>
      </w:r>
      <w:r>
        <w:rPr>
          <w:rFonts w:hint="eastAsia" w:ascii="仿宋" w:hAnsi="仿宋" w:eastAsia="仿宋" w:cs="仿宋"/>
          <w:snapToGrid w:val="0"/>
          <w:color w:val="auto"/>
          <w:kern w:val="0"/>
          <w:sz w:val="24"/>
          <w:highlight w:val="none"/>
          <w:lang w:val="en-US" w:eastAsia="zh-CN"/>
        </w:rPr>
        <w:t>专用</w:t>
      </w:r>
      <w:r>
        <w:rPr>
          <w:rFonts w:hint="eastAsia" w:ascii="仿宋" w:hAnsi="仿宋" w:eastAsia="仿宋" w:cs="仿宋"/>
          <w:snapToGrid w:val="0"/>
          <w:color w:val="auto"/>
          <w:kern w:val="0"/>
          <w:sz w:val="24"/>
          <w:highlight w:val="none"/>
        </w:rPr>
        <w:t>条款第16条的有关约定执行，费用承担按如下约定执行：</w:t>
      </w:r>
    </w:p>
    <w:p w14:paraId="68155E8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（1）工程本身的损害，由发包人承担。</w:t>
      </w:r>
    </w:p>
    <w:p w14:paraId="6D536E82">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（2）因工程损害导致第三方人员伤亡和财产损失，如系在工程竣工验收合格移交给发包人使用前造成的，费用由承包人承担；如系在工程竣工验收合格移交给发包人使用后发生的，费用由发包人承担。</w:t>
      </w:r>
    </w:p>
    <w:p w14:paraId="11DBE7C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（3）运至施工场地用于施工的材料和待安装的设备的损害，属发包人供应的由发包人承担；属承包人采购的由承包人承担。</w:t>
      </w:r>
    </w:p>
    <w:p w14:paraId="519339DA">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（4）发包人、承包人的人员伤亡由其所在单位负责，并承担相应费用。</w:t>
      </w:r>
    </w:p>
    <w:p w14:paraId="3AA9B366">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（5）承包人机械设备损坏及停工损失，由承包人承担。</w:t>
      </w:r>
    </w:p>
    <w:p w14:paraId="709C39DB">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（6）停工期间，承包人应总监理工程师要求留在施工场地的必要的管理人员及保卫人员的费用</w:t>
      </w:r>
      <w:r>
        <w:rPr>
          <w:rFonts w:hint="eastAsia" w:ascii="仿宋" w:hAnsi="仿宋" w:eastAsia="仿宋" w:cs="仿宋"/>
          <w:snapToGrid w:val="0"/>
          <w:color w:val="auto"/>
          <w:kern w:val="0"/>
          <w:sz w:val="24"/>
          <w:szCs w:val="22"/>
          <w:highlight w:val="none"/>
        </w:rPr>
        <w:t>发包人承</w:t>
      </w:r>
      <w:r>
        <w:rPr>
          <w:rFonts w:hint="eastAsia" w:ascii="仿宋" w:hAnsi="仿宋" w:eastAsia="仿宋" w:cs="仿宋"/>
          <w:snapToGrid w:val="0"/>
          <w:color w:val="auto"/>
          <w:kern w:val="0"/>
          <w:sz w:val="24"/>
          <w:highlight w:val="none"/>
        </w:rPr>
        <w:t>担。</w:t>
      </w:r>
    </w:p>
    <w:p w14:paraId="09EF8ECC">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（7）工程所需清理、修复费用，由</w:t>
      </w:r>
      <w:r>
        <w:rPr>
          <w:rFonts w:hint="eastAsia" w:ascii="仿宋" w:hAnsi="仿宋" w:eastAsia="仿宋" w:cs="仿宋"/>
          <w:snapToGrid w:val="0"/>
          <w:color w:val="auto"/>
          <w:kern w:val="0"/>
          <w:sz w:val="24"/>
          <w:szCs w:val="22"/>
          <w:highlight w:val="none"/>
        </w:rPr>
        <w:t>发包人</w:t>
      </w:r>
      <w:r>
        <w:rPr>
          <w:rFonts w:hint="eastAsia" w:ascii="仿宋" w:hAnsi="仿宋" w:eastAsia="仿宋" w:cs="仿宋"/>
          <w:snapToGrid w:val="0"/>
          <w:color w:val="auto"/>
          <w:kern w:val="0"/>
          <w:sz w:val="24"/>
          <w:highlight w:val="none"/>
        </w:rPr>
        <w:t>承担。</w:t>
      </w:r>
    </w:p>
    <w:p w14:paraId="6136500D">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4</w:t>
      </w:r>
      <w:r>
        <w:rPr>
          <w:rFonts w:hint="eastAsia" w:ascii="仿宋" w:hAnsi="仿宋" w:eastAsia="仿宋" w:cs="仿宋"/>
          <w:snapToGrid w:val="0"/>
          <w:color w:val="auto"/>
          <w:kern w:val="0"/>
          <w:sz w:val="24"/>
          <w:highlight w:val="none"/>
        </w:rPr>
        <w:t>.4因合同一方迟延履行合同后发生不可抗力的，不能免除迟延履行方的相应责任。</w:t>
      </w:r>
    </w:p>
    <w:p w14:paraId="53724535">
      <w:pPr>
        <w:shd w:val="clear"/>
        <w:adjustRightInd w:val="0"/>
        <w:snapToGrid w:val="0"/>
        <w:spacing w:line="360" w:lineRule="auto"/>
        <w:ind w:right="11" w:firstLine="480" w:firstLineChars="200"/>
        <w:rPr>
          <w:rFonts w:ascii="仿宋" w:hAnsi="仿宋" w:eastAsia="仿宋" w:cs="仿宋"/>
          <w:snapToGrid w:val="0"/>
          <w:color w:val="auto"/>
          <w:kern w:val="0"/>
          <w:sz w:val="24"/>
          <w:highlight w:val="none"/>
        </w:rPr>
      </w:pPr>
    </w:p>
    <w:p w14:paraId="369C3241">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55" w:name="_Toc2784911"/>
      <w:bookmarkStart w:id="256" w:name="_Toc83377298"/>
      <w:bookmarkStart w:id="257" w:name="_Toc18745"/>
      <w:r>
        <w:rPr>
          <w:rFonts w:hint="eastAsia" w:ascii="仿宋" w:hAnsi="仿宋" w:eastAsia="仿宋" w:cs="仿宋"/>
          <w:b/>
          <w:snapToGrid w:val="0"/>
          <w:color w:val="auto"/>
          <w:kern w:val="0"/>
          <w:sz w:val="24"/>
          <w:highlight w:val="none"/>
          <w:lang w:eastAsia="zh-CN"/>
        </w:rPr>
        <w:t>45.</w:t>
      </w:r>
      <w:r>
        <w:rPr>
          <w:rFonts w:hint="eastAsia" w:ascii="仿宋" w:hAnsi="仿宋" w:eastAsia="仿宋" w:cs="仿宋"/>
          <w:b/>
          <w:snapToGrid w:val="0"/>
          <w:color w:val="auto"/>
          <w:kern w:val="0"/>
          <w:sz w:val="24"/>
          <w:highlight w:val="none"/>
        </w:rPr>
        <w:t>保密、知识产权与专利技术及特殊工艺</w:t>
      </w:r>
      <w:bookmarkEnd w:id="255"/>
      <w:bookmarkEnd w:id="256"/>
      <w:bookmarkEnd w:id="257"/>
    </w:p>
    <w:p w14:paraId="40FC0150">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.1发包人、承包人双方均应保护对方的知识产权，未经对方同意，任何一方都不得对对方的资料及文件擅自修改或向他人转让。如发生以上情况，泄密方应承担由此引起的一切后果并承担赔偿责任。</w:t>
      </w:r>
    </w:p>
    <w:p w14:paraId="3EBB2524">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2本合同工程的知识产权归发包人所有。承包人享有本合同工程设计成果文件的设计署名权，并可在展览或书刊中进行展示、介绍及讨论其设计模型、外观图片、装饰效果图，但不享有知识产权中的其他权利。承包人承诺自本合同签订之日起，为本合同工程所做的全部工作的成果，包括方案设计、初步设计、施工图设计及其他设计文件、资料等不再用于其他任何项目的设计，否则发包人有权向承包人追究相关责任。</w:t>
      </w:r>
    </w:p>
    <w:p w14:paraId="0A650E04">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.3承包人保证本合同工程的设计文件、资料等均未侵犯第三方的知识产权及其他权利，否则必须承担由此而引起的全部法律责任。</w:t>
      </w:r>
    </w:p>
    <w:p w14:paraId="2C6B6AD4">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4发包人拥有承包人为本合同工程设计且按本合同要求所提交的全部设计文件、资料等的完全使用权，并在本合同执行完毕后继续拥有合法使用以上设计文件、资料等的权利。承包人不享有对设计文件的留置权，由承包人或其分包单位完成的设计文件应依据本合同约定的时间提交给发包人的，不论承包人与其分包单位由何种约定或分工，均不得拒绝或拖延向发包人提交。</w:t>
      </w:r>
    </w:p>
    <w:p w14:paraId="740D5AD3">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承包人完成的设计工作成果和建造完成的建筑物，除署名权以外的著作权以及建筑物形象使用收益等其他知识产权均归发包人享有。</w:t>
      </w:r>
    </w:p>
    <w:p w14:paraId="5CF88CC0">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.5发包人要求使用专利技术或特殊工艺，应负责办理相应的申报手续，承担申报、试验、使用等费用；承包人提出使用专利技术或特殊工艺，应取得总监理工程师认可，承包人负责办理申报手续并承担有关费用。</w:t>
      </w:r>
    </w:p>
    <w:p w14:paraId="7B5828CB">
      <w:pPr>
        <w:shd w:val="clear"/>
        <w:adjustRightInd w:val="0"/>
        <w:snapToGrid w:val="0"/>
        <w:spacing w:line="360" w:lineRule="auto"/>
        <w:ind w:right="11" w:firstLine="460" w:firstLineChars="192"/>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5</w:t>
      </w:r>
      <w:r>
        <w:rPr>
          <w:rFonts w:hint="eastAsia" w:ascii="仿宋" w:hAnsi="仿宋" w:eastAsia="仿宋" w:cs="仿宋"/>
          <w:snapToGrid w:val="0"/>
          <w:color w:val="auto"/>
          <w:kern w:val="0"/>
          <w:sz w:val="24"/>
          <w:highlight w:val="none"/>
        </w:rPr>
        <w:t>.6擅自使用专利技术侵犯他人专利权的，由责任方依法承担有关责任。</w:t>
      </w:r>
    </w:p>
    <w:p w14:paraId="37DEE17E">
      <w:pPr>
        <w:shd w:val="clear"/>
        <w:adjustRightInd w:val="0"/>
        <w:snapToGrid w:val="0"/>
        <w:spacing w:line="360" w:lineRule="auto"/>
        <w:rPr>
          <w:rFonts w:ascii="仿宋" w:hAnsi="仿宋" w:eastAsia="仿宋" w:cs="仿宋"/>
          <w:snapToGrid w:val="0"/>
          <w:color w:val="auto"/>
          <w:kern w:val="0"/>
          <w:sz w:val="24"/>
          <w:highlight w:val="none"/>
        </w:rPr>
      </w:pPr>
    </w:p>
    <w:p w14:paraId="00EA379C">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58" w:name="_Toc83377299"/>
      <w:bookmarkStart w:id="259" w:name="_Toc25655"/>
      <w:bookmarkStart w:id="260" w:name="_Toc2784914"/>
      <w:r>
        <w:rPr>
          <w:rFonts w:hint="eastAsia" w:ascii="仿宋" w:hAnsi="仿宋" w:eastAsia="仿宋" w:cs="仿宋"/>
          <w:b/>
          <w:snapToGrid w:val="0"/>
          <w:color w:val="auto"/>
          <w:kern w:val="0"/>
          <w:sz w:val="24"/>
          <w:highlight w:val="none"/>
          <w:lang w:eastAsia="zh-CN"/>
        </w:rPr>
        <w:t>46.</w:t>
      </w:r>
      <w:r>
        <w:rPr>
          <w:rFonts w:hint="eastAsia" w:ascii="仿宋" w:hAnsi="仿宋" w:eastAsia="仿宋" w:cs="仿宋"/>
          <w:b/>
          <w:snapToGrid w:val="0"/>
          <w:color w:val="auto"/>
          <w:kern w:val="0"/>
          <w:sz w:val="24"/>
          <w:highlight w:val="none"/>
        </w:rPr>
        <w:t>合同生效与终止</w:t>
      </w:r>
      <w:bookmarkEnd w:id="258"/>
      <w:bookmarkEnd w:id="259"/>
      <w:bookmarkEnd w:id="260"/>
    </w:p>
    <w:p w14:paraId="08260659">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.1本合同生效及终止的方式均按合同协议书的约定执行。</w:t>
      </w:r>
    </w:p>
    <w:p w14:paraId="6740F5F8">
      <w:pPr>
        <w:shd w:val="clear"/>
        <w:adjustRightInd w:val="0"/>
        <w:snapToGrid w:val="0"/>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4</w:t>
      </w:r>
      <w:r>
        <w:rPr>
          <w:rFonts w:ascii="仿宋" w:hAnsi="仿宋" w:eastAsia="仿宋" w:cs="仿宋"/>
          <w:snapToGrid w:val="0"/>
          <w:color w:val="auto"/>
          <w:kern w:val="0"/>
          <w:sz w:val="24"/>
          <w:highlight w:val="none"/>
        </w:rPr>
        <w:t>6</w:t>
      </w:r>
      <w:r>
        <w:rPr>
          <w:rFonts w:hint="eastAsia" w:ascii="仿宋" w:hAnsi="仿宋" w:eastAsia="仿宋" w:cs="仿宋"/>
          <w:snapToGrid w:val="0"/>
          <w:color w:val="auto"/>
          <w:kern w:val="0"/>
          <w:sz w:val="24"/>
          <w:highlight w:val="none"/>
        </w:rPr>
        <w:t>.2合同的权利和义务终止时，发包人、承包人应当遵循诚实信用原则，履行通知，协助、保密等义务。</w:t>
      </w:r>
    </w:p>
    <w:p w14:paraId="7B60C872">
      <w:pPr>
        <w:pStyle w:val="21"/>
        <w:shd w:val="clear"/>
        <w:ind w:firstLine="200"/>
        <w:rPr>
          <w:rFonts w:ascii="仿宋" w:hAnsi="仿宋" w:eastAsia="仿宋" w:cs="仿宋"/>
          <w:color w:val="auto"/>
          <w:highlight w:val="none"/>
        </w:rPr>
      </w:pPr>
    </w:p>
    <w:p w14:paraId="2BE86002">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61" w:name="_Toc83377300"/>
      <w:r>
        <w:rPr>
          <w:rFonts w:hint="eastAsia" w:ascii="仿宋" w:hAnsi="仿宋" w:eastAsia="仿宋" w:cs="仿宋"/>
          <w:b/>
          <w:snapToGrid w:val="0"/>
          <w:color w:val="auto"/>
          <w:kern w:val="0"/>
          <w:sz w:val="24"/>
          <w:highlight w:val="none"/>
          <w:lang w:eastAsia="zh-CN"/>
        </w:rPr>
        <w:t>47.</w:t>
      </w:r>
      <w:r>
        <w:rPr>
          <w:rFonts w:hint="eastAsia" w:ascii="仿宋" w:hAnsi="仿宋" w:eastAsia="仿宋" w:cs="仿宋"/>
          <w:b/>
          <w:snapToGrid w:val="0"/>
          <w:color w:val="auto"/>
          <w:kern w:val="0"/>
          <w:sz w:val="24"/>
          <w:highlight w:val="none"/>
        </w:rPr>
        <w:t>合同争议的解决</w:t>
      </w:r>
      <w:bookmarkEnd w:id="261"/>
    </w:p>
    <w:p w14:paraId="5FD86658">
      <w:pPr>
        <w:pStyle w:val="22"/>
        <w:shd w:val="clear"/>
        <w:ind w:firstLine="480"/>
        <w:rPr>
          <w:color w:val="auto"/>
          <w:highlight w:val="none"/>
        </w:rPr>
      </w:pPr>
      <w:r>
        <w:rPr>
          <w:rFonts w:hint="eastAsia" w:ascii="仿宋" w:hAnsi="仿宋" w:eastAsia="仿宋" w:cs="仿宋"/>
          <w:color w:val="auto"/>
          <w:highlight w:val="none"/>
        </w:rPr>
        <w:t>4</w:t>
      </w:r>
      <w:r>
        <w:rPr>
          <w:rFonts w:ascii="仿宋" w:hAnsi="仿宋" w:eastAsia="仿宋" w:cs="仿宋"/>
          <w:color w:val="auto"/>
          <w:highlight w:val="none"/>
        </w:rPr>
        <w:t>7</w:t>
      </w:r>
      <w:r>
        <w:rPr>
          <w:rFonts w:hint="eastAsia" w:ascii="仿宋" w:hAnsi="仿宋" w:eastAsia="仿宋" w:cs="仿宋"/>
          <w:color w:val="auto"/>
          <w:highlight w:val="none"/>
        </w:rPr>
        <w:t>.1本合同履行期间发生争议时，应本着不影响工程进度的原则协商解决或请有关部门调解，协商、调解不成时，任何一方可向发包人所在地人民法院提起诉讼。</w:t>
      </w:r>
    </w:p>
    <w:p w14:paraId="5168C247">
      <w:pPr>
        <w:shd w:val="clear"/>
        <w:adjustRightInd w:val="0"/>
        <w:snapToGrid w:val="0"/>
        <w:spacing w:line="360" w:lineRule="auto"/>
        <w:outlineLvl w:val="2"/>
        <w:rPr>
          <w:rFonts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lang w:eastAsia="zh-CN"/>
        </w:rPr>
        <w:t>48.</w:t>
      </w:r>
      <w:r>
        <w:rPr>
          <w:rFonts w:hint="eastAsia" w:ascii="仿宋" w:hAnsi="仿宋" w:eastAsia="仿宋" w:cs="仿宋"/>
          <w:b/>
          <w:snapToGrid w:val="0"/>
          <w:color w:val="auto"/>
          <w:kern w:val="0"/>
          <w:sz w:val="24"/>
          <w:highlight w:val="none"/>
        </w:rPr>
        <w:t>其他</w:t>
      </w:r>
    </w:p>
    <w:p w14:paraId="4D52EE82">
      <w:pPr>
        <w:shd w:val="clear"/>
        <w:ind w:firstLine="480" w:firstLineChars="200"/>
        <w:jc w:val="left"/>
        <w:rPr>
          <w:rFonts w:ascii="仿宋" w:hAnsi="仿宋" w:eastAsia="仿宋" w:cs="仿宋"/>
          <w:color w:val="auto"/>
          <w:kern w:val="0"/>
          <w:sz w:val="24"/>
          <w:szCs w:val="18"/>
          <w:highlight w:val="none"/>
        </w:rPr>
      </w:pPr>
      <w:r>
        <w:rPr>
          <w:rFonts w:hint="eastAsia" w:ascii="仿宋" w:hAnsi="仿宋" w:eastAsia="仿宋" w:cs="仿宋"/>
          <w:color w:val="auto"/>
          <w:kern w:val="0"/>
          <w:sz w:val="24"/>
          <w:szCs w:val="18"/>
          <w:highlight w:val="none"/>
        </w:rPr>
        <w:t>为争取项目施工费用纳入项目改造成本，承包方需无条件配合发包方根据政府相关部门要求整理相关项目审核材料，包括但不限于相关图纸、合同、证明文件、设计素材等。</w:t>
      </w:r>
    </w:p>
    <w:p w14:paraId="602C6F2D">
      <w:pPr>
        <w:pStyle w:val="3"/>
        <w:shd w:val="clear"/>
        <w:rPr>
          <w:color w:val="auto"/>
          <w:highlight w:val="none"/>
        </w:rPr>
      </w:pPr>
    </w:p>
    <w:p w14:paraId="53896FC3">
      <w:pPr>
        <w:shd w:val="clear"/>
        <w:adjustRightInd w:val="0"/>
        <w:snapToGrid w:val="0"/>
        <w:spacing w:line="360" w:lineRule="auto"/>
        <w:outlineLvl w:val="2"/>
        <w:rPr>
          <w:rFonts w:ascii="仿宋" w:hAnsi="仿宋" w:eastAsia="仿宋" w:cs="仿宋"/>
          <w:b/>
          <w:snapToGrid w:val="0"/>
          <w:color w:val="auto"/>
          <w:kern w:val="0"/>
          <w:sz w:val="24"/>
          <w:highlight w:val="none"/>
        </w:rPr>
      </w:pPr>
      <w:bookmarkStart w:id="262" w:name="_Toc83377301"/>
      <w:r>
        <w:rPr>
          <w:rFonts w:hint="eastAsia" w:ascii="仿宋" w:hAnsi="仿宋" w:eastAsia="仿宋" w:cs="仿宋"/>
          <w:b/>
          <w:snapToGrid w:val="0"/>
          <w:color w:val="auto"/>
          <w:kern w:val="0"/>
          <w:sz w:val="24"/>
          <w:highlight w:val="none"/>
          <w:lang w:eastAsia="zh-CN"/>
        </w:rPr>
        <w:t>50.</w:t>
      </w:r>
      <w:r>
        <w:rPr>
          <w:rFonts w:hint="eastAsia" w:ascii="仿宋" w:hAnsi="仿宋" w:eastAsia="仿宋" w:cs="仿宋"/>
          <w:b/>
          <w:snapToGrid w:val="0"/>
          <w:color w:val="auto"/>
          <w:kern w:val="0"/>
          <w:sz w:val="24"/>
          <w:highlight w:val="none"/>
        </w:rPr>
        <w:t>附则</w:t>
      </w:r>
      <w:bookmarkEnd w:id="262"/>
    </w:p>
    <w:p w14:paraId="41CCE5E5">
      <w:pPr>
        <w:pStyle w:val="22"/>
        <w:shd w:val="clear"/>
        <w:ind w:firstLine="480"/>
        <w:rPr>
          <w:rFonts w:ascii="仿宋" w:hAnsi="仿宋" w:eastAsia="仿宋" w:cs="仿宋"/>
          <w:color w:val="auto"/>
          <w:highlight w:val="none"/>
        </w:rPr>
      </w:pPr>
      <w:r>
        <w:rPr>
          <w:rFonts w:ascii="仿宋" w:hAnsi="仿宋" w:eastAsia="仿宋" w:cs="仿宋"/>
          <w:color w:val="auto"/>
          <w:highlight w:val="none"/>
        </w:rPr>
        <w:t>50</w:t>
      </w:r>
      <w:r>
        <w:rPr>
          <w:rFonts w:hint="eastAsia" w:ascii="仿宋" w:hAnsi="仿宋" w:eastAsia="仿宋" w:cs="仿宋"/>
          <w:color w:val="auto"/>
          <w:highlight w:val="none"/>
        </w:rPr>
        <w:t>.1本合同适用于中华人民共和国法律，未尽事宜，双方可签订补充协议，有关协议及双方认可的来往电报、传真、会议纪要等，均为本合同组成部分。</w:t>
      </w:r>
    </w:p>
    <w:p w14:paraId="05BAE8F2">
      <w:pPr>
        <w:pStyle w:val="22"/>
        <w:shd w:val="clear"/>
        <w:ind w:firstLine="480"/>
        <w:rPr>
          <w:rFonts w:ascii="仿宋" w:hAnsi="仿宋" w:eastAsia="仿宋" w:cs="仿宋"/>
          <w:color w:val="auto"/>
          <w:highlight w:val="none"/>
        </w:rPr>
      </w:pPr>
      <w:r>
        <w:rPr>
          <w:rFonts w:ascii="仿宋" w:hAnsi="仿宋" w:eastAsia="仿宋" w:cs="仿宋"/>
          <w:color w:val="auto"/>
          <w:highlight w:val="none"/>
        </w:rPr>
        <w:t>50</w:t>
      </w:r>
      <w:r>
        <w:rPr>
          <w:rFonts w:hint="eastAsia" w:ascii="仿宋" w:hAnsi="仿宋" w:eastAsia="仿宋" w:cs="仿宋"/>
          <w:color w:val="auto"/>
          <w:highlight w:val="none"/>
        </w:rPr>
        <w:t>.2除有特殊约定外，本合同所指“以上”均含本数。</w:t>
      </w:r>
    </w:p>
    <w:p w14:paraId="5785C375">
      <w:pPr>
        <w:pStyle w:val="22"/>
        <w:shd w:val="clear"/>
        <w:ind w:firstLine="480"/>
        <w:rPr>
          <w:rFonts w:ascii="仿宋" w:hAnsi="仿宋" w:eastAsia="仿宋" w:cs="仿宋"/>
          <w:color w:val="auto"/>
          <w:highlight w:val="none"/>
        </w:rPr>
      </w:pPr>
      <w:r>
        <w:rPr>
          <w:rFonts w:ascii="仿宋" w:hAnsi="仿宋" w:eastAsia="仿宋" w:cs="仿宋"/>
          <w:color w:val="auto"/>
          <w:highlight w:val="none"/>
        </w:rPr>
        <w:t>50</w:t>
      </w:r>
      <w:r>
        <w:rPr>
          <w:rFonts w:hint="eastAsia" w:ascii="仿宋" w:hAnsi="仿宋" w:eastAsia="仿宋" w:cs="仿宋"/>
          <w:color w:val="auto"/>
          <w:highlight w:val="none"/>
        </w:rPr>
        <w:t>.3除有特殊约定外，本合同所指“日”均为自然日。</w:t>
      </w:r>
    </w:p>
    <w:p w14:paraId="48A6D925">
      <w:pPr>
        <w:pStyle w:val="22"/>
        <w:shd w:val="clear"/>
        <w:ind w:firstLine="480"/>
        <w:rPr>
          <w:rFonts w:ascii="仿宋" w:hAnsi="仿宋" w:eastAsia="仿宋" w:cs="仿宋"/>
          <w:color w:val="auto"/>
          <w:highlight w:val="none"/>
        </w:rPr>
      </w:pPr>
      <w:r>
        <w:rPr>
          <w:rFonts w:ascii="仿宋" w:hAnsi="仿宋" w:eastAsia="仿宋" w:cs="仿宋"/>
          <w:color w:val="auto"/>
          <w:highlight w:val="none"/>
        </w:rPr>
        <w:t>50</w:t>
      </w:r>
      <w:r>
        <w:rPr>
          <w:rFonts w:hint="eastAsia" w:ascii="仿宋" w:hAnsi="仿宋" w:eastAsia="仿宋" w:cs="仿宋"/>
          <w:color w:val="auto"/>
          <w:highlight w:val="none"/>
        </w:rPr>
        <w:t>.4本合同经双方签字盖章后生效。</w:t>
      </w:r>
    </w:p>
    <w:p w14:paraId="1B54CFC5">
      <w:pPr>
        <w:pStyle w:val="22"/>
        <w:shd w:val="clear"/>
        <w:ind w:firstLine="480"/>
        <w:rPr>
          <w:rFonts w:ascii="仿宋" w:hAnsi="仿宋" w:eastAsia="仿宋" w:cs="仿宋"/>
          <w:color w:val="auto"/>
          <w:highlight w:val="none"/>
        </w:rPr>
      </w:pPr>
    </w:p>
    <w:p w14:paraId="4704E659">
      <w:pPr>
        <w:shd w:val="clear"/>
        <w:autoSpaceDE w:val="0"/>
        <w:autoSpaceDN w:val="0"/>
        <w:adjustRightInd w:val="0"/>
        <w:snapToGrid w:val="0"/>
        <w:spacing w:line="360" w:lineRule="auto"/>
        <w:ind w:firstLine="480"/>
        <w:rPr>
          <w:rFonts w:ascii="仿宋" w:hAnsi="仿宋" w:eastAsia="仿宋" w:cs="仿宋"/>
          <w:snapToGrid w:val="0"/>
          <w:color w:val="auto"/>
          <w:kern w:val="0"/>
          <w:sz w:val="24"/>
          <w:highlight w:val="none"/>
        </w:rPr>
      </w:pPr>
    </w:p>
    <w:p w14:paraId="240C7D16">
      <w:pPr>
        <w:shd w:val="clear"/>
        <w:adjustRightInd w:val="0"/>
        <w:snapToGrid w:val="0"/>
        <w:spacing w:line="360" w:lineRule="auto"/>
        <w:jc w:val="center"/>
        <w:outlineLvl w:val="0"/>
        <w:rPr>
          <w:rFonts w:ascii="仿宋" w:hAnsi="仿宋" w:eastAsia="仿宋" w:cs="仿宋"/>
          <w:b/>
          <w:bCs/>
          <w:snapToGrid w:val="0"/>
          <w:color w:val="auto"/>
          <w:kern w:val="0"/>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FC5CC98">
      <w:pPr>
        <w:shd w:val="clear"/>
        <w:adjustRightInd w:val="0"/>
        <w:snapToGrid w:val="0"/>
        <w:spacing w:line="360" w:lineRule="auto"/>
        <w:jc w:val="center"/>
        <w:outlineLvl w:val="0"/>
        <w:rPr>
          <w:rFonts w:ascii="仿宋" w:hAnsi="仿宋" w:eastAsia="仿宋" w:cs="仿宋"/>
          <w:b/>
          <w:bCs/>
          <w:snapToGrid w:val="0"/>
          <w:color w:val="auto"/>
          <w:kern w:val="0"/>
          <w:sz w:val="44"/>
          <w:szCs w:val="44"/>
          <w:highlight w:val="none"/>
        </w:rPr>
      </w:pPr>
      <w:bookmarkStart w:id="263" w:name="_Toc2784916"/>
      <w:bookmarkStart w:id="264" w:name="_Toc20005"/>
      <w:bookmarkStart w:id="265" w:name="_Toc83377302"/>
      <w:r>
        <w:rPr>
          <w:rFonts w:hint="eastAsia" w:ascii="仿宋" w:hAnsi="仿宋" w:eastAsia="仿宋" w:cs="仿宋"/>
          <w:b/>
          <w:bCs/>
          <w:snapToGrid w:val="0"/>
          <w:color w:val="auto"/>
          <w:kern w:val="0"/>
          <w:sz w:val="44"/>
          <w:szCs w:val="44"/>
          <w:highlight w:val="none"/>
        </w:rPr>
        <w:t>第三篇  合同附件</w:t>
      </w:r>
      <w:bookmarkEnd w:id="263"/>
      <w:bookmarkEnd w:id="264"/>
      <w:r>
        <w:rPr>
          <w:rFonts w:hint="eastAsia" w:ascii="仿宋" w:hAnsi="仿宋" w:eastAsia="仿宋" w:cs="仿宋"/>
          <w:b/>
          <w:bCs/>
          <w:snapToGrid w:val="0"/>
          <w:color w:val="auto"/>
          <w:kern w:val="0"/>
          <w:sz w:val="44"/>
          <w:szCs w:val="44"/>
          <w:highlight w:val="none"/>
        </w:rPr>
        <w:t>与格式</w:t>
      </w:r>
      <w:bookmarkEnd w:id="265"/>
    </w:p>
    <w:p w14:paraId="0E445749">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附件一：合同价款组成表</w:t>
      </w:r>
    </w:p>
    <w:p w14:paraId="3197F4EC">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（按承包人投标文件经济部分）</w:t>
      </w:r>
    </w:p>
    <w:p w14:paraId="3C5F58B6">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附件二：联合体施工协议书（如有）</w:t>
      </w:r>
    </w:p>
    <w:p w14:paraId="3AF0EA95">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附件三：发包人供应材料设备一览表</w:t>
      </w:r>
    </w:p>
    <w:p w14:paraId="2E75D15C">
      <w:pPr>
        <w:shd w:val="clea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附件四：工程质量保修书</w:t>
      </w:r>
    </w:p>
    <w:p w14:paraId="7D55DFD6">
      <w:pPr>
        <w:shd w:val="clea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附件五：廉政合同</w:t>
      </w:r>
    </w:p>
    <w:p w14:paraId="1A14AA54">
      <w:pPr>
        <w:shd w:val="clea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附件六：</w:t>
      </w:r>
      <w:r>
        <w:rPr>
          <w:rFonts w:hint="eastAsia" w:ascii="仿宋" w:hAnsi="仿宋" w:eastAsia="仿宋" w:cs="仿宋"/>
          <w:bCs/>
          <w:snapToGrid w:val="0"/>
          <w:color w:val="auto"/>
          <w:kern w:val="0"/>
          <w:sz w:val="24"/>
          <w:highlight w:val="none"/>
          <w:woUserID w:val="2"/>
        </w:rPr>
        <w:t>安全责任书</w:t>
      </w:r>
    </w:p>
    <w:p w14:paraId="7C53559F">
      <w:pPr>
        <w:shd w:val="clear"/>
        <w:spacing w:line="360" w:lineRule="auto"/>
        <w:ind w:firstLine="480" w:firstLineChars="200"/>
        <w:rPr>
          <w:rFonts w:hint="eastAsia" w:ascii="仿宋" w:hAnsi="仿宋" w:eastAsia="仿宋" w:cs="仿宋"/>
          <w:color w:val="auto"/>
          <w:sz w:val="24"/>
          <w:szCs w:val="24"/>
          <w:highlight w:val="none"/>
          <w:woUserID w:val="2"/>
        </w:rPr>
      </w:pPr>
      <w:r>
        <w:rPr>
          <w:rFonts w:hint="eastAsia" w:ascii="仿宋" w:hAnsi="仿宋" w:eastAsia="仿宋" w:cs="仿宋"/>
          <w:bCs/>
          <w:snapToGrid w:val="0"/>
          <w:color w:val="auto"/>
          <w:kern w:val="0"/>
          <w:sz w:val="24"/>
          <w:highlight w:val="none"/>
        </w:rPr>
        <w:t>附件七：</w:t>
      </w:r>
      <w:r>
        <w:rPr>
          <w:rFonts w:hint="eastAsia" w:ascii="仿宋" w:hAnsi="仿宋" w:eastAsia="仿宋" w:cs="仿宋"/>
          <w:color w:val="auto"/>
          <w:sz w:val="24"/>
          <w:szCs w:val="24"/>
          <w:highlight w:val="none"/>
          <w:woUserID w:val="2"/>
        </w:rPr>
        <w:t>关于按时足额发放工人工资的承诺书</w:t>
      </w:r>
    </w:p>
    <w:p w14:paraId="7DB47DA3">
      <w:pPr>
        <w:shd w:val="clear"/>
        <w:spacing w:line="360" w:lineRule="auto"/>
        <w:ind w:firstLine="480" w:firstLineChars="200"/>
        <w:rPr>
          <w:rFonts w:hint="eastAsia" w:ascii="仿宋" w:hAnsi="仿宋" w:eastAsia="仿宋" w:cs="仿宋"/>
          <w:color w:val="auto"/>
          <w:sz w:val="24"/>
          <w:szCs w:val="24"/>
          <w:highlight w:val="none"/>
          <w:lang w:val="en-US" w:eastAsia="zh-CN"/>
          <w:woUserID w:val="2"/>
        </w:rPr>
      </w:pPr>
      <w:r>
        <w:rPr>
          <w:rFonts w:hint="eastAsia" w:ascii="仿宋" w:hAnsi="仿宋" w:eastAsia="仿宋" w:cs="仿宋"/>
          <w:color w:val="auto"/>
          <w:sz w:val="24"/>
          <w:szCs w:val="24"/>
          <w:highlight w:val="none"/>
          <w:lang w:val="en-US" w:eastAsia="zh-CN"/>
          <w:woUserID w:val="2"/>
        </w:rPr>
        <w:t>附件八：</w:t>
      </w:r>
      <w:r>
        <w:rPr>
          <w:rFonts w:hint="eastAsia" w:ascii="仿宋" w:hAnsi="仿宋" w:eastAsia="仿宋" w:cs="仿宋"/>
          <w:bCs/>
          <w:snapToGrid w:val="0"/>
          <w:color w:val="auto"/>
          <w:kern w:val="0"/>
          <w:sz w:val="24"/>
          <w:highlight w:val="none"/>
        </w:rPr>
        <w:t>关于设计变更及现场签证管理规定</w:t>
      </w:r>
    </w:p>
    <w:p w14:paraId="66FD778E">
      <w:pPr>
        <w:shd w:val="clear"/>
        <w:spacing w:line="360" w:lineRule="auto"/>
        <w:ind w:firstLine="480" w:firstLineChars="200"/>
        <w:rPr>
          <w:rFonts w:ascii="仿宋" w:hAnsi="仿宋" w:eastAsia="仿宋" w:cs="仿宋"/>
          <w:bCs/>
          <w:snapToGrid w:val="0"/>
          <w:color w:val="auto"/>
          <w:kern w:val="0"/>
          <w:sz w:val="24"/>
          <w:highlight w:val="none"/>
        </w:rPr>
      </w:pPr>
      <w:r>
        <w:rPr>
          <w:rFonts w:hint="eastAsia" w:ascii="仿宋" w:hAnsi="仿宋" w:eastAsia="仿宋" w:cs="仿宋"/>
          <w:bCs/>
          <w:snapToGrid w:val="0"/>
          <w:color w:val="auto"/>
          <w:kern w:val="0"/>
          <w:sz w:val="24"/>
          <w:highlight w:val="none"/>
        </w:rPr>
        <w:t>附件</w:t>
      </w:r>
      <w:r>
        <w:rPr>
          <w:rFonts w:hint="eastAsia" w:ascii="仿宋" w:hAnsi="仿宋" w:eastAsia="仿宋" w:cs="仿宋"/>
          <w:bCs/>
          <w:snapToGrid w:val="0"/>
          <w:color w:val="auto"/>
          <w:kern w:val="0"/>
          <w:sz w:val="24"/>
          <w:highlight w:val="none"/>
          <w:lang w:val="en-US" w:eastAsia="zh-CN"/>
        </w:rPr>
        <w:t>九</w:t>
      </w:r>
      <w:r>
        <w:rPr>
          <w:rFonts w:hint="eastAsia" w:ascii="仿宋" w:hAnsi="仿宋" w:eastAsia="仿宋" w:cs="仿宋"/>
          <w:bCs/>
          <w:snapToGrid w:val="0"/>
          <w:color w:val="auto"/>
          <w:kern w:val="0"/>
          <w:sz w:val="24"/>
          <w:highlight w:val="none"/>
        </w:rPr>
        <w:t>：</w:t>
      </w:r>
      <w:r>
        <w:rPr>
          <w:rFonts w:hint="eastAsia" w:ascii="仿宋" w:hAnsi="仿宋" w:eastAsia="仿宋" w:cs="仿宋"/>
          <w:bCs/>
          <w:snapToGrid w:val="0"/>
          <w:color w:val="auto"/>
          <w:kern w:val="0"/>
          <w:sz w:val="24"/>
          <w:highlight w:val="none"/>
          <w:lang w:eastAsia="zh"/>
          <w:woUserID w:val="2"/>
        </w:rPr>
        <w:t>履约保函</w:t>
      </w:r>
    </w:p>
    <w:p w14:paraId="2A07E41D">
      <w:pPr>
        <w:pStyle w:val="22"/>
        <w:shd w:val="clear"/>
        <w:spacing w:line="360" w:lineRule="auto"/>
        <w:ind w:firstLine="480"/>
        <w:rPr>
          <w:rFonts w:hint="eastAsia" w:ascii="仿宋" w:hAnsi="仿宋" w:eastAsia="仿宋" w:cs="仿宋"/>
          <w:color w:val="auto"/>
          <w:highlight w:val="none"/>
          <w:lang w:eastAsia="zh"/>
          <w:woUserID w:val="2"/>
        </w:rPr>
      </w:pPr>
      <w:r>
        <w:rPr>
          <w:rFonts w:hint="eastAsia" w:ascii="仿宋" w:hAnsi="仿宋" w:eastAsia="仿宋" w:cs="仿宋"/>
          <w:color w:val="auto"/>
          <w:highlight w:val="none"/>
          <w:woUserID w:val="2"/>
        </w:rPr>
        <w:t>附件</w:t>
      </w:r>
      <w:r>
        <w:rPr>
          <w:rFonts w:hint="eastAsia" w:ascii="仿宋" w:hAnsi="仿宋" w:eastAsia="仿宋" w:cs="仿宋"/>
          <w:color w:val="auto"/>
          <w:highlight w:val="none"/>
          <w:lang w:val="en-US" w:eastAsia="zh-CN"/>
          <w:woUserID w:val="2"/>
        </w:rPr>
        <w:t>十</w:t>
      </w:r>
      <w:r>
        <w:rPr>
          <w:rFonts w:hint="eastAsia" w:ascii="仿宋" w:hAnsi="仿宋" w:eastAsia="仿宋" w:cs="仿宋"/>
          <w:color w:val="auto"/>
          <w:highlight w:val="none"/>
          <w:woUserID w:val="2"/>
        </w:rPr>
        <w:t>：</w:t>
      </w:r>
      <w:r>
        <w:rPr>
          <w:rFonts w:hint="eastAsia" w:ascii="仿宋" w:hAnsi="仿宋" w:eastAsia="仿宋" w:cs="仿宋"/>
          <w:color w:val="auto"/>
          <w:highlight w:val="none"/>
          <w:lang w:eastAsia="zh"/>
          <w:woUserID w:val="2"/>
        </w:rPr>
        <w:t>中标通知书</w:t>
      </w:r>
    </w:p>
    <w:p w14:paraId="3ED12058">
      <w:pPr>
        <w:pStyle w:val="22"/>
        <w:shd w:val="clear"/>
        <w:spacing w:line="360" w:lineRule="auto"/>
        <w:ind w:firstLine="480"/>
        <w:rPr>
          <w:rFonts w:hint="default" w:ascii="仿宋" w:hAnsi="仿宋" w:eastAsia="仿宋" w:cs="仿宋"/>
          <w:color w:val="auto"/>
          <w:highlight w:val="none"/>
          <w:lang w:val="en-US" w:eastAsia="zh-CN"/>
          <w:woUserID w:val="2"/>
        </w:rPr>
      </w:pPr>
      <w:r>
        <w:rPr>
          <w:rFonts w:hint="eastAsia" w:ascii="仿宋" w:hAnsi="仿宋" w:eastAsia="仿宋" w:cs="仿宋"/>
          <w:color w:val="auto"/>
          <w:highlight w:val="none"/>
          <w:lang w:val="en-US" w:eastAsia="zh-CN"/>
          <w:woUserID w:val="2"/>
        </w:rPr>
        <w:t>附件十一：展陈物料、设备及数字内容策划及制作工程量清单</w:t>
      </w:r>
    </w:p>
    <w:p w14:paraId="763894F4">
      <w:pPr>
        <w:pStyle w:val="21"/>
        <w:shd w:val="clear"/>
        <w:ind w:firstLine="200"/>
        <w:rPr>
          <w:rFonts w:ascii="仿宋" w:hAnsi="仿宋" w:eastAsia="仿宋" w:cs="仿宋"/>
          <w:color w:val="auto"/>
          <w:highlight w:val="none"/>
        </w:rPr>
      </w:pPr>
    </w:p>
    <w:p w14:paraId="7B887D53">
      <w:pPr>
        <w:pStyle w:val="3"/>
        <w:numPr>
          <w:ilvl w:val="1"/>
          <w:numId w:val="0"/>
        </w:numPr>
        <w:shd w:val="clear"/>
        <w:spacing w:after="0"/>
        <w:rPr>
          <w:rFonts w:ascii="仿宋" w:hAnsi="仿宋" w:eastAsia="仿宋" w:cs="仿宋"/>
          <w:color w:val="auto"/>
          <w:sz w:val="24"/>
          <w:szCs w:val="24"/>
          <w:highlight w:val="none"/>
        </w:rPr>
      </w:pPr>
      <w:r>
        <w:rPr>
          <w:rFonts w:hint="eastAsia" w:ascii="仿宋" w:hAnsi="仿宋" w:eastAsia="仿宋" w:cs="仿宋"/>
          <w:bCs w:val="0"/>
          <w:snapToGrid w:val="0"/>
          <w:color w:val="auto"/>
          <w:sz w:val="24"/>
          <w:highlight w:val="none"/>
        </w:rPr>
        <w:br w:type="page"/>
      </w:r>
      <w:bookmarkStart w:id="266" w:name="_Toc8293708"/>
      <w:bookmarkStart w:id="267" w:name="_Toc82013100"/>
      <w:bookmarkStart w:id="268" w:name="_Toc83377303"/>
      <w:bookmarkStart w:id="269" w:name="_Toc28441"/>
      <w:bookmarkStart w:id="270" w:name="_Toc2784917"/>
      <w:r>
        <w:rPr>
          <w:rFonts w:hint="eastAsia" w:ascii="仿宋" w:hAnsi="仿宋" w:eastAsia="仿宋" w:cs="仿宋"/>
          <w:color w:val="auto"/>
          <w:sz w:val="24"/>
          <w:szCs w:val="24"/>
          <w:highlight w:val="none"/>
        </w:rPr>
        <w:t>附件一：</w:t>
      </w:r>
      <w:bookmarkEnd w:id="266"/>
      <w:r>
        <w:rPr>
          <w:rFonts w:hint="eastAsia" w:ascii="仿宋" w:hAnsi="仿宋" w:eastAsia="仿宋" w:cs="仿宋"/>
          <w:color w:val="auto"/>
          <w:sz w:val="24"/>
          <w:szCs w:val="24"/>
          <w:highlight w:val="none"/>
        </w:rPr>
        <w:t>合同价款组成表</w:t>
      </w:r>
      <w:bookmarkEnd w:id="267"/>
      <w:bookmarkEnd w:id="268"/>
    </w:p>
    <w:p w14:paraId="52CA24BA">
      <w:pPr>
        <w:pStyle w:val="9"/>
        <w:shd w:val="clear"/>
        <w:ind w:firstLine="200"/>
        <w:rPr>
          <w:rFonts w:ascii="仿宋" w:hAnsi="仿宋" w:eastAsia="仿宋" w:cs="仿宋"/>
          <w:color w:val="auto"/>
          <w:highlight w:val="none"/>
        </w:rPr>
      </w:pPr>
    </w:p>
    <w:p w14:paraId="6ADC0CE6">
      <w:pPr>
        <w:shd w:val="clear"/>
        <w:rPr>
          <w:rFonts w:ascii="仿宋" w:hAnsi="仿宋" w:eastAsia="仿宋" w:cs="仿宋"/>
          <w:color w:val="auto"/>
          <w:highlight w:val="none"/>
        </w:rPr>
      </w:pPr>
    </w:p>
    <w:tbl>
      <w:tblPr>
        <w:tblStyle w:val="2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330"/>
        <w:gridCol w:w="6669"/>
      </w:tblGrid>
      <w:tr w14:paraId="7FC5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871" w:type="dxa"/>
            <w:gridSpan w:val="2"/>
            <w:vAlign w:val="center"/>
          </w:tcPr>
          <w:p w14:paraId="4A399943">
            <w:pPr>
              <w:shd w:val="clear"/>
              <w:spacing w:line="300" w:lineRule="exact"/>
              <w:jc w:val="center"/>
              <w:rPr>
                <w:rFonts w:hint="eastAsia" w:ascii="仿宋" w:hAnsi="仿宋" w:eastAsia="仿宋" w:cs="仿宋"/>
                <w:b/>
                <w:szCs w:val="21"/>
                <w:highlight w:val="none"/>
              </w:rPr>
            </w:pPr>
            <w:r>
              <w:rPr>
                <w:rFonts w:hint="eastAsia" w:ascii="仿宋" w:hAnsi="仿宋" w:eastAsia="仿宋" w:cs="仿宋"/>
                <w:b/>
                <w:szCs w:val="21"/>
                <w:highlight w:val="none"/>
                <w:lang w:val="zh-CN"/>
              </w:rPr>
              <w:t>项目名称</w:t>
            </w:r>
          </w:p>
        </w:tc>
        <w:tc>
          <w:tcPr>
            <w:tcW w:w="6669" w:type="dxa"/>
            <w:vAlign w:val="center"/>
          </w:tcPr>
          <w:p w14:paraId="1DF0FF47">
            <w:pPr>
              <w:shd w:val="clear"/>
              <w:spacing w:line="300" w:lineRule="exact"/>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广州市白云区夏茅村城中村改造项目首开区安置地块项目城中村展示中心项目设计施工总承包（EPC）</w:t>
            </w:r>
          </w:p>
        </w:tc>
      </w:tr>
      <w:tr w14:paraId="46EC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871" w:type="dxa"/>
            <w:gridSpan w:val="2"/>
            <w:vAlign w:val="center"/>
          </w:tcPr>
          <w:p w14:paraId="1982F47B">
            <w:pPr>
              <w:shd w:val="clear"/>
              <w:spacing w:line="300" w:lineRule="exact"/>
              <w:jc w:val="center"/>
              <w:rPr>
                <w:rFonts w:hint="eastAsia" w:ascii="仿宋" w:hAnsi="仿宋" w:eastAsia="仿宋" w:cs="仿宋"/>
                <w:b/>
                <w:szCs w:val="21"/>
                <w:highlight w:val="none"/>
              </w:rPr>
            </w:pPr>
            <w:r>
              <w:rPr>
                <w:rFonts w:hint="eastAsia" w:ascii="仿宋" w:hAnsi="仿宋" w:eastAsia="仿宋" w:cs="仿宋"/>
                <w:b/>
                <w:szCs w:val="21"/>
                <w:highlight w:val="none"/>
                <w:lang w:val="zh-CN"/>
              </w:rPr>
              <w:t>投标总报价（元，</w:t>
            </w:r>
            <w:r>
              <w:rPr>
                <w:rFonts w:hint="eastAsia" w:ascii="仿宋" w:hAnsi="仿宋" w:eastAsia="仿宋" w:cs="仿宋"/>
                <w:b/>
                <w:szCs w:val="21"/>
                <w:highlight w:val="none"/>
                <w:lang w:val="en-US" w:eastAsia="zh-CN"/>
              </w:rPr>
              <w:t>含税</w:t>
            </w:r>
            <w:r>
              <w:rPr>
                <w:rFonts w:hint="eastAsia" w:ascii="仿宋" w:hAnsi="仿宋" w:eastAsia="仿宋" w:cs="仿宋"/>
                <w:b/>
                <w:szCs w:val="21"/>
                <w:highlight w:val="none"/>
                <w:lang w:val="zh-CN"/>
              </w:rPr>
              <w:t>）</w:t>
            </w:r>
          </w:p>
        </w:tc>
        <w:tc>
          <w:tcPr>
            <w:tcW w:w="6669" w:type="dxa"/>
            <w:vAlign w:val="center"/>
          </w:tcPr>
          <w:p w14:paraId="1BDC4089">
            <w:pPr>
              <w:shd w:val="clear"/>
              <w:snapToGrid w:val="0"/>
              <w:spacing w:line="360" w:lineRule="auto"/>
              <w:jc w:val="left"/>
              <w:rPr>
                <w:rFonts w:hint="eastAsia" w:ascii="仿宋" w:hAnsi="仿宋" w:eastAsia="仿宋" w:cs="仿宋"/>
                <w:b/>
                <w:szCs w:val="21"/>
                <w:highlight w:val="none"/>
              </w:rPr>
            </w:pPr>
            <w:r>
              <w:rPr>
                <w:rFonts w:hint="eastAsia" w:ascii="仿宋" w:hAnsi="仿宋" w:eastAsia="仿宋" w:cs="仿宋"/>
                <w:b/>
                <w:szCs w:val="21"/>
                <w:highlight w:val="none"/>
              </w:rPr>
              <w:t>大写：</w:t>
            </w:r>
            <w:r>
              <w:rPr>
                <w:rFonts w:hint="eastAsia" w:ascii="仿宋" w:hAnsi="仿宋" w:eastAsia="仿宋" w:cs="仿宋"/>
                <w:b/>
                <w:szCs w:val="21"/>
                <w:highlight w:val="none"/>
                <w:lang w:val="en-US" w:eastAsia="zh-CN"/>
              </w:rPr>
              <w:t xml:space="preserve"> </w:t>
            </w:r>
            <w:r>
              <w:rPr>
                <w:rFonts w:hint="eastAsia" w:ascii="仿宋" w:hAnsi="仿宋" w:eastAsia="仿宋" w:cs="仿宋"/>
                <w:b/>
                <w:szCs w:val="21"/>
                <w:highlight w:val="none"/>
                <w:lang w:eastAsia="zh-CN"/>
              </w:rPr>
              <w:t>元整</w:t>
            </w:r>
          </w:p>
          <w:p w14:paraId="732AB51D">
            <w:pPr>
              <w:shd w:val="clear"/>
              <w:spacing w:line="300" w:lineRule="exact"/>
              <w:jc w:val="left"/>
              <w:rPr>
                <w:rFonts w:hint="eastAsia" w:ascii="仿宋" w:hAnsi="仿宋" w:eastAsia="仿宋" w:cs="仿宋"/>
                <w:b/>
                <w:szCs w:val="21"/>
                <w:highlight w:val="none"/>
              </w:rPr>
            </w:pPr>
            <w:r>
              <w:rPr>
                <w:rFonts w:hint="eastAsia" w:ascii="仿宋" w:hAnsi="仿宋" w:eastAsia="仿宋" w:cs="仿宋"/>
                <w:b/>
                <w:szCs w:val="21"/>
                <w:highlight w:val="none"/>
              </w:rPr>
              <w:t>小写：</w:t>
            </w:r>
            <w:r>
              <w:rPr>
                <w:rFonts w:hint="eastAsia" w:ascii="仿宋" w:hAnsi="仿宋" w:eastAsia="仿宋" w:cs="仿宋"/>
                <w:b/>
                <w:szCs w:val="21"/>
                <w:highlight w:val="none"/>
                <w:lang w:val="en-US" w:eastAsia="zh-CN"/>
              </w:rPr>
              <w:t xml:space="preserve"> 元</w:t>
            </w:r>
          </w:p>
        </w:tc>
      </w:tr>
      <w:tr w14:paraId="29B0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41" w:type="dxa"/>
            <w:vMerge w:val="restart"/>
            <w:tcBorders>
              <w:right w:val="single" w:color="000000" w:sz="4" w:space="0"/>
            </w:tcBorders>
            <w:vAlign w:val="center"/>
          </w:tcPr>
          <w:p w14:paraId="30E53539">
            <w:pPr>
              <w:shd w:val="clear"/>
              <w:spacing w:line="300" w:lineRule="exact"/>
              <w:rPr>
                <w:rFonts w:hint="eastAsia" w:ascii="仿宋" w:hAnsi="仿宋" w:eastAsia="仿宋" w:cs="仿宋"/>
                <w:b/>
                <w:szCs w:val="21"/>
                <w:highlight w:val="none"/>
                <w:lang w:val="zh-CN"/>
              </w:rPr>
            </w:pPr>
            <w:r>
              <w:rPr>
                <w:rFonts w:hint="eastAsia" w:ascii="仿宋" w:hAnsi="仿宋" w:eastAsia="仿宋" w:cs="仿宋"/>
                <w:b/>
                <w:szCs w:val="21"/>
                <w:highlight w:val="none"/>
              </w:rPr>
              <w:t>其中：</w:t>
            </w:r>
          </w:p>
        </w:tc>
        <w:tc>
          <w:tcPr>
            <w:tcW w:w="2330" w:type="dxa"/>
            <w:tcBorders>
              <w:left w:val="single" w:color="000000" w:sz="4" w:space="0"/>
            </w:tcBorders>
            <w:vAlign w:val="center"/>
          </w:tcPr>
          <w:p w14:paraId="79795042">
            <w:pPr>
              <w:shd w:val="clear"/>
              <w:spacing w:line="300" w:lineRule="exact"/>
              <w:rPr>
                <w:rFonts w:hint="eastAsia" w:ascii="仿宋" w:hAnsi="仿宋" w:eastAsia="仿宋" w:cs="仿宋"/>
                <w:b/>
                <w:szCs w:val="21"/>
                <w:highlight w:val="none"/>
                <w:lang w:val="zh-CN"/>
              </w:rPr>
            </w:pPr>
            <w:r>
              <w:rPr>
                <w:rFonts w:hint="eastAsia" w:ascii="仿宋" w:hAnsi="仿宋" w:eastAsia="仿宋" w:cs="仿宋"/>
                <w:b/>
                <w:szCs w:val="21"/>
                <w:highlight w:val="none"/>
                <w:lang w:val="zh-CN"/>
              </w:rPr>
              <w:t>一、工程费报价</w:t>
            </w:r>
          </w:p>
        </w:tc>
        <w:tc>
          <w:tcPr>
            <w:tcW w:w="6669" w:type="dxa"/>
            <w:vAlign w:val="center"/>
          </w:tcPr>
          <w:p w14:paraId="4C7ADC47">
            <w:pPr>
              <w:shd w:val="clear"/>
              <w:spacing w:line="300" w:lineRule="exact"/>
              <w:jc w:val="left"/>
              <w:rPr>
                <w:rFonts w:hint="eastAsia" w:ascii="仿宋" w:hAnsi="仿宋" w:eastAsia="仿宋" w:cs="仿宋"/>
                <w:b/>
                <w:szCs w:val="21"/>
                <w:highlight w:val="none"/>
                <w:u w:val="single"/>
              </w:rPr>
            </w:pPr>
            <w:r>
              <w:rPr>
                <w:rFonts w:hint="eastAsia" w:ascii="仿宋" w:hAnsi="仿宋" w:eastAsia="仿宋" w:cs="仿宋"/>
                <w:b/>
                <w:szCs w:val="21"/>
                <w:highlight w:val="none"/>
                <w:u w:val="single"/>
                <w:lang w:val="en-US" w:eastAsia="zh-CN"/>
              </w:rPr>
              <w:t xml:space="preserve">   </w:t>
            </w:r>
            <w:r>
              <w:rPr>
                <w:rFonts w:hint="eastAsia" w:ascii="仿宋" w:hAnsi="仿宋" w:eastAsia="仿宋" w:cs="仿宋"/>
                <w:b/>
                <w:szCs w:val="21"/>
                <w:highlight w:val="none"/>
              </w:rPr>
              <w:t>元（下浮率</w:t>
            </w:r>
            <w:r>
              <w:rPr>
                <w:rFonts w:hint="eastAsia" w:ascii="仿宋" w:hAnsi="仿宋" w:eastAsia="仿宋" w:cs="仿宋"/>
                <w:b/>
                <w:szCs w:val="21"/>
                <w:highlight w:val="none"/>
                <w:u w:val="single"/>
              </w:rPr>
              <w:t xml:space="preserve"> </w:t>
            </w:r>
            <w:r>
              <w:rPr>
                <w:rFonts w:hint="eastAsia" w:ascii="仿宋" w:hAnsi="仿宋" w:eastAsia="仿宋" w:cs="仿宋"/>
                <w:b/>
                <w:szCs w:val="21"/>
                <w:highlight w:val="none"/>
                <w:u w:val="single"/>
                <w:lang w:val="en-US" w:eastAsia="zh-CN"/>
              </w:rPr>
              <w:t xml:space="preserve"> </w:t>
            </w:r>
            <w:r>
              <w:rPr>
                <w:rFonts w:hint="eastAsia" w:ascii="仿宋" w:hAnsi="仿宋" w:eastAsia="仿宋" w:cs="仿宋"/>
                <w:b/>
                <w:szCs w:val="21"/>
                <w:highlight w:val="none"/>
                <w:u w:val="single"/>
              </w:rPr>
              <w:t xml:space="preserve"> </w:t>
            </w:r>
            <w:r>
              <w:rPr>
                <w:rFonts w:hint="eastAsia" w:ascii="仿宋" w:hAnsi="仿宋" w:eastAsia="仿宋" w:cs="仿宋"/>
                <w:b/>
                <w:szCs w:val="21"/>
                <w:highlight w:val="none"/>
              </w:rPr>
              <w:t>%）</w:t>
            </w:r>
          </w:p>
        </w:tc>
      </w:tr>
      <w:tr w14:paraId="7305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41" w:type="dxa"/>
            <w:vMerge w:val="continue"/>
            <w:tcBorders>
              <w:right w:val="single" w:color="000000" w:sz="4" w:space="0"/>
            </w:tcBorders>
            <w:vAlign w:val="center"/>
          </w:tcPr>
          <w:p w14:paraId="23B5EE82">
            <w:pPr>
              <w:shd w:val="clear"/>
              <w:spacing w:line="300" w:lineRule="exact"/>
              <w:ind w:firstLine="422" w:firstLineChars="200"/>
              <w:rPr>
                <w:rFonts w:hint="eastAsia" w:ascii="仿宋" w:hAnsi="仿宋" w:eastAsia="仿宋" w:cs="仿宋"/>
                <w:b/>
                <w:szCs w:val="21"/>
                <w:highlight w:val="none"/>
              </w:rPr>
            </w:pPr>
          </w:p>
        </w:tc>
        <w:tc>
          <w:tcPr>
            <w:tcW w:w="2330" w:type="dxa"/>
            <w:tcBorders>
              <w:left w:val="single" w:color="000000" w:sz="4" w:space="0"/>
            </w:tcBorders>
            <w:vAlign w:val="center"/>
          </w:tcPr>
          <w:p w14:paraId="18450C60">
            <w:pPr>
              <w:shd w:val="clear"/>
              <w:spacing w:line="300" w:lineRule="exact"/>
              <w:rPr>
                <w:rFonts w:hint="eastAsia" w:ascii="仿宋" w:hAnsi="仿宋" w:eastAsia="仿宋" w:cs="仿宋"/>
                <w:b/>
                <w:szCs w:val="21"/>
                <w:highlight w:val="none"/>
              </w:rPr>
            </w:pPr>
            <w:r>
              <w:rPr>
                <w:rFonts w:hint="eastAsia" w:ascii="仿宋" w:hAnsi="仿宋" w:eastAsia="仿宋" w:cs="仿宋"/>
                <w:b/>
                <w:szCs w:val="21"/>
                <w:highlight w:val="none"/>
              </w:rPr>
              <w:t>二</w:t>
            </w:r>
            <w:r>
              <w:rPr>
                <w:rFonts w:hint="eastAsia" w:ascii="仿宋" w:hAnsi="仿宋" w:eastAsia="仿宋" w:cs="仿宋"/>
                <w:b/>
                <w:szCs w:val="21"/>
                <w:highlight w:val="none"/>
                <w:lang w:val="zh-CN"/>
              </w:rPr>
              <w:t>、设计费报价</w:t>
            </w:r>
          </w:p>
        </w:tc>
        <w:tc>
          <w:tcPr>
            <w:tcW w:w="6669" w:type="dxa"/>
            <w:vAlign w:val="center"/>
          </w:tcPr>
          <w:p w14:paraId="7AB7DD3A">
            <w:pPr>
              <w:shd w:val="clear"/>
              <w:spacing w:line="300" w:lineRule="exact"/>
              <w:jc w:val="left"/>
              <w:rPr>
                <w:rFonts w:hint="eastAsia" w:ascii="仿宋" w:hAnsi="仿宋" w:eastAsia="仿宋" w:cs="仿宋"/>
                <w:b/>
                <w:bCs/>
                <w:szCs w:val="21"/>
                <w:highlight w:val="none"/>
                <w:u w:val="single"/>
              </w:rPr>
            </w:pPr>
            <w:r>
              <w:rPr>
                <w:rFonts w:hint="eastAsia" w:ascii="仿宋" w:hAnsi="仿宋" w:eastAsia="仿宋" w:cs="仿宋"/>
                <w:b/>
                <w:szCs w:val="21"/>
                <w:highlight w:val="none"/>
                <w:u w:val="single"/>
              </w:rPr>
              <w:t xml:space="preserve"> </w:t>
            </w:r>
            <w:r>
              <w:rPr>
                <w:rFonts w:hint="eastAsia" w:ascii="仿宋" w:hAnsi="仿宋" w:eastAsia="仿宋" w:cs="仿宋"/>
                <w:b/>
                <w:szCs w:val="21"/>
                <w:highlight w:val="none"/>
                <w:u w:val="single"/>
                <w:lang w:val="en-US" w:eastAsia="zh-CN"/>
              </w:rPr>
              <w:t xml:space="preserve"> </w:t>
            </w:r>
            <w:r>
              <w:rPr>
                <w:rFonts w:hint="eastAsia" w:ascii="仿宋" w:hAnsi="仿宋" w:eastAsia="仿宋" w:cs="仿宋"/>
                <w:b/>
                <w:szCs w:val="21"/>
                <w:highlight w:val="none"/>
                <w:u w:val="single"/>
              </w:rPr>
              <w:t xml:space="preserve"> </w:t>
            </w:r>
            <w:r>
              <w:rPr>
                <w:rFonts w:hint="eastAsia" w:ascii="仿宋" w:hAnsi="仿宋" w:eastAsia="仿宋" w:cs="仿宋"/>
                <w:b/>
                <w:bCs/>
                <w:szCs w:val="21"/>
                <w:highlight w:val="none"/>
                <w:u w:val="single"/>
              </w:rPr>
              <w:t>元</w:t>
            </w:r>
            <w:r>
              <w:rPr>
                <w:rFonts w:hint="eastAsia" w:ascii="仿宋" w:hAnsi="仿宋" w:eastAsia="仿宋" w:cs="仿宋"/>
                <w:b/>
                <w:szCs w:val="21"/>
                <w:highlight w:val="none"/>
              </w:rPr>
              <w:t>（下浮率</w:t>
            </w:r>
            <w:r>
              <w:rPr>
                <w:rFonts w:hint="eastAsia" w:ascii="仿宋" w:hAnsi="仿宋" w:eastAsia="仿宋" w:cs="仿宋"/>
                <w:b/>
                <w:szCs w:val="21"/>
                <w:highlight w:val="none"/>
                <w:u w:val="single"/>
              </w:rPr>
              <w:t xml:space="preserve"> </w:t>
            </w:r>
            <w:r>
              <w:rPr>
                <w:rFonts w:hint="eastAsia" w:ascii="仿宋" w:hAnsi="仿宋" w:eastAsia="仿宋" w:cs="仿宋"/>
                <w:b/>
                <w:szCs w:val="21"/>
                <w:highlight w:val="none"/>
                <w:u w:val="single"/>
                <w:lang w:val="en-US" w:eastAsia="zh-CN"/>
              </w:rPr>
              <w:t xml:space="preserve"> </w:t>
            </w:r>
            <w:r>
              <w:rPr>
                <w:rFonts w:hint="eastAsia" w:ascii="仿宋" w:hAnsi="仿宋" w:eastAsia="仿宋" w:cs="仿宋"/>
                <w:b/>
                <w:szCs w:val="21"/>
                <w:highlight w:val="none"/>
                <w:u w:val="single"/>
              </w:rPr>
              <w:t xml:space="preserve"> </w:t>
            </w:r>
            <w:r>
              <w:rPr>
                <w:rFonts w:hint="eastAsia" w:ascii="仿宋" w:hAnsi="仿宋" w:eastAsia="仿宋" w:cs="仿宋"/>
                <w:b/>
                <w:szCs w:val="21"/>
                <w:highlight w:val="none"/>
              </w:rPr>
              <w:t>%）</w:t>
            </w:r>
          </w:p>
        </w:tc>
      </w:tr>
      <w:tr w14:paraId="022E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71" w:type="dxa"/>
            <w:gridSpan w:val="2"/>
            <w:vAlign w:val="center"/>
          </w:tcPr>
          <w:p w14:paraId="740401F2">
            <w:pPr>
              <w:shd w:val="clear"/>
              <w:spacing w:line="300" w:lineRule="exact"/>
              <w:jc w:val="center"/>
              <w:rPr>
                <w:rFonts w:hint="eastAsia" w:ascii="仿宋" w:hAnsi="仿宋" w:eastAsia="仿宋" w:cs="仿宋"/>
                <w:b/>
                <w:szCs w:val="21"/>
                <w:highlight w:val="none"/>
                <w:lang w:val="zh-CN"/>
              </w:rPr>
            </w:pPr>
            <w:r>
              <w:rPr>
                <w:rFonts w:hint="eastAsia" w:ascii="仿宋" w:hAnsi="仿宋" w:eastAsia="仿宋" w:cs="仿宋"/>
                <w:b/>
                <w:szCs w:val="21"/>
                <w:highlight w:val="none"/>
                <w:lang w:val="zh-CN"/>
              </w:rPr>
              <w:t>投标工期</w:t>
            </w:r>
          </w:p>
        </w:tc>
        <w:tc>
          <w:tcPr>
            <w:tcW w:w="6669" w:type="dxa"/>
            <w:vAlign w:val="center"/>
          </w:tcPr>
          <w:p w14:paraId="4C14C597">
            <w:pPr>
              <w:shd w:val="clear"/>
              <w:spacing w:line="300" w:lineRule="exact"/>
              <w:rPr>
                <w:rFonts w:hint="eastAsia" w:ascii="仿宋" w:hAnsi="仿宋" w:eastAsia="仿宋" w:cs="仿宋"/>
                <w:b/>
                <w:szCs w:val="21"/>
                <w:highlight w:val="none"/>
              </w:rPr>
            </w:pPr>
            <w:r>
              <w:rPr>
                <w:rFonts w:hint="eastAsia" w:ascii="仿宋" w:hAnsi="仿宋" w:eastAsia="仿宋" w:cs="仿宋"/>
                <w:b/>
                <w:szCs w:val="21"/>
                <w:highlight w:val="none"/>
              </w:rPr>
              <w:t>按招标文件</w:t>
            </w:r>
            <w:r>
              <w:rPr>
                <w:rFonts w:hint="eastAsia" w:ascii="仿宋" w:hAnsi="仿宋" w:eastAsia="仿宋" w:cs="仿宋"/>
                <w:b/>
                <w:szCs w:val="21"/>
                <w:highlight w:val="none"/>
                <w:lang w:val="zh-CN"/>
              </w:rPr>
              <w:t>要求</w:t>
            </w:r>
          </w:p>
        </w:tc>
      </w:tr>
      <w:tr w14:paraId="343C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71" w:type="dxa"/>
            <w:gridSpan w:val="2"/>
            <w:vAlign w:val="center"/>
          </w:tcPr>
          <w:p w14:paraId="5029EF7B">
            <w:pPr>
              <w:shd w:val="clear"/>
              <w:spacing w:line="300" w:lineRule="exact"/>
              <w:jc w:val="center"/>
              <w:rPr>
                <w:rFonts w:hint="eastAsia" w:ascii="仿宋" w:hAnsi="仿宋" w:eastAsia="仿宋" w:cs="仿宋"/>
                <w:b/>
                <w:szCs w:val="21"/>
                <w:highlight w:val="none"/>
              </w:rPr>
            </w:pPr>
            <w:r>
              <w:rPr>
                <w:rFonts w:hint="eastAsia" w:ascii="仿宋" w:hAnsi="仿宋" w:eastAsia="仿宋" w:cs="仿宋"/>
                <w:b/>
                <w:szCs w:val="21"/>
                <w:highlight w:val="none"/>
                <w:lang w:val="zh-CN"/>
              </w:rPr>
              <w:t>工程质量标准</w:t>
            </w:r>
          </w:p>
        </w:tc>
        <w:tc>
          <w:tcPr>
            <w:tcW w:w="6669" w:type="dxa"/>
            <w:vAlign w:val="center"/>
          </w:tcPr>
          <w:p w14:paraId="312DA43C">
            <w:pPr>
              <w:shd w:val="clear"/>
              <w:spacing w:line="300" w:lineRule="exact"/>
              <w:rPr>
                <w:rFonts w:hint="eastAsia" w:ascii="仿宋" w:hAnsi="仿宋" w:eastAsia="仿宋" w:cs="仿宋"/>
                <w:b/>
                <w:szCs w:val="21"/>
                <w:highlight w:val="none"/>
              </w:rPr>
            </w:pPr>
            <w:r>
              <w:rPr>
                <w:rFonts w:hint="eastAsia" w:ascii="仿宋" w:hAnsi="仿宋" w:eastAsia="仿宋" w:cs="仿宋"/>
                <w:b/>
                <w:szCs w:val="21"/>
                <w:highlight w:val="none"/>
              </w:rPr>
              <w:t>按招标文件要求</w:t>
            </w:r>
          </w:p>
        </w:tc>
      </w:tr>
      <w:tr w14:paraId="09C8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871" w:type="dxa"/>
            <w:gridSpan w:val="2"/>
            <w:vAlign w:val="center"/>
          </w:tcPr>
          <w:p w14:paraId="17AA0724">
            <w:pPr>
              <w:shd w:val="clear"/>
              <w:spacing w:line="300" w:lineRule="exact"/>
              <w:jc w:val="center"/>
              <w:rPr>
                <w:rFonts w:hint="eastAsia" w:ascii="仿宋" w:hAnsi="仿宋" w:eastAsia="仿宋" w:cs="仿宋"/>
                <w:b/>
                <w:szCs w:val="21"/>
                <w:highlight w:val="none"/>
                <w:lang w:val="zh-CN"/>
              </w:rPr>
            </w:pPr>
            <w:r>
              <w:rPr>
                <w:rFonts w:hint="eastAsia" w:ascii="仿宋" w:hAnsi="仿宋" w:eastAsia="仿宋" w:cs="仿宋"/>
                <w:b/>
                <w:szCs w:val="21"/>
                <w:highlight w:val="none"/>
                <w:lang w:val="zh-CN"/>
              </w:rPr>
              <w:t>保修期限</w:t>
            </w:r>
          </w:p>
        </w:tc>
        <w:tc>
          <w:tcPr>
            <w:tcW w:w="6669" w:type="dxa"/>
            <w:vAlign w:val="center"/>
          </w:tcPr>
          <w:p w14:paraId="391B498B">
            <w:pPr>
              <w:shd w:val="clear"/>
              <w:spacing w:line="300" w:lineRule="exact"/>
              <w:rPr>
                <w:rFonts w:hint="eastAsia" w:ascii="仿宋" w:hAnsi="仿宋" w:eastAsia="仿宋" w:cs="仿宋"/>
                <w:b/>
                <w:szCs w:val="21"/>
                <w:highlight w:val="none"/>
              </w:rPr>
            </w:pPr>
            <w:r>
              <w:rPr>
                <w:rFonts w:hint="eastAsia" w:ascii="仿宋" w:hAnsi="仿宋" w:eastAsia="仿宋" w:cs="仿宋"/>
                <w:b/>
                <w:szCs w:val="21"/>
                <w:highlight w:val="none"/>
              </w:rPr>
              <w:t>按招标文件</w:t>
            </w:r>
            <w:r>
              <w:rPr>
                <w:rFonts w:hint="eastAsia" w:ascii="仿宋" w:hAnsi="仿宋" w:eastAsia="仿宋" w:cs="仿宋"/>
                <w:b/>
                <w:szCs w:val="21"/>
                <w:highlight w:val="none"/>
                <w:lang w:val="zh-CN"/>
              </w:rPr>
              <w:t>要求</w:t>
            </w:r>
          </w:p>
        </w:tc>
      </w:tr>
    </w:tbl>
    <w:p w14:paraId="77729FFA">
      <w:pPr>
        <w:pStyle w:val="3"/>
        <w:shd w:val="clear"/>
        <w:rPr>
          <w:rFonts w:ascii="仿宋" w:hAnsi="仿宋" w:eastAsia="仿宋" w:cs="仿宋"/>
          <w:color w:val="auto"/>
          <w:highlight w:val="none"/>
        </w:rPr>
      </w:pPr>
    </w:p>
    <w:p w14:paraId="25D612C2">
      <w:pPr>
        <w:shd w:val="clear"/>
        <w:rPr>
          <w:rFonts w:ascii="仿宋" w:hAnsi="仿宋" w:eastAsia="仿宋" w:cs="仿宋"/>
          <w:color w:val="auto"/>
          <w:highlight w:val="none"/>
        </w:rPr>
      </w:pPr>
    </w:p>
    <w:p w14:paraId="5372C10A">
      <w:pPr>
        <w:pStyle w:val="3"/>
        <w:shd w:val="clear"/>
        <w:rPr>
          <w:rFonts w:ascii="仿宋" w:hAnsi="仿宋" w:eastAsia="仿宋" w:cs="仿宋"/>
          <w:color w:val="auto"/>
          <w:highlight w:val="none"/>
        </w:rPr>
      </w:pPr>
    </w:p>
    <w:p w14:paraId="3FDA2B49">
      <w:pPr>
        <w:shd w:val="clear"/>
        <w:rPr>
          <w:rFonts w:ascii="仿宋" w:hAnsi="仿宋" w:eastAsia="仿宋" w:cs="仿宋"/>
          <w:color w:val="auto"/>
          <w:highlight w:val="none"/>
        </w:rPr>
      </w:pPr>
    </w:p>
    <w:p w14:paraId="00535D65">
      <w:pPr>
        <w:shd w:val="clear"/>
        <w:rPr>
          <w:rFonts w:ascii="仿宋" w:hAnsi="仿宋" w:eastAsia="仿宋" w:cs="仿宋"/>
          <w:color w:val="auto"/>
          <w:highlight w:val="none"/>
        </w:rPr>
      </w:pPr>
    </w:p>
    <w:p w14:paraId="48CEA10B">
      <w:pPr>
        <w:shd w:val="clear"/>
        <w:rPr>
          <w:rFonts w:ascii="仿宋" w:hAnsi="仿宋" w:eastAsia="仿宋" w:cs="仿宋"/>
          <w:color w:val="auto"/>
          <w:highlight w:val="none"/>
        </w:rPr>
      </w:pPr>
    </w:p>
    <w:p w14:paraId="00608325">
      <w:pPr>
        <w:shd w:val="clear"/>
        <w:rPr>
          <w:rFonts w:ascii="仿宋" w:hAnsi="仿宋" w:eastAsia="仿宋" w:cs="仿宋"/>
          <w:color w:val="auto"/>
          <w:highlight w:val="none"/>
        </w:rPr>
      </w:pPr>
    </w:p>
    <w:p w14:paraId="7BFE4936">
      <w:pPr>
        <w:pStyle w:val="3"/>
        <w:numPr>
          <w:ilvl w:val="1"/>
          <w:numId w:val="0"/>
        </w:numPr>
        <w:shd w:val="clear"/>
        <w:spacing w:after="0"/>
        <w:rPr>
          <w:rFonts w:hint="eastAsia" w:ascii="仿宋" w:hAnsi="仿宋" w:eastAsia="仿宋" w:cs="仿宋"/>
          <w:color w:val="auto"/>
          <w:sz w:val="24"/>
          <w:szCs w:val="24"/>
          <w:highlight w:val="none"/>
        </w:rPr>
      </w:pPr>
      <w:bookmarkStart w:id="271" w:name="_Toc266892923"/>
      <w:bookmarkStart w:id="272" w:name="_Toc82013101"/>
      <w:bookmarkStart w:id="273" w:name="_Toc26369"/>
      <w:bookmarkStart w:id="274" w:name="_Toc83377304"/>
      <w:bookmarkStart w:id="275" w:name="_Toc20807"/>
    </w:p>
    <w:p w14:paraId="45502852">
      <w:pPr>
        <w:pStyle w:val="3"/>
        <w:numPr>
          <w:ilvl w:val="1"/>
          <w:numId w:val="0"/>
        </w:numPr>
        <w:shd w:val="clear"/>
        <w:spacing w:after="0"/>
        <w:rPr>
          <w:rFonts w:hint="eastAsia" w:ascii="仿宋" w:hAnsi="仿宋" w:eastAsia="仿宋" w:cs="仿宋"/>
          <w:color w:val="auto"/>
          <w:sz w:val="24"/>
          <w:szCs w:val="24"/>
          <w:highlight w:val="none"/>
        </w:rPr>
      </w:pPr>
    </w:p>
    <w:p w14:paraId="3BC0E398">
      <w:pPr>
        <w:pStyle w:val="3"/>
        <w:numPr>
          <w:ilvl w:val="1"/>
          <w:numId w:val="0"/>
        </w:numPr>
        <w:shd w:val="clear"/>
        <w:spacing w:after="0"/>
        <w:rPr>
          <w:rFonts w:hint="eastAsia" w:ascii="仿宋" w:hAnsi="仿宋" w:eastAsia="仿宋" w:cs="仿宋"/>
          <w:color w:val="auto"/>
          <w:sz w:val="24"/>
          <w:szCs w:val="24"/>
          <w:highlight w:val="none"/>
        </w:rPr>
      </w:pPr>
    </w:p>
    <w:p w14:paraId="5B58C8B2">
      <w:pPr>
        <w:pStyle w:val="3"/>
        <w:numPr>
          <w:ilvl w:val="1"/>
          <w:numId w:val="0"/>
        </w:numPr>
        <w:shd w:val="clear"/>
        <w:spacing w:after="0"/>
        <w:rPr>
          <w:rFonts w:hint="eastAsia" w:ascii="仿宋" w:hAnsi="仿宋" w:eastAsia="仿宋" w:cs="仿宋"/>
          <w:color w:val="auto"/>
          <w:sz w:val="24"/>
          <w:szCs w:val="24"/>
          <w:highlight w:val="none"/>
        </w:rPr>
      </w:pPr>
    </w:p>
    <w:p w14:paraId="6F68829F">
      <w:pPr>
        <w:shd w:val="clear"/>
        <w:spacing w:after="0"/>
        <w:rPr>
          <w:rFonts w:hint="eastAsia"/>
          <w:highlight w:val="none"/>
        </w:rPr>
      </w:pPr>
    </w:p>
    <w:p w14:paraId="03812349">
      <w:pPr>
        <w:shd w:val="clear"/>
        <w:spacing w:after="0"/>
        <w:rPr>
          <w:rFonts w:hint="eastAsia"/>
          <w:highlight w:val="none"/>
        </w:rPr>
      </w:pPr>
    </w:p>
    <w:p w14:paraId="2655DE66">
      <w:pPr>
        <w:shd w:val="clear"/>
        <w:spacing w:after="0"/>
        <w:rPr>
          <w:rFonts w:hint="eastAsia" w:ascii="仿宋" w:hAnsi="仿宋" w:eastAsia="仿宋" w:cs="仿宋"/>
          <w:sz w:val="24"/>
          <w:szCs w:val="24"/>
          <w:highlight w:val="none"/>
        </w:rPr>
      </w:pPr>
      <w:r>
        <w:rPr>
          <w:rFonts w:hint="eastAsia" w:ascii="仿宋" w:hAnsi="仿宋" w:eastAsia="仿宋" w:cs="仿宋"/>
          <w:sz w:val="24"/>
          <w:szCs w:val="24"/>
          <w:highlight w:val="none"/>
        </w:rPr>
        <w:t>附件</w:t>
      </w:r>
      <w:bookmarkEnd w:id="271"/>
      <w:r>
        <w:rPr>
          <w:rFonts w:hint="eastAsia" w:ascii="仿宋" w:hAnsi="仿宋" w:eastAsia="仿宋" w:cs="仿宋"/>
          <w:sz w:val="24"/>
          <w:szCs w:val="24"/>
          <w:highlight w:val="none"/>
        </w:rPr>
        <w:t>二：联合体施工协议书</w:t>
      </w:r>
      <w:bookmarkEnd w:id="272"/>
      <w:bookmarkEnd w:id="273"/>
      <w:bookmarkEnd w:id="274"/>
      <w:bookmarkEnd w:id="275"/>
    </w:p>
    <w:p w14:paraId="7BBDFA78">
      <w:pPr>
        <w:shd w:val="clear"/>
        <w:rPr>
          <w:rFonts w:ascii="仿宋" w:hAnsi="仿宋" w:eastAsia="仿宋" w:cs="仿宋"/>
          <w:color w:val="auto"/>
          <w:highlight w:val="none"/>
          <w:lang w:val="zh-CN"/>
        </w:rPr>
      </w:pPr>
    </w:p>
    <w:p w14:paraId="35A0BD1B">
      <w:pPr>
        <w:shd w:val="clea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联合体施工协议书</w:t>
      </w:r>
    </w:p>
    <w:p w14:paraId="528D6B7C">
      <w:pPr>
        <w:shd w:val="clear"/>
        <w:jc w:val="center"/>
        <w:rPr>
          <w:rFonts w:ascii="仿宋" w:hAnsi="仿宋" w:eastAsia="仿宋" w:cs="仿宋"/>
          <w:color w:val="auto"/>
          <w:highlight w:val="none"/>
        </w:rPr>
      </w:pPr>
    </w:p>
    <w:p w14:paraId="061A5A71">
      <w:pPr>
        <w:shd w:val="clear"/>
        <w:spacing w:line="360" w:lineRule="auto"/>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rPr>
        <w:t>联合体主办人：</w:t>
      </w:r>
      <w:r>
        <w:rPr>
          <w:rFonts w:hint="eastAsia" w:ascii="仿宋" w:hAnsi="仿宋" w:eastAsia="仿宋" w:cs="仿宋"/>
          <w:b/>
          <w:color w:val="auto"/>
          <w:sz w:val="24"/>
          <w:highlight w:val="none"/>
          <w:u w:val="single"/>
          <w:lang w:val="en-US" w:eastAsia="zh-CN"/>
        </w:rPr>
        <w:t xml:space="preserve">  </w:t>
      </w:r>
    </w:p>
    <w:p w14:paraId="550A491D">
      <w:pPr>
        <w:shd w:val="clear"/>
        <w:spacing w:line="360" w:lineRule="auto"/>
        <w:jc w:val="left"/>
        <w:rPr>
          <w:rFonts w:hint="default" w:ascii="仿宋" w:hAnsi="仿宋" w:eastAsia="仿宋" w:cs="仿宋"/>
          <w:b/>
          <w:color w:val="auto"/>
          <w:sz w:val="24"/>
          <w:highlight w:val="none"/>
          <w:u w:val="single"/>
          <w:lang w:val="en-US" w:eastAsia="zh-CN"/>
        </w:rPr>
      </w:pPr>
      <w:r>
        <w:rPr>
          <w:rFonts w:hint="eastAsia" w:ascii="仿宋" w:hAnsi="仿宋" w:eastAsia="仿宋" w:cs="仿宋"/>
          <w:b/>
          <w:color w:val="auto"/>
          <w:sz w:val="24"/>
          <w:highlight w:val="none"/>
        </w:rPr>
        <w:t>联合体成员：</w:t>
      </w:r>
      <w:r>
        <w:rPr>
          <w:rFonts w:hint="eastAsia" w:ascii="仿宋" w:hAnsi="仿宋" w:eastAsia="仿宋" w:cs="仿宋"/>
          <w:b/>
          <w:color w:val="auto"/>
          <w:sz w:val="24"/>
          <w:highlight w:val="none"/>
          <w:u w:val="single"/>
          <w:lang w:val="en-US" w:eastAsia="zh-CN"/>
        </w:rPr>
        <w:t xml:space="preserve">    </w:t>
      </w:r>
    </w:p>
    <w:p w14:paraId="446E0F8B">
      <w:pPr>
        <w:shd w:val="clea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本协议书各方遵循平等、自愿、公平和诚实信用的原则，共同愿意组成联合体，实施、完成并保修合同工程。现就下列有关事宜，订立本协议书。</w:t>
      </w:r>
    </w:p>
    <w:p w14:paraId="1A8209A7">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u w:val="single"/>
        </w:rPr>
        <w:t xml:space="preserve">  </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为联合体主办人，</w:t>
      </w:r>
      <w:r>
        <w:rPr>
          <w:rFonts w:hint="eastAsia" w:ascii="仿宋" w:hAnsi="仿宋" w:eastAsia="仿宋" w:cs="仿宋"/>
          <w:color w:val="auto"/>
          <w:sz w:val="24"/>
          <w:highlight w:val="none"/>
          <w:u w:val="single"/>
        </w:rPr>
        <w:t xml:space="preserve"> </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为联合体成员；</w:t>
      </w:r>
    </w:p>
    <w:p w14:paraId="2575090D">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  联合体各方当事人对内部有关事项规定如下：</w:t>
      </w:r>
    </w:p>
    <w:p w14:paraId="08C76E30">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  联合体由主办人负责与发包人联系；</w:t>
      </w:r>
    </w:p>
    <w:p w14:paraId="5E509118">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  合同工程一切工作由联合体主办人负责组织，由联合体各方当事人按内部工作分范围具体实施；</w:t>
      </w:r>
    </w:p>
    <w:p w14:paraId="4A51C12C">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  联合体各方当事人将严格按照招标文件的各项要求，切实执行合同工程一切合同工程文件，共同承担合同约定的一切义务，同时按照内部工作范围划分的职责，各自承担自身的责任和风险；</w:t>
      </w:r>
    </w:p>
    <w:p w14:paraId="320CD90F">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  联合体各方当事人的内部工作范围划分如下：</w:t>
      </w:r>
    </w:p>
    <w:p w14:paraId="6B342361">
      <w:pPr>
        <w:shd w:val="clea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2.4.1</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承担合同工程工作内容：</w:t>
      </w:r>
      <w:r>
        <w:rPr>
          <w:rFonts w:hint="eastAsia" w:ascii="仿宋" w:hAnsi="仿宋" w:eastAsia="仿宋" w:cs="仿宋"/>
          <w:color w:val="auto"/>
          <w:kern w:val="0"/>
          <w:sz w:val="24"/>
          <w:highlight w:val="none"/>
          <w:u w:val="single"/>
        </w:rPr>
        <w:t>负责本项目的施工工作</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 xml:space="preserve"> </w:t>
      </w:r>
    </w:p>
    <w:p w14:paraId="44DC537C">
      <w:pPr>
        <w:shd w:val="clea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2.4.2</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承担合同工程工作内容：</w:t>
      </w:r>
      <w:r>
        <w:rPr>
          <w:rFonts w:hint="eastAsia" w:ascii="仿宋" w:hAnsi="仿宋" w:eastAsia="仿宋" w:cs="仿宋"/>
          <w:color w:val="auto"/>
          <w:kern w:val="0"/>
          <w:sz w:val="24"/>
          <w:highlight w:val="none"/>
          <w:u w:val="single"/>
        </w:rPr>
        <w:t>负责本项目的设计工作</w:t>
      </w:r>
      <w:r>
        <w:rPr>
          <w:rFonts w:hint="eastAsia" w:ascii="仿宋" w:hAnsi="仿宋" w:eastAsia="仿宋" w:cs="仿宋"/>
          <w:color w:val="auto"/>
          <w:kern w:val="0"/>
          <w:sz w:val="24"/>
          <w:highlight w:val="none"/>
          <w:u w:val="single"/>
          <w:lang w:val="zh-CN"/>
        </w:rPr>
        <w:t xml:space="preserve"> </w:t>
      </w:r>
    </w:p>
    <w:p w14:paraId="4D5FEF28">
      <w:pPr>
        <w:shd w:val="clea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sz w:val="24"/>
          <w:highlight w:val="none"/>
        </w:rPr>
        <w:t xml:space="preserve">2.5  </w:t>
      </w:r>
      <w:r>
        <w:rPr>
          <w:rFonts w:hint="eastAsia" w:ascii="仿宋" w:hAnsi="仿宋" w:eastAsia="仿宋" w:cs="仿宋"/>
          <w:color w:val="auto"/>
          <w:kern w:val="0"/>
          <w:sz w:val="24"/>
          <w:highlight w:val="none"/>
          <w:lang w:val="zh-CN"/>
        </w:rPr>
        <w:t>联合体各方当事人对合同工程的其他约定：</w:t>
      </w:r>
    </w:p>
    <w:p w14:paraId="25C49592">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2.6  </w:t>
      </w:r>
      <w:r>
        <w:rPr>
          <w:rFonts w:hint="eastAsia" w:ascii="仿宋" w:hAnsi="仿宋" w:eastAsia="仿宋" w:cs="仿宋"/>
          <w:color w:val="auto"/>
          <w:kern w:val="0"/>
          <w:sz w:val="24"/>
          <w:highlight w:val="none"/>
          <w:lang w:val="zh-CN"/>
        </w:rPr>
        <w:t>联合体各方当事人在合同工程实施过程中的有关费用，按各自承担的工作量所占比例分摊，或由联合体各方当事人具体协商确定。</w:t>
      </w:r>
    </w:p>
    <w:p w14:paraId="5C191CE2">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  </w:t>
      </w:r>
      <w:r>
        <w:rPr>
          <w:rFonts w:hint="eastAsia" w:ascii="仿宋" w:hAnsi="仿宋" w:eastAsia="仿宋" w:cs="仿宋"/>
          <w:color w:val="auto"/>
          <w:kern w:val="0"/>
          <w:sz w:val="24"/>
          <w:highlight w:val="none"/>
          <w:lang w:val="zh-CN"/>
        </w:rPr>
        <w:t>本协议书签署后，联合体主办人应将本协议书及时送交发包人和监理工程师、造价工程师</w:t>
      </w:r>
      <w:r>
        <w:rPr>
          <w:rFonts w:hint="eastAsia" w:ascii="仿宋" w:hAnsi="仿宋" w:eastAsia="仿宋" w:cs="仿宋"/>
          <w:color w:val="auto"/>
          <w:kern w:val="0"/>
          <w:highlight w:val="none"/>
          <w:lang w:val="zh-CN"/>
        </w:rPr>
        <w:t>。</w:t>
      </w:r>
    </w:p>
    <w:p w14:paraId="6FBFD5E5">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  本协议书自签署之日起生效，至各方当事人履行完施工合同全部义务后自行失效，并随施工合同的终止而终止。</w:t>
      </w:r>
    </w:p>
    <w:p w14:paraId="1BCE3D05">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kern w:val="0"/>
          <w:sz w:val="24"/>
          <w:highlight w:val="none"/>
          <w:lang w:val="zh-CN"/>
        </w:rPr>
        <w:t>本协议书正本与副本具有同等效力，当正本与副本不一致时，以正本为准。</w:t>
      </w:r>
    </w:p>
    <w:p w14:paraId="1A949D58">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正本一式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份，联合体各方当事人各执一份，送交发包人和监理工程师、造价工程师各一份；副本一式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份，联合体各方当事人各执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78A78E6F">
      <w:pPr>
        <w:shd w:val="clea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（以下无正文）</w:t>
      </w:r>
    </w:p>
    <w:p w14:paraId="6A24E286">
      <w:pPr>
        <w:shd w:val="clear"/>
        <w:spacing w:line="360" w:lineRule="auto"/>
        <w:ind w:firstLine="480" w:firstLineChars="200"/>
        <w:rPr>
          <w:rFonts w:ascii="仿宋" w:hAnsi="仿宋" w:eastAsia="仿宋" w:cs="仿宋"/>
          <w:color w:val="auto"/>
          <w:sz w:val="24"/>
          <w:highlight w:val="none"/>
        </w:rPr>
      </w:pPr>
    </w:p>
    <w:p w14:paraId="052A814F">
      <w:pPr>
        <w:shd w:val="clear"/>
        <w:spacing w:line="360" w:lineRule="auto"/>
        <w:ind w:firstLine="480" w:firstLineChars="200"/>
        <w:rPr>
          <w:rFonts w:ascii="仿宋" w:hAnsi="仿宋" w:eastAsia="仿宋" w:cs="仿宋"/>
          <w:color w:val="auto"/>
          <w:sz w:val="24"/>
          <w:highlight w:val="none"/>
        </w:rPr>
      </w:pPr>
    </w:p>
    <w:p w14:paraId="465AA491">
      <w:pPr>
        <w:shd w:val="clear"/>
        <w:spacing w:line="360" w:lineRule="auto"/>
        <w:ind w:firstLine="480" w:firstLineChars="200"/>
        <w:rPr>
          <w:rFonts w:ascii="仿宋" w:hAnsi="仿宋" w:eastAsia="仿宋" w:cs="仿宋"/>
          <w:color w:val="auto"/>
          <w:sz w:val="24"/>
          <w:highlight w:val="none"/>
        </w:rPr>
      </w:pPr>
    </w:p>
    <w:p w14:paraId="7E73809D">
      <w:pPr>
        <w:shd w:val="clea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联合体主办人：</w:t>
      </w:r>
      <w:r>
        <w:rPr>
          <w:rFonts w:hint="eastAsia" w:ascii="仿宋" w:hAnsi="仿宋" w:eastAsia="仿宋" w:cs="仿宋"/>
          <w:b w:val="0"/>
          <w:color w:val="auto"/>
          <w:sz w:val="24"/>
          <w:highlight w:val="none"/>
          <w:u w:val="single"/>
          <w:lang w:val="en-US" w:eastAsia="zh-CN"/>
        </w:rPr>
        <w:t xml:space="preserve">   </w:t>
      </w:r>
      <w:r>
        <w:rPr>
          <w:rFonts w:hint="eastAsia" w:ascii="仿宋" w:hAnsi="仿宋" w:eastAsia="仿宋" w:cs="仿宋"/>
          <w:color w:val="auto"/>
          <w:sz w:val="24"/>
          <w:highlight w:val="none"/>
        </w:rPr>
        <w:t xml:space="preserve">                    </w:t>
      </w:r>
    </w:p>
    <w:p w14:paraId="09B40295">
      <w:pPr>
        <w:shd w:val="clea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                                      </w:t>
      </w:r>
    </w:p>
    <w:p w14:paraId="4538EF34">
      <w:pPr>
        <w:shd w:val="clea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委托代理人：</w:t>
      </w:r>
    </w:p>
    <w:p w14:paraId="0CE5A7D4">
      <w:pPr>
        <w:shd w:val="clear"/>
        <w:spacing w:line="360" w:lineRule="auto"/>
        <w:ind w:firstLine="360" w:firstLineChars="15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37BB21">
      <w:pPr>
        <w:shd w:val="clea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4B6EDD07">
      <w:pPr>
        <w:pStyle w:val="12"/>
        <w:shd w:val="clear"/>
        <w:spacing w:line="360" w:lineRule="auto"/>
        <w:ind w:firstLine="400" w:firstLineChars="200"/>
        <w:rPr>
          <w:rFonts w:ascii="仿宋" w:hAnsi="仿宋" w:eastAsia="仿宋" w:cs="仿宋"/>
          <w:color w:val="auto"/>
          <w:highlight w:val="none"/>
        </w:rPr>
      </w:pPr>
    </w:p>
    <w:p w14:paraId="17E36B0B">
      <w:pPr>
        <w:pStyle w:val="12"/>
        <w:shd w:val="clear"/>
        <w:spacing w:line="360" w:lineRule="auto"/>
        <w:ind w:firstLine="400" w:firstLineChars="200"/>
        <w:rPr>
          <w:rFonts w:ascii="仿宋" w:hAnsi="仿宋" w:eastAsia="仿宋" w:cs="仿宋"/>
          <w:color w:val="auto"/>
          <w:highlight w:val="none"/>
        </w:rPr>
      </w:pPr>
    </w:p>
    <w:p w14:paraId="0CA7B3FD">
      <w:pPr>
        <w:shd w:val="clear"/>
        <w:spacing w:line="360" w:lineRule="auto"/>
        <w:ind w:firstLine="480" w:firstLineChars="200"/>
        <w:rPr>
          <w:rFonts w:ascii="仿宋" w:hAnsi="仿宋" w:eastAsia="仿宋" w:cs="仿宋"/>
          <w:color w:val="auto"/>
          <w:sz w:val="24"/>
          <w:highlight w:val="none"/>
        </w:rPr>
      </w:pPr>
    </w:p>
    <w:p w14:paraId="4F19CA48">
      <w:pPr>
        <w:shd w:val="clea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联合体成员：</w:t>
      </w:r>
      <w:r>
        <w:rPr>
          <w:rFonts w:hint="eastAsia" w:ascii="仿宋" w:hAnsi="仿宋" w:eastAsia="仿宋" w:cs="仿宋"/>
          <w:color w:val="auto"/>
          <w:sz w:val="24"/>
          <w:highlight w:val="none"/>
          <w:u w:val="single"/>
          <w:lang w:val="en-US" w:eastAsia="zh-CN"/>
        </w:rPr>
        <w:t xml:space="preserve">  </w:t>
      </w:r>
    </w:p>
    <w:p w14:paraId="63A5FC8E">
      <w:pPr>
        <w:shd w:val="clea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                                    </w:t>
      </w:r>
    </w:p>
    <w:p w14:paraId="42A4C600">
      <w:pPr>
        <w:shd w:val="clea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p w14:paraId="61713C89">
      <w:pPr>
        <w:shd w:val="clear"/>
        <w:spacing w:line="360" w:lineRule="auto"/>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6DEF473">
      <w:pPr>
        <w:shd w:val="clear"/>
        <w:spacing w:line="360" w:lineRule="auto"/>
        <w:ind w:firstLine="480" w:firstLineChars="200"/>
        <w:jc w:val="left"/>
        <w:rPr>
          <w:rFonts w:hint="eastAsia" w:ascii="仿宋" w:hAnsi="仿宋" w:eastAsia="仿宋" w:cs="仿宋"/>
          <w:color w:val="auto"/>
          <w:sz w:val="24"/>
          <w:highlight w:val="none"/>
        </w:rPr>
        <w:sectPr>
          <w:footerReference r:id="rId7" w:type="default"/>
          <w:endnotePr>
            <w:numFmt w:val="decimal"/>
          </w:endnotePr>
          <w:pgSz w:w="11850" w:h="16783"/>
          <w:pgMar w:top="1361" w:right="1304" w:bottom="1361" w:left="1531" w:header="0" w:footer="0"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630A1203">
      <w:pPr>
        <w:shd w:val="clear"/>
        <w:rPr>
          <w:rFonts w:ascii="仿宋" w:hAnsi="仿宋" w:eastAsia="仿宋" w:cs="仿宋"/>
          <w:color w:val="auto"/>
          <w:sz w:val="24"/>
          <w:highlight w:val="none"/>
        </w:rPr>
      </w:pPr>
    </w:p>
    <w:p w14:paraId="77DA5039">
      <w:pPr>
        <w:pStyle w:val="3"/>
        <w:numPr>
          <w:ilvl w:val="1"/>
          <w:numId w:val="0"/>
        </w:numPr>
        <w:shd w:val="clear"/>
        <w:spacing w:after="0"/>
        <w:rPr>
          <w:rFonts w:ascii="仿宋" w:hAnsi="仿宋" w:eastAsia="仿宋" w:cs="仿宋"/>
          <w:color w:val="auto"/>
          <w:spacing w:val="32"/>
          <w:kern w:val="36"/>
          <w:sz w:val="24"/>
          <w:szCs w:val="24"/>
          <w:highlight w:val="none"/>
        </w:rPr>
      </w:pPr>
      <w:bookmarkStart w:id="276" w:name="_Toc266892924"/>
      <w:bookmarkStart w:id="277" w:name="_Toc10961"/>
      <w:bookmarkStart w:id="278" w:name="_Toc82013102"/>
      <w:bookmarkStart w:id="279" w:name="_Toc83377305"/>
      <w:bookmarkStart w:id="280" w:name="_Toc13437"/>
      <w:r>
        <w:rPr>
          <w:rFonts w:hint="eastAsia" w:ascii="仿宋" w:hAnsi="仿宋" w:eastAsia="仿宋" w:cs="仿宋"/>
          <w:color w:val="auto"/>
          <w:sz w:val="24"/>
          <w:szCs w:val="24"/>
          <w:highlight w:val="none"/>
        </w:rPr>
        <w:t>附件</w:t>
      </w:r>
      <w:bookmarkEnd w:id="276"/>
      <w:r>
        <w:rPr>
          <w:rFonts w:hint="eastAsia" w:ascii="仿宋" w:hAnsi="仿宋" w:eastAsia="仿宋" w:cs="仿宋"/>
          <w:color w:val="auto"/>
          <w:sz w:val="24"/>
          <w:szCs w:val="24"/>
          <w:highlight w:val="none"/>
        </w:rPr>
        <w:t>三：</w:t>
      </w:r>
      <w:r>
        <w:rPr>
          <w:rFonts w:hint="eastAsia" w:ascii="仿宋" w:hAnsi="仿宋" w:eastAsia="仿宋" w:cs="仿宋"/>
          <w:color w:val="auto"/>
          <w:spacing w:val="32"/>
          <w:kern w:val="36"/>
          <w:sz w:val="24"/>
          <w:szCs w:val="24"/>
          <w:highlight w:val="none"/>
        </w:rPr>
        <w:t>发包人供应材料设备一览表</w:t>
      </w:r>
      <w:bookmarkEnd w:id="277"/>
      <w:bookmarkEnd w:id="278"/>
      <w:bookmarkEnd w:id="279"/>
      <w:bookmarkEnd w:id="280"/>
    </w:p>
    <w:p w14:paraId="210D3CB9">
      <w:pPr>
        <w:shd w:val="clear"/>
        <w:spacing w:line="360" w:lineRule="auto"/>
        <w:ind w:firstLine="771" w:firstLineChars="200"/>
        <w:jc w:val="center"/>
        <w:rPr>
          <w:rFonts w:ascii="仿宋" w:hAnsi="仿宋" w:eastAsia="仿宋" w:cs="仿宋"/>
          <w:b/>
          <w:bCs/>
          <w:color w:val="auto"/>
          <w:spacing w:val="32"/>
          <w:kern w:val="36"/>
          <w:sz w:val="32"/>
          <w:szCs w:val="32"/>
          <w:highlight w:val="none"/>
        </w:rPr>
      </w:pPr>
      <w:r>
        <w:rPr>
          <w:rFonts w:hint="eastAsia" w:ascii="仿宋" w:hAnsi="仿宋" w:eastAsia="仿宋" w:cs="仿宋"/>
          <w:b/>
          <w:bCs/>
          <w:color w:val="auto"/>
          <w:spacing w:val="32"/>
          <w:kern w:val="36"/>
          <w:sz w:val="32"/>
          <w:szCs w:val="32"/>
          <w:highlight w:val="none"/>
        </w:rPr>
        <w:t>发包人供应材料设备一览表</w:t>
      </w:r>
    </w:p>
    <w:p w14:paraId="352AC8E5">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工程名称： 设计施工总承包                                   工程编号：</w:t>
      </w:r>
    </w:p>
    <w:tbl>
      <w:tblPr>
        <w:tblStyle w:val="23"/>
        <w:tblW w:w="147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40"/>
        <w:gridCol w:w="2515"/>
        <w:gridCol w:w="1330"/>
        <w:gridCol w:w="1328"/>
        <w:gridCol w:w="1179"/>
        <w:gridCol w:w="668"/>
        <w:gridCol w:w="1506"/>
        <w:gridCol w:w="1439"/>
        <w:gridCol w:w="1402"/>
        <w:gridCol w:w="989"/>
      </w:tblGrid>
      <w:tr w14:paraId="15C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4" w:type="dxa"/>
            <w:vAlign w:val="center"/>
          </w:tcPr>
          <w:p w14:paraId="084871C4">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640" w:type="dxa"/>
            <w:vAlign w:val="center"/>
          </w:tcPr>
          <w:p w14:paraId="59F4C167">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编码</w:t>
            </w:r>
          </w:p>
        </w:tc>
        <w:tc>
          <w:tcPr>
            <w:tcW w:w="2515" w:type="dxa"/>
            <w:vAlign w:val="center"/>
          </w:tcPr>
          <w:p w14:paraId="02C18794">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材料设备名称</w:t>
            </w:r>
          </w:p>
        </w:tc>
        <w:tc>
          <w:tcPr>
            <w:tcW w:w="1330" w:type="dxa"/>
            <w:vAlign w:val="center"/>
          </w:tcPr>
          <w:p w14:paraId="29F63107">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w:t>
            </w:r>
          </w:p>
        </w:tc>
        <w:tc>
          <w:tcPr>
            <w:tcW w:w="1328" w:type="dxa"/>
            <w:vAlign w:val="center"/>
          </w:tcPr>
          <w:p w14:paraId="119BD6F2">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生产厂家</w:t>
            </w:r>
          </w:p>
        </w:tc>
        <w:tc>
          <w:tcPr>
            <w:tcW w:w="1179" w:type="dxa"/>
            <w:vAlign w:val="center"/>
          </w:tcPr>
          <w:p w14:paraId="5D882B43">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668" w:type="dxa"/>
            <w:vAlign w:val="center"/>
          </w:tcPr>
          <w:p w14:paraId="5E23497C">
            <w:pPr>
              <w:shd w:val="clea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1506" w:type="dxa"/>
            <w:vAlign w:val="center"/>
          </w:tcPr>
          <w:p w14:paraId="022B35FD">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439" w:type="dxa"/>
            <w:vAlign w:val="center"/>
          </w:tcPr>
          <w:p w14:paraId="0EBAEE68">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总价（元）</w:t>
            </w:r>
          </w:p>
        </w:tc>
        <w:tc>
          <w:tcPr>
            <w:tcW w:w="1402" w:type="dxa"/>
            <w:vAlign w:val="center"/>
          </w:tcPr>
          <w:p w14:paraId="4EB733BC">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投产日期</w:t>
            </w:r>
          </w:p>
        </w:tc>
        <w:tc>
          <w:tcPr>
            <w:tcW w:w="989" w:type="dxa"/>
            <w:vAlign w:val="center"/>
          </w:tcPr>
          <w:p w14:paraId="44B3A717">
            <w:pPr>
              <w:shd w:val="clea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445B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442EA3C7">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640" w:type="dxa"/>
          </w:tcPr>
          <w:p w14:paraId="48D0AF7A">
            <w:pPr>
              <w:shd w:val="clear"/>
              <w:spacing w:line="360" w:lineRule="auto"/>
              <w:ind w:firstLine="42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w:t>
            </w:r>
          </w:p>
        </w:tc>
        <w:tc>
          <w:tcPr>
            <w:tcW w:w="2515" w:type="dxa"/>
            <w:vAlign w:val="center"/>
          </w:tcPr>
          <w:p w14:paraId="151DC0F9">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330" w:type="dxa"/>
            <w:vAlign w:val="center"/>
          </w:tcPr>
          <w:p w14:paraId="1A55C475">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328" w:type="dxa"/>
            <w:vAlign w:val="center"/>
          </w:tcPr>
          <w:p w14:paraId="39774997">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179" w:type="dxa"/>
            <w:vAlign w:val="center"/>
          </w:tcPr>
          <w:p w14:paraId="12D3F3DF">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668" w:type="dxa"/>
            <w:vAlign w:val="center"/>
          </w:tcPr>
          <w:p w14:paraId="37CC49DC">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506" w:type="dxa"/>
            <w:vAlign w:val="center"/>
          </w:tcPr>
          <w:p w14:paraId="019531BF">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439" w:type="dxa"/>
            <w:vAlign w:val="center"/>
          </w:tcPr>
          <w:p w14:paraId="15F4210D">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1402" w:type="dxa"/>
            <w:vAlign w:val="center"/>
          </w:tcPr>
          <w:p w14:paraId="0FB8BE76">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c>
          <w:tcPr>
            <w:tcW w:w="989" w:type="dxa"/>
            <w:vAlign w:val="center"/>
          </w:tcPr>
          <w:p w14:paraId="07DFEA5C">
            <w:pPr>
              <w:shd w:val="clear"/>
              <w:spacing w:line="360" w:lineRule="auto"/>
              <w:ind w:firstLine="420" w:firstLineChars="200"/>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w:t>
            </w:r>
          </w:p>
        </w:tc>
      </w:tr>
      <w:tr w14:paraId="5B99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0E52422E">
            <w:pPr>
              <w:shd w:val="clear"/>
              <w:spacing w:line="360" w:lineRule="auto"/>
              <w:ind w:firstLine="420" w:firstLineChars="200"/>
              <w:jc w:val="center"/>
              <w:rPr>
                <w:rFonts w:ascii="仿宋" w:hAnsi="仿宋" w:eastAsia="仿宋" w:cs="仿宋"/>
                <w:color w:val="auto"/>
                <w:highlight w:val="none"/>
              </w:rPr>
            </w:pPr>
          </w:p>
        </w:tc>
        <w:tc>
          <w:tcPr>
            <w:tcW w:w="1640" w:type="dxa"/>
          </w:tcPr>
          <w:p w14:paraId="6A73CF80">
            <w:pPr>
              <w:shd w:val="clear"/>
              <w:spacing w:line="360" w:lineRule="auto"/>
              <w:ind w:firstLine="420" w:firstLineChars="200"/>
              <w:jc w:val="center"/>
              <w:rPr>
                <w:rFonts w:ascii="仿宋" w:hAnsi="仿宋" w:eastAsia="仿宋" w:cs="仿宋"/>
                <w:color w:val="auto"/>
                <w:highlight w:val="none"/>
              </w:rPr>
            </w:pPr>
          </w:p>
        </w:tc>
        <w:tc>
          <w:tcPr>
            <w:tcW w:w="2515" w:type="dxa"/>
            <w:vAlign w:val="center"/>
          </w:tcPr>
          <w:p w14:paraId="4A3EADF9">
            <w:pPr>
              <w:shd w:val="clear"/>
              <w:spacing w:line="360" w:lineRule="auto"/>
              <w:ind w:firstLine="420" w:firstLineChars="200"/>
              <w:jc w:val="center"/>
              <w:rPr>
                <w:rFonts w:ascii="仿宋" w:hAnsi="仿宋" w:eastAsia="仿宋" w:cs="仿宋"/>
                <w:color w:val="auto"/>
                <w:highlight w:val="none"/>
              </w:rPr>
            </w:pPr>
          </w:p>
        </w:tc>
        <w:tc>
          <w:tcPr>
            <w:tcW w:w="1330" w:type="dxa"/>
            <w:vAlign w:val="center"/>
          </w:tcPr>
          <w:p w14:paraId="69733FC1">
            <w:pPr>
              <w:shd w:val="clear"/>
              <w:spacing w:line="360" w:lineRule="auto"/>
              <w:ind w:firstLine="420" w:firstLineChars="200"/>
              <w:jc w:val="center"/>
              <w:rPr>
                <w:rFonts w:ascii="仿宋" w:hAnsi="仿宋" w:eastAsia="仿宋" w:cs="仿宋"/>
                <w:color w:val="auto"/>
                <w:highlight w:val="none"/>
              </w:rPr>
            </w:pPr>
          </w:p>
        </w:tc>
        <w:tc>
          <w:tcPr>
            <w:tcW w:w="1328" w:type="dxa"/>
            <w:vAlign w:val="center"/>
          </w:tcPr>
          <w:p w14:paraId="65F55286">
            <w:pPr>
              <w:shd w:val="clear"/>
              <w:spacing w:line="360" w:lineRule="auto"/>
              <w:ind w:firstLine="420" w:firstLineChars="200"/>
              <w:jc w:val="center"/>
              <w:rPr>
                <w:rFonts w:ascii="仿宋" w:hAnsi="仿宋" w:eastAsia="仿宋" w:cs="仿宋"/>
                <w:color w:val="auto"/>
                <w:highlight w:val="none"/>
              </w:rPr>
            </w:pPr>
          </w:p>
        </w:tc>
        <w:tc>
          <w:tcPr>
            <w:tcW w:w="1179" w:type="dxa"/>
            <w:vAlign w:val="center"/>
          </w:tcPr>
          <w:p w14:paraId="1AE8E3FE">
            <w:pPr>
              <w:shd w:val="clear"/>
              <w:spacing w:line="360" w:lineRule="auto"/>
              <w:ind w:firstLine="420" w:firstLineChars="200"/>
              <w:jc w:val="center"/>
              <w:rPr>
                <w:rFonts w:ascii="仿宋" w:hAnsi="仿宋" w:eastAsia="仿宋" w:cs="仿宋"/>
                <w:color w:val="auto"/>
                <w:highlight w:val="none"/>
              </w:rPr>
            </w:pPr>
          </w:p>
        </w:tc>
        <w:tc>
          <w:tcPr>
            <w:tcW w:w="668" w:type="dxa"/>
            <w:vAlign w:val="center"/>
          </w:tcPr>
          <w:p w14:paraId="085ED633">
            <w:pPr>
              <w:shd w:val="clear"/>
              <w:spacing w:line="360" w:lineRule="auto"/>
              <w:ind w:firstLine="420" w:firstLineChars="200"/>
              <w:jc w:val="center"/>
              <w:rPr>
                <w:rFonts w:ascii="仿宋" w:hAnsi="仿宋" w:eastAsia="仿宋" w:cs="仿宋"/>
                <w:color w:val="auto"/>
                <w:highlight w:val="none"/>
              </w:rPr>
            </w:pPr>
          </w:p>
        </w:tc>
        <w:tc>
          <w:tcPr>
            <w:tcW w:w="1506" w:type="dxa"/>
            <w:vAlign w:val="center"/>
          </w:tcPr>
          <w:p w14:paraId="0DA59C27">
            <w:pPr>
              <w:shd w:val="clear"/>
              <w:spacing w:line="360" w:lineRule="auto"/>
              <w:ind w:firstLine="420" w:firstLineChars="200"/>
              <w:jc w:val="center"/>
              <w:rPr>
                <w:rFonts w:ascii="仿宋" w:hAnsi="仿宋" w:eastAsia="仿宋" w:cs="仿宋"/>
                <w:color w:val="auto"/>
                <w:highlight w:val="none"/>
              </w:rPr>
            </w:pPr>
          </w:p>
        </w:tc>
        <w:tc>
          <w:tcPr>
            <w:tcW w:w="1439" w:type="dxa"/>
            <w:vAlign w:val="center"/>
          </w:tcPr>
          <w:p w14:paraId="197DB2EE">
            <w:pPr>
              <w:shd w:val="clear"/>
              <w:spacing w:line="360" w:lineRule="auto"/>
              <w:ind w:firstLine="420" w:firstLineChars="200"/>
              <w:jc w:val="center"/>
              <w:rPr>
                <w:rFonts w:ascii="仿宋" w:hAnsi="仿宋" w:eastAsia="仿宋" w:cs="仿宋"/>
                <w:color w:val="auto"/>
                <w:highlight w:val="none"/>
              </w:rPr>
            </w:pPr>
          </w:p>
        </w:tc>
        <w:tc>
          <w:tcPr>
            <w:tcW w:w="1402" w:type="dxa"/>
            <w:vAlign w:val="center"/>
          </w:tcPr>
          <w:p w14:paraId="1CA4FF24">
            <w:pPr>
              <w:shd w:val="clear"/>
              <w:spacing w:line="360" w:lineRule="auto"/>
              <w:ind w:firstLine="420" w:firstLineChars="200"/>
              <w:jc w:val="center"/>
              <w:rPr>
                <w:rFonts w:ascii="仿宋" w:hAnsi="仿宋" w:eastAsia="仿宋" w:cs="仿宋"/>
                <w:color w:val="auto"/>
                <w:highlight w:val="none"/>
              </w:rPr>
            </w:pPr>
          </w:p>
        </w:tc>
        <w:tc>
          <w:tcPr>
            <w:tcW w:w="989" w:type="dxa"/>
            <w:vAlign w:val="center"/>
          </w:tcPr>
          <w:p w14:paraId="68FF1014">
            <w:pPr>
              <w:shd w:val="clear"/>
              <w:spacing w:line="360" w:lineRule="auto"/>
              <w:ind w:firstLine="420" w:firstLineChars="200"/>
              <w:jc w:val="center"/>
              <w:rPr>
                <w:rFonts w:ascii="仿宋" w:hAnsi="仿宋" w:eastAsia="仿宋" w:cs="仿宋"/>
                <w:color w:val="auto"/>
                <w:highlight w:val="none"/>
              </w:rPr>
            </w:pPr>
          </w:p>
        </w:tc>
      </w:tr>
      <w:tr w14:paraId="4C52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4E69B270">
            <w:pPr>
              <w:shd w:val="clear"/>
              <w:spacing w:line="360" w:lineRule="auto"/>
              <w:ind w:firstLine="420" w:firstLineChars="200"/>
              <w:jc w:val="center"/>
              <w:rPr>
                <w:rFonts w:ascii="仿宋" w:hAnsi="仿宋" w:eastAsia="仿宋" w:cs="仿宋"/>
                <w:color w:val="auto"/>
                <w:highlight w:val="none"/>
              </w:rPr>
            </w:pPr>
          </w:p>
        </w:tc>
        <w:tc>
          <w:tcPr>
            <w:tcW w:w="1640" w:type="dxa"/>
          </w:tcPr>
          <w:p w14:paraId="35EB5735">
            <w:pPr>
              <w:shd w:val="clear"/>
              <w:spacing w:line="360" w:lineRule="auto"/>
              <w:ind w:firstLine="420" w:firstLineChars="200"/>
              <w:jc w:val="center"/>
              <w:rPr>
                <w:rFonts w:ascii="仿宋" w:hAnsi="仿宋" w:eastAsia="仿宋" w:cs="仿宋"/>
                <w:color w:val="auto"/>
                <w:highlight w:val="none"/>
              </w:rPr>
            </w:pPr>
          </w:p>
        </w:tc>
        <w:tc>
          <w:tcPr>
            <w:tcW w:w="2515" w:type="dxa"/>
            <w:vAlign w:val="center"/>
          </w:tcPr>
          <w:p w14:paraId="7800895D">
            <w:pPr>
              <w:shd w:val="clear"/>
              <w:spacing w:line="360" w:lineRule="auto"/>
              <w:ind w:firstLine="420" w:firstLineChars="200"/>
              <w:jc w:val="center"/>
              <w:rPr>
                <w:rFonts w:ascii="仿宋" w:hAnsi="仿宋" w:eastAsia="仿宋" w:cs="仿宋"/>
                <w:color w:val="auto"/>
                <w:highlight w:val="none"/>
              </w:rPr>
            </w:pPr>
          </w:p>
        </w:tc>
        <w:tc>
          <w:tcPr>
            <w:tcW w:w="1330" w:type="dxa"/>
            <w:vAlign w:val="center"/>
          </w:tcPr>
          <w:p w14:paraId="61452B07">
            <w:pPr>
              <w:shd w:val="clear"/>
              <w:spacing w:line="360" w:lineRule="auto"/>
              <w:ind w:firstLine="420" w:firstLineChars="200"/>
              <w:jc w:val="center"/>
              <w:rPr>
                <w:rFonts w:ascii="仿宋" w:hAnsi="仿宋" w:eastAsia="仿宋" w:cs="仿宋"/>
                <w:color w:val="auto"/>
                <w:highlight w:val="none"/>
              </w:rPr>
            </w:pPr>
          </w:p>
        </w:tc>
        <w:tc>
          <w:tcPr>
            <w:tcW w:w="1328" w:type="dxa"/>
            <w:vAlign w:val="center"/>
          </w:tcPr>
          <w:p w14:paraId="72C31BA0">
            <w:pPr>
              <w:shd w:val="clear"/>
              <w:spacing w:line="360" w:lineRule="auto"/>
              <w:ind w:firstLine="420" w:firstLineChars="200"/>
              <w:jc w:val="center"/>
              <w:rPr>
                <w:rFonts w:ascii="仿宋" w:hAnsi="仿宋" w:eastAsia="仿宋" w:cs="仿宋"/>
                <w:color w:val="auto"/>
                <w:highlight w:val="none"/>
              </w:rPr>
            </w:pPr>
          </w:p>
        </w:tc>
        <w:tc>
          <w:tcPr>
            <w:tcW w:w="1179" w:type="dxa"/>
            <w:vAlign w:val="center"/>
          </w:tcPr>
          <w:p w14:paraId="17CCB904">
            <w:pPr>
              <w:shd w:val="clear"/>
              <w:spacing w:line="360" w:lineRule="auto"/>
              <w:ind w:firstLine="420" w:firstLineChars="200"/>
              <w:jc w:val="center"/>
              <w:rPr>
                <w:rFonts w:ascii="仿宋" w:hAnsi="仿宋" w:eastAsia="仿宋" w:cs="仿宋"/>
                <w:color w:val="auto"/>
                <w:highlight w:val="none"/>
              </w:rPr>
            </w:pPr>
          </w:p>
        </w:tc>
        <w:tc>
          <w:tcPr>
            <w:tcW w:w="668" w:type="dxa"/>
            <w:vAlign w:val="center"/>
          </w:tcPr>
          <w:p w14:paraId="74D14892">
            <w:pPr>
              <w:shd w:val="clear"/>
              <w:spacing w:line="360" w:lineRule="auto"/>
              <w:ind w:firstLine="420" w:firstLineChars="200"/>
              <w:jc w:val="center"/>
              <w:rPr>
                <w:rFonts w:ascii="仿宋" w:hAnsi="仿宋" w:eastAsia="仿宋" w:cs="仿宋"/>
                <w:color w:val="auto"/>
                <w:highlight w:val="none"/>
              </w:rPr>
            </w:pPr>
          </w:p>
        </w:tc>
        <w:tc>
          <w:tcPr>
            <w:tcW w:w="1506" w:type="dxa"/>
            <w:vAlign w:val="center"/>
          </w:tcPr>
          <w:p w14:paraId="05AE7235">
            <w:pPr>
              <w:shd w:val="clear"/>
              <w:spacing w:line="360" w:lineRule="auto"/>
              <w:ind w:firstLine="420" w:firstLineChars="200"/>
              <w:jc w:val="center"/>
              <w:rPr>
                <w:rFonts w:ascii="仿宋" w:hAnsi="仿宋" w:eastAsia="仿宋" w:cs="仿宋"/>
                <w:color w:val="auto"/>
                <w:highlight w:val="none"/>
              </w:rPr>
            </w:pPr>
          </w:p>
        </w:tc>
        <w:tc>
          <w:tcPr>
            <w:tcW w:w="1439" w:type="dxa"/>
            <w:vAlign w:val="center"/>
          </w:tcPr>
          <w:p w14:paraId="21AD9BC3">
            <w:pPr>
              <w:shd w:val="clear"/>
              <w:spacing w:line="360" w:lineRule="auto"/>
              <w:ind w:firstLine="420" w:firstLineChars="200"/>
              <w:jc w:val="center"/>
              <w:rPr>
                <w:rFonts w:ascii="仿宋" w:hAnsi="仿宋" w:eastAsia="仿宋" w:cs="仿宋"/>
                <w:color w:val="auto"/>
                <w:highlight w:val="none"/>
              </w:rPr>
            </w:pPr>
          </w:p>
        </w:tc>
        <w:tc>
          <w:tcPr>
            <w:tcW w:w="1402" w:type="dxa"/>
            <w:vAlign w:val="center"/>
          </w:tcPr>
          <w:p w14:paraId="7D5C6FBF">
            <w:pPr>
              <w:shd w:val="clear"/>
              <w:spacing w:line="360" w:lineRule="auto"/>
              <w:ind w:firstLine="420" w:firstLineChars="200"/>
              <w:jc w:val="center"/>
              <w:rPr>
                <w:rFonts w:ascii="仿宋" w:hAnsi="仿宋" w:eastAsia="仿宋" w:cs="仿宋"/>
                <w:color w:val="auto"/>
                <w:highlight w:val="none"/>
              </w:rPr>
            </w:pPr>
          </w:p>
        </w:tc>
        <w:tc>
          <w:tcPr>
            <w:tcW w:w="989" w:type="dxa"/>
            <w:vAlign w:val="center"/>
          </w:tcPr>
          <w:p w14:paraId="057F00EE">
            <w:pPr>
              <w:shd w:val="clear"/>
              <w:spacing w:line="360" w:lineRule="auto"/>
              <w:ind w:firstLine="420" w:firstLineChars="200"/>
              <w:jc w:val="center"/>
              <w:rPr>
                <w:rFonts w:ascii="仿宋" w:hAnsi="仿宋" w:eastAsia="仿宋" w:cs="仿宋"/>
                <w:color w:val="auto"/>
                <w:highlight w:val="none"/>
              </w:rPr>
            </w:pPr>
          </w:p>
        </w:tc>
      </w:tr>
      <w:tr w14:paraId="220B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39A9A478">
            <w:pPr>
              <w:shd w:val="clear"/>
              <w:spacing w:line="360" w:lineRule="auto"/>
              <w:ind w:firstLine="420" w:firstLineChars="200"/>
              <w:jc w:val="center"/>
              <w:rPr>
                <w:rFonts w:ascii="仿宋" w:hAnsi="仿宋" w:eastAsia="仿宋" w:cs="仿宋"/>
                <w:color w:val="auto"/>
                <w:highlight w:val="none"/>
              </w:rPr>
            </w:pPr>
          </w:p>
        </w:tc>
        <w:tc>
          <w:tcPr>
            <w:tcW w:w="1640" w:type="dxa"/>
          </w:tcPr>
          <w:p w14:paraId="17205537">
            <w:pPr>
              <w:shd w:val="clear"/>
              <w:spacing w:line="360" w:lineRule="auto"/>
              <w:ind w:firstLine="420" w:firstLineChars="200"/>
              <w:jc w:val="center"/>
              <w:rPr>
                <w:rFonts w:ascii="仿宋" w:hAnsi="仿宋" w:eastAsia="仿宋" w:cs="仿宋"/>
                <w:color w:val="auto"/>
                <w:highlight w:val="none"/>
              </w:rPr>
            </w:pPr>
          </w:p>
        </w:tc>
        <w:tc>
          <w:tcPr>
            <w:tcW w:w="2515" w:type="dxa"/>
            <w:vAlign w:val="center"/>
          </w:tcPr>
          <w:p w14:paraId="672A975D">
            <w:pPr>
              <w:shd w:val="clear"/>
              <w:spacing w:line="360" w:lineRule="auto"/>
              <w:ind w:firstLine="420" w:firstLineChars="200"/>
              <w:jc w:val="center"/>
              <w:rPr>
                <w:rFonts w:ascii="仿宋" w:hAnsi="仿宋" w:eastAsia="仿宋" w:cs="仿宋"/>
                <w:color w:val="auto"/>
                <w:highlight w:val="none"/>
              </w:rPr>
            </w:pPr>
          </w:p>
        </w:tc>
        <w:tc>
          <w:tcPr>
            <w:tcW w:w="1330" w:type="dxa"/>
            <w:vAlign w:val="center"/>
          </w:tcPr>
          <w:p w14:paraId="60B62FD8">
            <w:pPr>
              <w:shd w:val="clear"/>
              <w:spacing w:line="360" w:lineRule="auto"/>
              <w:ind w:firstLine="420" w:firstLineChars="200"/>
              <w:jc w:val="center"/>
              <w:rPr>
                <w:rFonts w:ascii="仿宋" w:hAnsi="仿宋" w:eastAsia="仿宋" w:cs="仿宋"/>
                <w:color w:val="auto"/>
                <w:highlight w:val="none"/>
              </w:rPr>
            </w:pPr>
          </w:p>
        </w:tc>
        <w:tc>
          <w:tcPr>
            <w:tcW w:w="1328" w:type="dxa"/>
            <w:vAlign w:val="center"/>
          </w:tcPr>
          <w:p w14:paraId="307CB25C">
            <w:pPr>
              <w:shd w:val="clear"/>
              <w:spacing w:line="360" w:lineRule="auto"/>
              <w:ind w:firstLine="420" w:firstLineChars="200"/>
              <w:jc w:val="center"/>
              <w:rPr>
                <w:rFonts w:ascii="仿宋" w:hAnsi="仿宋" w:eastAsia="仿宋" w:cs="仿宋"/>
                <w:color w:val="auto"/>
                <w:highlight w:val="none"/>
              </w:rPr>
            </w:pPr>
          </w:p>
        </w:tc>
        <w:tc>
          <w:tcPr>
            <w:tcW w:w="1179" w:type="dxa"/>
            <w:vAlign w:val="center"/>
          </w:tcPr>
          <w:p w14:paraId="2BF28D37">
            <w:pPr>
              <w:shd w:val="clear"/>
              <w:spacing w:line="360" w:lineRule="auto"/>
              <w:ind w:firstLine="420" w:firstLineChars="200"/>
              <w:jc w:val="center"/>
              <w:rPr>
                <w:rFonts w:ascii="仿宋" w:hAnsi="仿宋" w:eastAsia="仿宋" w:cs="仿宋"/>
                <w:color w:val="auto"/>
                <w:highlight w:val="none"/>
              </w:rPr>
            </w:pPr>
          </w:p>
        </w:tc>
        <w:tc>
          <w:tcPr>
            <w:tcW w:w="668" w:type="dxa"/>
            <w:vAlign w:val="center"/>
          </w:tcPr>
          <w:p w14:paraId="60EF21B7">
            <w:pPr>
              <w:shd w:val="clear"/>
              <w:spacing w:line="360" w:lineRule="auto"/>
              <w:ind w:firstLine="420" w:firstLineChars="200"/>
              <w:jc w:val="center"/>
              <w:rPr>
                <w:rFonts w:ascii="仿宋" w:hAnsi="仿宋" w:eastAsia="仿宋" w:cs="仿宋"/>
                <w:color w:val="auto"/>
                <w:highlight w:val="none"/>
              </w:rPr>
            </w:pPr>
          </w:p>
        </w:tc>
        <w:tc>
          <w:tcPr>
            <w:tcW w:w="1506" w:type="dxa"/>
            <w:vAlign w:val="center"/>
          </w:tcPr>
          <w:p w14:paraId="78D51E8B">
            <w:pPr>
              <w:shd w:val="clear"/>
              <w:spacing w:line="360" w:lineRule="auto"/>
              <w:ind w:firstLine="420" w:firstLineChars="200"/>
              <w:jc w:val="center"/>
              <w:rPr>
                <w:rFonts w:ascii="仿宋" w:hAnsi="仿宋" w:eastAsia="仿宋" w:cs="仿宋"/>
                <w:color w:val="auto"/>
                <w:highlight w:val="none"/>
              </w:rPr>
            </w:pPr>
          </w:p>
        </w:tc>
        <w:tc>
          <w:tcPr>
            <w:tcW w:w="1439" w:type="dxa"/>
            <w:vAlign w:val="center"/>
          </w:tcPr>
          <w:p w14:paraId="4BA579E5">
            <w:pPr>
              <w:shd w:val="clear"/>
              <w:spacing w:line="360" w:lineRule="auto"/>
              <w:ind w:firstLine="420" w:firstLineChars="200"/>
              <w:jc w:val="center"/>
              <w:rPr>
                <w:rFonts w:ascii="仿宋" w:hAnsi="仿宋" w:eastAsia="仿宋" w:cs="仿宋"/>
                <w:color w:val="auto"/>
                <w:highlight w:val="none"/>
              </w:rPr>
            </w:pPr>
          </w:p>
        </w:tc>
        <w:tc>
          <w:tcPr>
            <w:tcW w:w="1402" w:type="dxa"/>
            <w:vAlign w:val="center"/>
          </w:tcPr>
          <w:p w14:paraId="403D56D2">
            <w:pPr>
              <w:shd w:val="clear"/>
              <w:spacing w:line="360" w:lineRule="auto"/>
              <w:ind w:firstLine="420" w:firstLineChars="200"/>
              <w:jc w:val="center"/>
              <w:rPr>
                <w:rFonts w:ascii="仿宋" w:hAnsi="仿宋" w:eastAsia="仿宋" w:cs="仿宋"/>
                <w:color w:val="auto"/>
                <w:highlight w:val="none"/>
              </w:rPr>
            </w:pPr>
          </w:p>
        </w:tc>
        <w:tc>
          <w:tcPr>
            <w:tcW w:w="989" w:type="dxa"/>
            <w:vAlign w:val="center"/>
          </w:tcPr>
          <w:p w14:paraId="63A39255">
            <w:pPr>
              <w:shd w:val="clear"/>
              <w:spacing w:line="360" w:lineRule="auto"/>
              <w:ind w:firstLine="420" w:firstLineChars="200"/>
              <w:jc w:val="center"/>
              <w:rPr>
                <w:rFonts w:ascii="仿宋" w:hAnsi="仿宋" w:eastAsia="仿宋" w:cs="仿宋"/>
                <w:color w:val="auto"/>
                <w:highlight w:val="none"/>
              </w:rPr>
            </w:pPr>
          </w:p>
        </w:tc>
      </w:tr>
      <w:tr w14:paraId="68EE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0CB5BFB0">
            <w:pPr>
              <w:shd w:val="clear"/>
              <w:spacing w:line="360" w:lineRule="auto"/>
              <w:ind w:firstLine="420" w:firstLineChars="200"/>
              <w:jc w:val="center"/>
              <w:rPr>
                <w:rFonts w:ascii="仿宋" w:hAnsi="仿宋" w:eastAsia="仿宋" w:cs="仿宋"/>
                <w:color w:val="auto"/>
                <w:highlight w:val="none"/>
              </w:rPr>
            </w:pPr>
          </w:p>
        </w:tc>
        <w:tc>
          <w:tcPr>
            <w:tcW w:w="1640" w:type="dxa"/>
          </w:tcPr>
          <w:p w14:paraId="57BA5D30">
            <w:pPr>
              <w:shd w:val="clear"/>
              <w:spacing w:line="360" w:lineRule="auto"/>
              <w:ind w:firstLine="420" w:firstLineChars="200"/>
              <w:jc w:val="center"/>
              <w:rPr>
                <w:rFonts w:ascii="仿宋" w:hAnsi="仿宋" w:eastAsia="仿宋" w:cs="仿宋"/>
                <w:color w:val="auto"/>
                <w:highlight w:val="none"/>
              </w:rPr>
            </w:pPr>
          </w:p>
        </w:tc>
        <w:tc>
          <w:tcPr>
            <w:tcW w:w="2515" w:type="dxa"/>
            <w:vAlign w:val="center"/>
          </w:tcPr>
          <w:p w14:paraId="1B8C2C36">
            <w:pPr>
              <w:shd w:val="clear"/>
              <w:spacing w:line="360" w:lineRule="auto"/>
              <w:ind w:firstLine="420" w:firstLineChars="200"/>
              <w:jc w:val="center"/>
              <w:rPr>
                <w:rFonts w:ascii="仿宋" w:hAnsi="仿宋" w:eastAsia="仿宋" w:cs="仿宋"/>
                <w:color w:val="auto"/>
                <w:highlight w:val="none"/>
              </w:rPr>
            </w:pPr>
          </w:p>
        </w:tc>
        <w:tc>
          <w:tcPr>
            <w:tcW w:w="1330" w:type="dxa"/>
            <w:vAlign w:val="center"/>
          </w:tcPr>
          <w:p w14:paraId="32FAD1B1">
            <w:pPr>
              <w:shd w:val="clear"/>
              <w:spacing w:line="360" w:lineRule="auto"/>
              <w:ind w:firstLine="420" w:firstLineChars="200"/>
              <w:jc w:val="center"/>
              <w:rPr>
                <w:rFonts w:ascii="仿宋" w:hAnsi="仿宋" w:eastAsia="仿宋" w:cs="仿宋"/>
                <w:color w:val="auto"/>
                <w:highlight w:val="none"/>
              </w:rPr>
            </w:pPr>
          </w:p>
        </w:tc>
        <w:tc>
          <w:tcPr>
            <w:tcW w:w="1328" w:type="dxa"/>
            <w:vAlign w:val="center"/>
          </w:tcPr>
          <w:p w14:paraId="78C23C11">
            <w:pPr>
              <w:shd w:val="clear"/>
              <w:spacing w:line="360" w:lineRule="auto"/>
              <w:ind w:firstLine="420" w:firstLineChars="200"/>
              <w:jc w:val="center"/>
              <w:rPr>
                <w:rFonts w:ascii="仿宋" w:hAnsi="仿宋" w:eastAsia="仿宋" w:cs="仿宋"/>
                <w:color w:val="auto"/>
                <w:highlight w:val="none"/>
              </w:rPr>
            </w:pPr>
          </w:p>
        </w:tc>
        <w:tc>
          <w:tcPr>
            <w:tcW w:w="1179" w:type="dxa"/>
            <w:vAlign w:val="center"/>
          </w:tcPr>
          <w:p w14:paraId="1E8A79C0">
            <w:pPr>
              <w:shd w:val="clear"/>
              <w:spacing w:line="360" w:lineRule="auto"/>
              <w:ind w:firstLine="420" w:firstLineChars="200"/>
              <w:jc w:val="center"/>
              <w:rPr>
                <w:rFonts w:ascii="仿宋" w:hAnsi="仿宋" w:eastAsia="仿宋" w:cs="仿宋"/>
                <w:color w:val="auto"/>
                <w:highlight w:val="none"/>
              </w:rPr>
            </w:pPr>
          </w:p>
        </w:tc>
        <w:tc>
          <w:tcPr>
            <w:tcW w:w="668" w:type="dxa"/>
            <w:vAlign w:val="center"/>
          </w:tcPr>
          <w:p w14:paraId="2C9E8DE3">
            <w:pPr>
              <w:shd w:val="clear"/>
              <w:spacing w:line="360" w:lineRule="auto"/>
              <w:ind w:firstLine="420" w:firstLineChars="200"/>
              <w:jc w:val="center"/>
              <w:rPr>
                <w:rFonts w:ascii="仿宋" w:hAnsi="仿宋" w:eastAsia="仿宋" w:cs="仿宋"/>
                <w:color w:val="auto"/>
                <w:highlight w:val="none"/>
              </w:rPr>
            </w:pPr>
          </w:p>
        </w:tc>
        <w:tc>
          <w:tcPr>
            <w:tcW w:w="1506" w:type="dxa"/>
            <w:vAlign w:val="center"/>
          </w:tcPr>
          <w:p w14:paraId="29011FA7">
            <w:pPr>
              <w:shd w:val="clear"/>
              <w:spacing w:line="360" w:lineRule="auto"/>
              <w:ind w:firstLine="420" w:firstLineChars="200"/>
              <w:jc w:val="center"/>
              <w:rPr>
                <w:rFonts w:ascii="仿宋" w:hAnsi="仿宋" w:eastAsia="仿宋" w:cs="仿宋"/>
                <w:color w:val="auto"/>
                <w:highlight w:val="none"/>
              </w:rPr>
            </w:pPr>
          </w:p>
        </w:tc>
        <w:tc>
          <w:tcPr>
            <w:tcW w:w="1439" w:type="dxa"/>
            <w:vAlign w:val="center"/>
          </w:tcPr>
          <w:p w14:paraId="16A79230">
            <w:pPr>
              <w:shd w:val="clear"/>
              <w:spacing w:line="360" w:lineRule="auto"/>
              <w:ind w:firstLine="420" w:firstLineChars="200"/>
              <w:jc w:val="center"/>
              <w:rPr>
                <w:rFonts w:ascii="仿宋" w:hAnsi="仿宋" w:eastAsia="仿宋" w:cs="仿宋"/>
                <w:color w:val="auto"/>
                <w:highlight w:val="none"/>
              </w:rPr>
            </w:pPr>
          </w:p>
        </w:tc>
        <w:tc>
          <w:tcPr>
            <w:tcW w:w="1402" w:type="dxa"/>
            <w:vAlign w:val="center"/>
          </w:tcPr>
          <w:p w14:paraId="04DC0A6D">
            <w:pPr>
              <w:shd w:val="clear"/>
              <w:spacing w:line="360" w:lineRule="auto"/>
              <w:ind w:firstLine="420" w:firstLineChars="200"/>
              <w:jc w:val="center"/>
              <w:rPr>
                <w:rFonts w:ascii="仿宋" w:hAnsi="仿宋" w:eastAsia="仿宋" w:cs="仿宋"/>
                <w:color w:val="auto"/>
                <w:highlight w:val="none"/>
              </w:rPr>
            </w:pPr>
          </w:p>
        </w:tc>
        <w:tc>
          <w:tcPr>
            <w:tcW w:w="989" w:type="dxa"/>
            <w:vAlign w:val="center"/>
          </w:tcPr>
          <w:p w14:paraId="40F2C6A0">
            <w:pPr>
              <w:shd w:val="clear"/>
              <w:spacing w:line="360" w:lineRule="auto"/>
              <w:ind w:firstLine="420" w:firstLineChars="200"/>
              <w:jc w:val="center"/>
              <w:rPr>
                <w:rFonts w:ascii="仿宋" w:hAnsi="仿宋" w:eastAsia="仿宋" w:cs="仿宋"/>
                <w:color w:val="auto"/>
                <w:highlight w:val="none"/>
              </w:rPr>
            </w:pPr>
          </w:p>
        </w:tc>
      </w:tr>
      <w:tr w14:paraId="5052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6DC793C0">
            <w:pPr>
              <w:shd w:val="clear"/>
              <w:spacing w:line="360" w:lineRule="auto"/>
              <w:ind w:firstLine="420" w:firstLineChars="200"/>
              <w:jc w:val="center"/>
              <w:rPr>
                <w:rFonts w:ascii="仿宋" w:hAnsi="仿宋" w:eastAsia="仿宋" w:cs="仿宋"/>
                <w:color w:val="auto"/>
                <w:highlight w:val="none"/>
              </w:rPr>
            </w:pPr>
          </w:p>
        </w:tc>
        <w:tc>
          <w:tcPr>
            <w:tcW w:w="1640" w:type="dxa"/>
          </w:tcPr>
          <w:p w14:paraId="6EE3E1E4">
            <w:pPr>
              <w:shd w:val="clear"/>
              <w:spacing w:line="360" w:lineRule="auto"/>
              <w:ind w:firstLine="420" w:firstLineChars="200"/>
              <w:jc w:val="center"/>
              <w:rPr>
                <w:rFonts w:ascii="仿宋" w:hAnsi="仿宋" w:eastAsia="仿宋" w:cs="仿宋"/>
                <w:color w:val="auto"/>
                <w:highlight w:val="none"/>
              </w:rPr>
            </w:pPr>
          </w:p>
        </w:tc>
        <w:tc>
          <w:tcPr>
            <w:tcW w:w="2515" w:type="dxa"/>
            <w:vAlign w:val="center"/>
          </w:tcPr>
          <w:p w14:paraId="35CDC8A8">
            <w:pPr>
              <w:shd w:val="clear"/>
              <w:spacing w:line="360" w:lineRule="auto"/>
              <w:ind w:firstLine="420" w:firstLineChars="200"/>
              <w:jc w:val="center"/>
              <w:rPr>
                <w:rFonts w:ascii="仿宋" w:hAnsi="仿宋" w:eastAsia="仿宋" w:cs="仿宋"/>
                <w:color w:val="auto"/>
                <w:highlight w:val="none"/>
              </w:rPr>
            </w:pPr>
          </w:p>
        </w:tc>
        <w:tc>
          <w:tcPr>
            <w:tcW w:w="1330" w:type="dxa"/>
            <w:vAlign w:val="center"/>
          </w:tcPr>
          <w:p w14:paraId="04D0ACF4">
            <w:pPr>
              <w:shd w:val="clear"/>
              <w:spacing w:line="360" w:lineRule="auto"/>
              <w:ind w:firstLine="420" w:firstLineChars="200"/>
              <w:jc w:val="center"/>
              <w:rPr>
                <w:rFonts w:ascii="仿宋" w:hAnsi="仿宋" w:eastAsia="仿宋" w:cs="仿宋"/>
                <w:color w:val="auto"/>
                <w:highlight w:val="none"/>
              </w:rPr>
            </w:pPr>
          </w:p>
        </w:tc>
        <w:tc>
          <w:tcPr>
            <w:tcW w:w="1328" w:type="dxa"/>
            <w:vAlign w:val="center"/>
          </w:tcPr>
          <w:p w14:paraId="575D8DFA">
            <w:pPr>
              <w:shd w:val="clear"/>
              <w:spacing w:line="360" w:lineRule="auto"/>
              <w:ind w:firstLine="420" w:firstLineChars="200"/>
              <w:jc w:val="center"/>
              <w:rPr>
                <w:rFonts w:ascii="仿宋" w:hAnsi="仿宋" w:eastAsia="仿宋" w:cs="仿宋"/>
                <w:color w:val="auto"/>
                <w:highlight w:val="none"/>
              </w:rPr>
            </w:pPr>
          </w:p>
        </w:tc>
        <w:tc>
          <w:tcPr>
            <w:tcW w:w="1179" w:type="dxa"/>
            <w:vAlign w:val="center"/>
          </w:tcPr>
          <w:p w14:paraId="4E9886F4">
            <w:pPr>
              <w:shd w:val="clear"/>
              <w:spacing w:line="360" w:lineRule="auto"/>
              <w:ind w:firstLine="420" w:firstLineChars="200"/>
              <w:jc w:val="center"/>
              <w:rPr>
                <w:rFonts w:ascii="仿宋" w:hAnsi="仿宋" w:eastAsia="仿宋" w:cs="仿宋"/>
                <w:color w:val="auto"/>
                <w:highlight w:val="none"/>
              </w:rPr>
            </w:pPr>
          </w:p>
        </w:tc>
        <w:tc>
          <w:tcPr>
            <w:tcW w:w="668" w:type="dxa"/>
            <w:vAlign w:val="center"/>
          </w:tcPr>
          <w:p w14:paraId="34C16E27">
            <w:pPr>
              <w:shd w:val="clear"/>
              <w:spacing w:line="360" w:lineRule="auto"/>
              <w:ind w:firstLine="420" w:firstLineChars="200"/>
              <w:jc w:val="center"/>
              <w:rPr>
                <w:rFonts w:ascii="仿宋" w:hAnsi="仿宋" w:eastAsia="仿宋" w:cs="仿宋"/>
                <w:color w:val="auto"/>
                <w:highlight w:val="none"/>
              </w:rPr>
            </w:pPr>
          </w:p>
        </w:tc>
        <w:tc>
          <w:tcPr>
            <w:tcW w:w="1506" w:type="dxa"/>
            <w:vAlign w:val="center"/>
          </w:tcPr>
          <w:p w14:paraId="05C2233A">
            <w:pPr>
              <w:shd w:val="clear"/>
              <w:spacing w:line="360" w:lineRule="auto"/>
              <w:ind w:firstLine="420" w:firstLineChars="200"/>
              <w:jc w:val="center"/>
              <w:rPr>
                <w:rFonts w:ascii="仿宋" w:hAnsi="仿宋" w:eastAsia="仿宋" w:cs="仿宋"/>
                <w:color w:val="auto"/>
                <w:highlight w:val="none"/>
              </w:rPr>
            </w:pPr>
          </w:p>
        </w:tc>
        <w:tc>
          <w:tcPr>
            <w:tcW w:w="1439" w:type="dxa"/>
            <w:vAlign w:val="center"/>
          </w:tcPr>
          <w:p w14:paraId="32EB87ED">
            <w:pPr>
              <w:shd w:val="clear"/>
              <w:spacing w:line="360" w:lineRule="auto"/>
              <w:ind w:firstLine="420" w:firstLineChars="200"/>
              <w:jc w:val="center"/>
              <w:rPr>
                <w:rFonts w:ascii="仿宋" w:hAnsi="仿宋" w:eastAsia="仿宋" w:cs="仿宋"/>
                <w:color w:val="auto"/>
                <w:highlight w:val="none"/>
              </w:rPr>
            </w:pPr>
          </w:p>
        </w:tc>
        <w:tc>
          <w:tcPr>
            <w:tcW w:w="1402" w:type="dxa"/>
            <w:vAlign w:val="center"/>
          </w:tcPr>
          <w:p w14:paraId="68E32BE6">
            <w:pPr>
              <w:shd w:val="clear"/>
              <w:spacing w:line="360" w:lineRule="auto"/>
              <w:ind w:firstLine="420" w:firstLineChars="200"/>
              <w:jc w:val="center"/>
              <w:rPr>
                <w:rFonts w:ascii="仿宋" w:hAnsi="仿宋" w:eastAsia="仿宋" w:cs="仿宋"/>
                <w:color w:val="auto"/>
                <w:highlight w:val="none"/>
              </w:rPr>
            </w:pPr>
          </w:p>
        </w:tc>
        <w:tc>
          <w:tcPr>
            <w:tcW w:w="989" w:type="dxa"/>
            <w:vAlign w:val="center"/>
          </w:tcPr>
          <w:p w14:paraId="191056E1">
            <w:pPr>
              <w:shd w:val="clear"/>
              <w:spacing w:line="360" w:lineRule="auto"/>
              <w:ind w:firstLine="420" w:firstLineChars="200"/>
              <w:jc w:val="center"/>
              <w:rPr>
                <w:rFonts w:ascii="仿宋" w:hAnsi="仿宋" w:eastAsia="仿宋" w:cs="仿宋"/>
                <w:color w:val="auto"/>
                <w:highlight w:val="none"/>
              </w:rPr>
            </w:pPr>
          </w:p>
        </w:tc>
      </w:tr>
      <w:tr w14:paraId="7F58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14:paraId="3FAFD00C">
            <w:pPr>
              <w:shd w:val="clear"/>
              <w:spacing w:line="360" w:lineRule="auto"/>
              <w:ind w:firstLine="420" w:firstLineChars="200"/>
              <w:jc w:val="center"/>
              <w:rPr>
                <w:rFonts w:ascii="仿宋" w:hAnsi="仿宋" w:eastAsia="仿宋" w:cs="仿宋"/>
                <w:color w:val="auto"/>
                <w:highlight w:val="none"/>
              </w:rPr>
            </w:pPr>
          </w:p>
        </w:tc>
        <w:tc>
          <w:tcPr>
            <w:tcW w:w="1640" w:type="dxa"/>
          </w:tcPr>
          <w:p w14:paraId="7B8D9D8F">
            <w:pPr>
              <w:shd w:val="clear"/>
              <w:spacing w:line="360" w:lineRule="auto"/>
              <w:ind w:firstLine="420" w:firstLineChars="200"/>
              <w:jc w:val="center"/>
              <w:rPr>
                <w:rFonts w:ascii="仿宋" w:hAnsi="仿宋" w:eastAsia="仿宋" w:cs="仿宋"/>
                <w:color w:val="auto"/>
                <w:highlight w:val="none"/>
              </w:rPr>
            </w:pPr>
          </w:p>
        </w:tc>
        <w:tc>
          <w:tcPr>
            <w:tcW w:w="2515" w:type="dxa"/>
            <w:vAlign w:val="center"/>
          </w:tcPr>
          <w:p w14:paraId="3B63DDBD">
            <w:pPr>
              <w:shd w:val="clear"/>
              <w:spacing w:line="360" w:lineRule="auto"/>
              <w:ind w:firstLine="420" w:firstLineChars="200"/>
              <w:jc w:val="center"/>
              <w:rPr>
                <w:rFonts w:ascii="仿宋" w:hAnsi="仿宋" w:eastAsia="仿宋" w:cs="仿宋"/>
                <w:color w:val="auto"/>
                <w:highlight w:val="none"/>
              </w:rPr>
            </w:pPr>
          </w:p>
        </w:tc>
        <w:tc>
          <w:tcPr>
            <w:tcW w:w="1330" w:type="dxa"/>
            <w:vAlign w:val="center"/>
          </w:tcPr>
          <w:p w14:paraId="133A114A">
            <w:pPr>
              <w:shd w:val="clear"/>
              <w:spacing w:line="360" w:lineRule="auto"/>
              <w:ind w:firstLine="420" w:firstLineChars="200"/>
              <w:jc w:val="center"/>
              <w:rPr>
                <w:rFonts w:ascii="仿宋" w:hAnsi="仿宋" w:eastAsia="仿宋" w:cs="仿宋"/>
                <w:color w:val="auto"/>
                <w:highlight w:val="none"/>
              </w:rPr>
            </w:pPr>
          </w:p>
        </w:tc>
        <w:tc>
          <w:tcPr>
            <w:tcW w:w="1328" w:type="dxa"/>
            <w:vAlign w:val="center"/>
          </w:tcPr>
          <w:p w14:paraId="61856B8D">
            <w:pPr>
              <w:shd w:val="clear"/>
              <w:spacing w:line="360" w:lineRule="auto"/>
              <w:ind w:firstLine="420" w:firstLineChars="200"/>
              <w:jc w:val="center"/>
              <w:rPr>
                <w:rFonts w:ascii="仿宋" w:hAnsi="仿宋" w:eastAsia="仿宋" w:cs="仿宋"/>
                <w:color w:val="auto"/>
                <w:highlight w:val="none"/>
              </w:rPr>
            </w:pPr>
          </w:p>
        </w:tc>
        <w:tc>
          <w:tcPr>
            <w:tcW w:w="1179" w:type="dxa"/>
            <w:vAlign w:val="center"/>
          </w:tcPr>
          <w:p w14:paraId="765B56B4">
            <w:pPr>
              <w:shd w:val="clear"/>
              <w:spacing w:line="360" w:lineRule="auto"/>
              <w:ind w:firstLine="420" w:firstLineChars="200"/>
              <w:jc w:val="center"/>
              <w:rPr>
                <w:rFonts w:ascii="仿宋" w:hAnsi="仿宋" w:eastAsia="仿宋" w:cs="仿宋"/>
                <w:color w:val="auto"/>
                <w:highlight w:val="none"/>
              </w:rPr>
            </w:pPr>
          </w:p>
        </w:tc>
        <w:tc>
          <w:tcPr>
            <w:tcW w:w="668" w:type="dxa"/>
            <w:vAlign w:val="center"/>
          </w:tcPr>
          <w:p w14:paraId="28CE666A">
            <w:pPr>
              <w:shd w:val="clear"/>
              <w:spacing w:line="360" w:lineRule="auto"/>
              <w:ind w:firstLine="420" w:firstLineChars="200"/>
              <w:jc w:val="center"/>
              <w:rPr>
                <w:rFonts w:ascii="仿宋" w:hAnsi="仿宋" w:eastAsia="仿宋" w:cs="仿宋"/>
                <w:color w:val="auto"/>
                <w:highlight w:val="none"/>
              </w:rPr>
            </w:pPr>
          </w:p>
        </w:tc>
        <w:tc>
          <w:tcPr>
            <w:tcW w:w="1506" w:type="dxa"/>
            <w:vAlign w:val="center"/>
          </w:tcPr>
          <w:p w14:paraId="79B455F3">
            <w:pPr>
              <w:shd w:val="clear"/>
              <w:spacing w:line="360" w:lineRule="auto"/>
              <w:ind w:firstLine="420" w:firstLineChars="200"/>
              <w:jc w:val="center"/>
              <w:rPr>
                <w:rFonts w:ascii="仿宋" w:hAnsi="仿宋" w:eastAsia="仿宋" w:cs="仿宋"/>
                <w:color w:val="auto"/>
                <w:highlight w:val="none"/>
              </w:rPr>
            </w:pPr>
          </w:p>
        </w:tc>
        <w:tc>
          <w:tcPr>
            <w:tcW w:w="1439" w:type="dxa"/>
            <w:vAlign w:val="center"/>
          </w:tcPr>
          <w:p w14:paraId="69572535">
            <w:pPr>
              <w:shd w:val="clear"/>
              <w:spacing w:line="360" w:lineRule="auto"/>
              <w:ind w:firstLine="420" w:firstLineChars="200"/>
              <w:jc w:val="center"/>
              <w:rPr>
                <w:rFonts w:ascii="仿宋" w:hAnsi="仿宋" w:eastAsia="仿宋" w:cs="仿宋"/>
                <w:color w:val="auto"/>
                <w:highlight w:val="none"/>
              </w:rPr>
            </w:pPr>
          </w:p>
        </w:tc>
        <w:tc>
          <w:tcPr>
            <w:tcW w:w="1402" w:type="dxa"/>
            <w:vAlign w:val="center"/>
          </w:tcPr>
          <w:p w14:paraId="1339CDCD">
            <w:pPr>
              <w:shd w:val="clear"/>
              <w:spacing w:line="360" w:lineRule="auto"/>
              <w:ind w:firstLine="420" w:firstLineChars="200"/>
              <w:jc w:val="center"/>
              <w:rPr>
                <w:rFonts w:ascii="仿宋" w:hAnsi="仿宋" w:eastAsia="仿宋" w:cs="仿宋"/>
                <w:color w:val="auto"/>
                <w:highlight w:val="none"/>
              </w:rPr>
            </w:pPr>
          </w:p>
        </w:tc>
        <w:tc>
          <w:tcPr>
            <w:tcW w:w="989" w:type="dxa"/>
            <w:vAlign w:val="center"/>
          </w:tcPr>
          <w:p w14:paraId="6B9E66DC">
            <w:pPr>
              <w:shd w:val="clear"/>
              <w:spacing w:line="360" w:lineRule="auto"/>
              <w:ind w:firstLine="420" w:firstLineChars="200"/>
              <w:jc w:val="center"/>
              <w:rPr>
                <w:rFonts w:ascii="仿宋" w:hAnsi="仿宋" w:eastAsia="仿宋" w:cs="仿宋"/>
                <w:color w:val="auto"/>
                <w:highlight w:val="none"/>
              </w:rPr>
            </w:pPr>
          </w:p>
        </w:tc>
      </w:tr>
    </w:tbl>
    <w:p w14:paraId="4BB8FB5D">
      <w:pPr>
        <w:shd w:val="clear"/>
        <w:spacing w:line="360" w:lineRule="auto"/>
        <w:ind w:firstLine="480" w:firstLineChars="200"/>
        <w:rPr>
          <w:rFonts w:ascii="仿宋" w:hAnsi="仿宋" w:eastAsia="仿宋" w:cs="仿宋"/>
          <w:color w:val="auto"/>
          <w:sz w:val="28"/>
          <w:highlight w:val="none"/>
        </w:rPr>
      </w:pPr>
      <w:r>
        <w:rPr>
          <w:rFonts w:hint="eastAsia" w:ascii="仿宋" w:hAnsi="仿宋" w:eastAsia="仿宋" w:cs="仿宋"/>
          <w:color w:val="auto"/>
          <w:sz w:val="24"/>
          <w:highlight w:val="none"/>
        </w:rPr>
        <w:t>填表：             复核：             批准：               单位</w:t>
      </w:r>
      <w:r>
        <w:rPr>
          <w:rFonts w:hint="eastAsia" w:ascii="仿宋" w:hAnsi="仿宋" w:eastAsia="仿宋" w:cs="仿宋"/>
          <w:color w:val="auto"/>
          <w:sz w:val="24"/>
          <w:highlight w:val="none"/>
          <w:lang w:eastAsia="zh-CN"/>
        </w:rPr>
        <w:t>（公</w:t>
      </w:r>
      <w:r>
        <w:rPr>
          <w:rFonts w:hint="eastAsia" w:ascii="仿宋" w:hAnsi="仿宋" w:eastAsia="仿宋" w:cs="仿宋"/>
          <w:color w:val="auto"/>
          <w:sz w:val="24"/>
          <w:highlight w:val="none"/>
        </w:rPr>
        <w:t>章）　　　　　　　　日期：  　　年 　　月 　　日</w:t>
      </w:r>
    </w:p>
    <w:p w14:paraId="6255128D">
      <w:pPr>
        <w:shd w:val="clear"/>
        <w:spacing w:line="360" w:lineRule="auto"/>
        <w:outlineLvl w:val="1"/>
        <w:rPr>
          <w:rFonts w:ascii="仿宋" w:hAnsi="仿宋" w:eastAsia="仿宋" w:cs="仿宋"/>
          <w:b/>
          <w:color w:val="auto"/>
          <w:sz w:val="24"/>
          <w:highlight w:val="none"/>
        </w:rPr>
        <w:sectPr>
          <w:endnotePr>
            <w:numFmt w:val="decimal"/>
          </w:endnotePr>
          <w:pgSz w:w="16783" w:h="11850" w:orient="landscape"/>
          <w:pgMar w:top="737" w:right="1418" w:bottom="737" w:left="851" w:header="0" w:footer="0" w:gutter="0"/>
          <w:pgBorders>
            <w:top w:val="none" w:sz="0" w:space="0"/>
            <w:left w:val="none" w:sz="0" w:space="0"/>
            <w:bottom w:val="none" w:sz="0" w:space="0"/>
            <w:right w:val="none" w:sz="0" w:space="0"/>
          </w:pgBorders>
          <w:cols w:space="720" w:num="1"/>
          <w:docGrid w:linePitch="312" w:charSpace="0"/>
        </w:sectPr>
      </w:pPr>
    </w:p>
    <w:p w14:paraId="2ED0D6A8">
      <w:pPr>
        <w:pStyle w:val="3"/>
        <w:numPr>
          <w:ilvl w:val="1"/>
          <w:numId w:val="0"/>
        </w:numPr>
        <w:shd w:val="clear"/>
        <w:spacing w:after="0"/>
        <w:rPr>
          <w:rFonts w:ascii="仿宋" w:hAnsi="仿宋" w:eastAsia="仿宋" w:cs="仿宋"/>
          <w:color w:val="auto"/>
          <w:highlight w:val="none"/>
        </w:rPr>
      </w:pPr>
      <w:bookmarkStart w:id="281" w:name="_Toc266892925"/>
      <w:bookmarkStart w:id="282" w:name="_Toc83377306"/>
      <w:bookmarkStart w:id="283" w:name="_Toc82013103"/>
      <w:bookmarkStart w:id="284" w:name="_Toc10521"/>
      <w:bookmarkStart w:id="285" w:name="_Toc18837"/>
      <w:r>
        <w:rPr>
          <w:rFonts w:hint="eastAsia" w:ascii="仿宋" w:hAnsi="仿宋" w:eastAsia="仿宋" w:cs="仿宋"/>
          <w:color w:val="auto"/>
          <w:sz w:val="24"/>
          <w:szCs w:val="24"/>
          <w:highlight w:val="none"/>
        </w:rPr>
        <w:t>附件</w:t>
      </w:r>
      <w:bookmarkEnd w:id="281"/>
      <w:r>
        <w:rPr>
          <w:rFonts w:hint="eastAsia" w:ascii="仿宋" w:hAnsi="仿宋" w:eastAsia="仿宋" w:cs="仿宋"/>
          <w:color w:val="auto"/>
          <w:sz w:val="24"/>
          <w:szCs w:val="24"/>
          <w:highlight w:val="none"/>
        </w:rPr>
        <w:t>四：</w:t>
      </w:r>
      <w:r>
        <w:rPr>
          <w:rFonts w:hint="eastAsia" w:ascii="仿宋" w:hAnsi="仿宋" w:eastAsia="仿宋" w:cs="仿宋"/>
          <w:color w:val="auto"/>
          <w:spacing w:val="32"/>
          <w:sz w:val="24"/>
          <w:szCs w:val="24"/>
          <w:highlight w:val="none"/>
        </w:rPr>
        <w:t>工程质量保修书</w:t>
      </w:r>
      <w:bookmarkEnd w:id="282"/>
      <w:bookmarkEnd w:id="283"/>
      <w:bookmarkEnd w:id="284"/>
      <w:bookmarkEnd w:id="285"/>
    </w:p>
    <w:p w14:paraId="41B5E217">
      <w:pPr>
        <w:shd w:val="clear"/>
        <w:spacing w:line="360" w:lineRule="auto"/>
        <w:ind w:firstLine="480" w:firstLineChars="200"/>
        <w:rPr>
          <w:rFonts w:ascii="仿宋" w:hAnsi="仿宋" w:eastAsia="仿宋" w:cs="仿宋"/>
          <w:color w:val="auto"/>
          <w:sz w:val="24"/>
          <w:highlight w:val="none"/>
        </w:rPr>
      </w:pPr>
    </w:p>
    <w:p w14:paraId="38055002">
      <w:pPr>
        <w:shd w:val="clear"/>
        <w:adjustRightInd w:val="0"/>
        <w:snapToGrid w:val="0"/>
        <w:spacing w:line="360" w:lineRule="auto"/>
        <w:ind w:firstLine="771" w:firstLineChars="200"/>
        <w:jc w:val="center"/>
        <w:rPr>
          <w:rFonts w:ascii="仿宋" w:hAnsi="仿宋" w:eastAsia="仿宋" w:cs="仿宋"/>
          <w:b/>
          <w:color w:val="auto"/>
          <w:spacing w:val="32"/>
          <w:sz w:val="32"/>
          <w:szCs w:val="32"/>
          <w:highlight w:val="none"/>
        </w:rPr>
      </w:pPr>
      <w:r>
        <w:rPr>
          <w:rFonts w:hint="eastAsia" w:ascii="仿宋" w:hAnsi="仿宋" w:eastAsia="仿宋" w:cs="仿宋"/>
          <w:b/>
          <w:color w:val="auto"/>
          <w:spacing w:val="32"/>
          <w:sz w:val="32"/>
          <w:szCs w:val="32"/>
          <w:highlight w:val="none"/>
        </w:rPr>
        <w:t>工程质量保修书</w:t>
      </w:r>
    </w:p>
    <w:p w14:paraId="64A00A48">
      <w:pPr>
        <w:shd w:val="clear"/>
        <w:adjustRightInd w:val="0"/>
        <w:snapToGrid w:val="0"/>
        <w:spacing w:line="360" w:lineRule="auto"/>
        <w:ind w:firstLine="480" w:firstLineChars="200"/>
        <w:rPr>
          <w:rFonts w:ascii="仿宋" w:hAnsi="仿宋" w:eastAsia="仿宋" w:cs="仿宋"/>
          <w:color w:val="auto"/>
          <w:sz w:val="24"/>
          <w:highlight w:val="none"/>
        </w:rPr>
      </w:pPr>
    </w:p>
    <w:p w14:paraId="724478AB">
      <w:pPr>
        <w:shd w:val="clea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发包人：</w:t>
      </w:r>
      <w:r>
        <w:rPr>
          <w:rFonts w:hint="eastAsia" w:ascii="仿宋" w:hAnsi="仿宋" w:eastAsia="仿宋" w:cs="仿宋"/>
          <w:color w:val="auto"/>
          <w:sz w:val="24"/>
          <w:highlight w:val="none"/>
          <w:u w:val="single"/>
        </w:rPr>
        <w:t xml:space="preserve">  广州白云湖投资发展有限公司    </w:t>
      </w:r>
    </w:p>
    <w:p w14:paraId="6E9C1593">
      <w:pPr>
        <w:shd w:val="clear"/>
        <w:adjustRightInd w:val="0"/>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承包人（联合体主办方）：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p w14:paraId="748D7911">
      <w:pPr>
        <w:shd w:val="clear"/>
        <w:adjustRightInd w:val="0"/>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承包人（联合体主成员）：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p w14:paraId="213A2E2D">
      <w:pPr>
        <w:shd w:val="clear"/>
        <w:spacing w:line="324" w:lineRule="auto"/>
        <w:ind w:firstLine="420" w:firstLineChars="200"/>
        <w:rPr>
          <w:rFonts w:hint="eastAsia" w:ascii="仿宋" w:hAnsi="仿宋" w:eastAsia="仿宋" w:cs="仿宋"/>
          <w:highlight w:val="none"/>
          <w:lang w:eastAsia="zh-CN"/>
        </w:rPr>
      </w:pPr>
    </w:p>
    <w:p w14:paraId="50E11F6F">
      <w:pPr>
        <w:shd w:val="clear"/>
        <w:spacing w:line="324" w:lineRule="auto"/>
        <w:ind w:firstLine="420" w:firstLineChars="200"/>
        <w:rPr>
          <w:rFonts w:ascii="Times New Roman" w:hAnsi="Times New Roman" w:eastAsia="仿宋" w:cs="Times New Roman"/>
          <w:sz w:val="24"/>
          <w:szCs w:val="24"/>
          <w:highlight w:val="none"/>
          <w:lang w:eastAsia="zh-CN"/>
        </w:rPr>
      </w:pPr>
      <w:r>
        <w:rPr>
          <w:rFonts w:hint="eastAsia" w:ascii="仿宋" w:hAnsi="仿宋" w:eastAsia="仿宋" w:cs="仿宋"/>
          <w:highlight w:val="none"/>
          <w:lang w:eastAsia="zh-CN"/>
        </w:rPr>
        <w:t>为</w:t>
      </w:r>
      <w:r>
        <w:rPr>
          <w:rFonts w:hint="default" w:ascii="Times New Roman" w:hAnsi="Times New Roman" w:eastAsia="仿宋" w:cs="Times New Roman"/>
          <w:sz w:val="24"/>
          <w:szCs w:val="24"/>
          <w:highlight w:val="none"/>
          <w:lang w:eastAsia="zh-CN"/>
        </w:rPr>
        <w:t xml:space="preserve">保证 </w:t>
      </w:r>
      <w:r>
        <w:rPr>
          <w:rFonts w:hint="default" w:ascii="Times New Roman" w:hAnsi="Times New Roman" w:eastAsia="仿宋" w:cs="Times New Roman"/>
          <w:sz w:val="24"/>
          <w:szCs w:val="24"/>
          <w:highlight w:val="none"/>
          <w:u w:val="single"/>
        </w:rPr>
        <w:t>广州市白云区夏茅村城中村改造项目首开区安置地块项目城中村展示中心项目设计施工总承包（EPC)</w:t>
      </w:r>
      <w:r>
        <w:rPr>
          <w:rFonts w:hint="default" w:ascii="Times New Roman" w:hAnsi="Times New Roman" w:eastAsia="仿宋" w:cs="Times New Roman"/>
          <w:sz w:val="24"/>
          <w:szCs w:val="24"/>
          <w:highlight w:val="none"/>
          <w:lang w:eastAsia="zh-CN"/>
        </w:rPr>
        <w:t>（工程名称）在合理使用期限内正常使用，合同双方当事人根据《中华人民共和国建筑法》、《建设工程质量管理条例》和《房屋建筑工程质量保修办法》等规定，经协商一致，订立本质量保修书。</w:t>
      </w:r>
    </w:p>
    <w:p w14:paraId="594E23E3">
      <w:pPr>
        <w:shd w:val="clear"/>
        <w:spacing w:line="324" w:lineRule="auto"/>
        <w:ind w:firstLine="480" w:firstLineChars="200"/>
        <w:rPr>
          <w:rFonts w:ascii="Times New Roman" w:hAnsi="Times New Roman" w:eastAsia="仿宋" w:cs="Times New Roman"/>
          <w:sz w:val="24"/>
          <w:szCs w:val="24"/>
          <w:highlight w:val="none"/>
          <w:lang w:eastAsia="zh-CN"/>
        </w:rPr>
      </w:pPr>
    </w:p>
    <w:p w14:paraId="5F7EE14A">
      <w:pPr>
        <w:shd w:val="clear"/>
        <w:rPr>
          <w:rFonts w:ascii="Times New Roman" w:hAnsi="Times New Roman" w:eastAsia="仿宋" w:cs="Times New Roman"/>
          <w:b/>
          <w:bCs/>
          <w:sz w:val="24"/>
          <w:szCs w:val="24"/>
          <w:highlight w:val="none"/>
          <w:lang w:eastAsia="zh-CN"/>
        </w:rPr>
      </w:pPr>
      <w:r>
        <w:rPr>
          <w:rFonts w:hint="default" w:ascii="Times New Roman" w:hAnsi="Times New Roman" w:eastAsia="仿宋" w:cs="Times New Roman"/>
          <w:sz w:val="24"/>
          <w:szCs w:val="24"/>
          <w:highlight w:val="none"/>
          <w:lang w:eastAsia="zh-CN"/>
        </w:rPr>
        <w:t xml:space="preserve">1． </w:t>
      </w:r>
      <w:r>
        <w:rPr>
          <w:rFonts w:hint="default" w:ascii="Times New Roman" w:hAnsi="Times New Roman" w:eastAsia="仿宋" w:cs="Times New Roman"/>
          <w:b/>
          <w:bCs/>
          <w:sz w:val="24"/>
          <w:szCs w:val="24"/>
          <w:highlight w:val="none"/>
          <w:lang w:eastAsia="zh-CN"/>
        </w:rPr>
        <w:t>质量保修范围</w:t>
      </w:r>
    </w:p>
    <w:p w14:paraId="22147345">
      <w:pPr>
        <w:shd w:val="clear"/>
        <w:spacing w:line="324" w:lineRule="auto"/>
        <w:ind w:firstLine="480" w:firstLineChars="200"/>
        <w:rPr>
          <w:rFonts w:ascii="Times New Roman" w:hAnsi="Times New Roman" w:eastAsia="仿宋" w:cs="Times New Roman"/>
          <w:sz w:val="24"/>
          <w:szCs w:val="24"/>
          <w:highlight w:val="none"/>
          <w:lang w:eastAsia="zh-CN"/>
        </w:rPr>
      </w:pPr>
    </w:p>
    <w:p w14:paraId="57D77C5D">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2FE856E7">
      <w:pPr>
        <w:shd w:val="clear"/>
        <w:spacing w:line="360"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1.1</w:t>
      </w:r>
      <w:r>
        <w:rPr>
          <w:rFonts w:ascii="Times New Roman" w:hAnsi="Times New Roman" w:eastAsia="仿宋" w:cs="Times New Roman"/>
          <w:sz w:val="24"/>
          <w:szCs w:val="24"/>
          <w:highlight w:val="none"/>
          <w:lang w:eastAsia="zh-CN"/>
        </w:rPr>
        <w:t>承包人在质量保修期内，按照有关法律、法规、规章规定和双方约定，承担</w:t>
      </w:r>
      <w:r>
        <w:rPr>
          <w:rFonts w:hint="default" w:ascii="Times New Roman" w:hAnsi="Times New Roman" w:eastAsia="仿宋" w:cs="Times New Roman"/>
          <w:sz w:val="24"/>
          <w:szCs w:val="24"/>
          <w:highlight w:val="none"/>
          <w:lang w:eastAsia="zh-CN"/>
        </w:rPr>
        <w:t>本合同项下</w:t>
      </w:r>
      <w:r>
        <w:rPr>
          <w:rFonts w:ascii="Times New Roman" w:hAnsi="Times New Roman" w:eastAsia="仿宋" w:cs="Times New Roman"/>
          <w:sz w:val="24"/>
          <w:szCs w:val="24"/>
          <w:highlight w:val="none"/>
          <w:lang w:eastAsia="zh-CN"/>
        </w:rPr>
        <w:t xml:space="preserve">工程质量保修责任。                                                                                    </w:t>
      </w:r>
    </w:p>
    <w:p w14:paraId="4E7F0883">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1.</w:t>
      </w:r>
      <w:r>
        <w:rPr>
          <w:rFonts w:ascii="Times New Roman" w:hAnsi="Times New Roman" w:eastAsia="仿宋" w:cs="Times New Roman"/>
          <w:sz w:val="24"/>
          <w:szCs w:val="24"/>
          <w:highlight w:val="none"/>
          <w:lang w:eastAsia="zh-CN"/>
        </w:rPr>
        <w:t>2承包人承包范围内的所有工程均属保修范围。</w:t>
      </w:r>
    </w:p>
    <w:p w14:paraId="0E4ADAEB">
      <w:pPr>
        <w:shd w:val="clear"/>
        <w:rPr>
          <w:rFonts w:ascii="Times New Roman" w:hAnsi="Times New Roman" w:eastAsia="仿宋" w:cs="Times New Roman"/>
          <w:b/>
          <w:bCs/>
          <w:sz w:val="24"/>
          <w:szCs w:val="24"/>
          <w:highlight w:val="none"/>
          <w:lang w:eastAsia="zh-CN"/>
        </w:rPr>
      </w:pPr>
      <w:r>
        <w:rPr>
          <w:rFonts w:hint="default" w:ascii="Times New Roman" w:hAnsi="Times New Roman" w:eastAsia="仿宋" w:cs="Times New Roman"/>
          <w:sz w:val="24"/>
          <w:szCs w:val="24"/>
          <w:highlight w:val="none"/>
          <w:lang w:eastAsia="zh-CN"/>
        </w:rPr>
        <w:t xml:space="preserve">2． </w:t>
      </w:r>
      <w:r>
        <w:rPr>
          <w:rFonts w:hint="default" w:ascii="Times New Roman" w:hAnsi="Times New Roman" w:eastAsia="仿宋" w:cs="Times New Roman"/>
          <w:b/>
          <w:bCs/>
          <w:sz w:val="24"/>
          <w:szCs w:val="24"/>
          <w:highlight w:val="none"/>
          <w:lang w:eastAsia="zh-CN"/>
        </w:rPr>
        <w:t>质量保修期</w:t>
      </w:r>
    </w:p>
    <w:p w14:paraId="652A2544">
      <w:pPr>
        <w:shd w:val="clear"/>
        <w:spacing w:line="324" w:lineRule="auto"/>
        <w:ind w:firstLine="480" w:firstLineChars="200"/>
        <w:rPr>
          <w:rFonts w:ascii="Times New Roman" w:hAnsi="Times New Roman" w:eastAsia="仿宋" w:cs="Times New Roman"/>
          <w:sz w:val="24"/>
          <w:szCs w:val="24"/>
          <w:highlight w:val="none"/>
          <w:lang w:eastAsia="zh-CN"/>
        </w:rPr>
      </w:pPr>
    </w:p>
    <w:p w14:paraId="06CA0644">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2.1 质量保修期从工程实际竣工之日算起。单项竣工验收的工程，按单项工程分别计算质量保修期。（移交到村民、物业居住有一段时间）本工程的保修期自总承包工程竣工验收合格、移交物业公司及交付公告中明确的交付之日（以三个日期中最晚日期，但不超过政府竣工验收合格后6个月）起计算，保修期不得低于法定最低保修年限，其中燃气工程为通过验收两年内。</w:t>
      </w:r>
    </w:p>
    <w:p w14:paraId="4174F22B">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 xml:space="preserve">2.2 </w:t>
      </w:r>
      <w:r>
        <w:rPr>
          <w:rFonts w:hint="default" w:ascii="Times New Roman" w:hAnsi="Times New Roman" w:eastAsia="仿宋" w:cs="Times New Roman"/>
          <w:sz w:val="24"/>
          <w:szCs w:val="24"/>
          <w:highlight w:val="none"/>
          <w:lang w:val="zh-CN" w:eastAsia="zh-CN"/>
        </w:rPr>
        <w:t>合同工程质量保修期，合同双方当事人约定如下</w:t>
      </w:r>
      <w:r>
        <w:rPr>
          <w:rFonts w:hint="default" w:ascii="Times New Roman" w:hAnsi="Times New Roman" w:eastAsia="仿宋" w:cs="Times New Roman"/>
          <w:sz w:val="24"/>
          <w:szCs w:val="24"/>
          <w:highlight w:val="none"/>
          <w:lang w:eastAsia="zh-CN"/>
        </w:rPr>
        <w:t>：</w:t>
      </w:r>
    </w:p>
    <w:p w14:paraId="7501EC7E">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1</w:t>
      </w:r>
      <w:r>
        <w:rPr>
          <w:rFonts w:hint="default" w:ascii="Times New Roman" w:hAnsi="Times New Roman" w:eastAsia="仿宋" w:cs="Times New Roman"/>
          <w:sz w:val="24"/>
          <w:szCs w:val="24"/>
          <w:highlight w:val="none"/>
          <w:lang w:eastAsia="zh-CN"/>
        </w:rPr>
        <w:t>．地基基础工程、主体结构工程为设计文件规定的合理使用年限；</w:t>
      </w:r>
    </w:p>
    <w:p w14:paraId="638E669F">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2</w:t>
      </w:r>
      <w:r>
        <w:rPr>
          <w:rFonts w:hint="default" w:ascii="Times New Roman" w:hAnsi="Times New Roman" w:eastAsia="仿宋" w:cs="Times New Roman"/>
          <w:sz w:val="24"/>
          <w:szCs w:val="24"/>
          <w:highlight w:val="none"/>
          <w:lang w:eastAsia="zh-CN"/>
        </w:rPr>
        <w:t>．屋面防水工程、有防水要求的卫生间、房间和外墙面的防渗漏工程为</w:t>
      </w:r>
      <w:r>
        <w:rPr>
          <w:rFonts w:ascii="Times New Roman" w:hAnsi="Times New Roman" w:eastAsia="仿宋" w:cs="Times New Roman"/>
          <w:sz w:val="24"/>
          <w:szCs w:val="24"/>
          <w:highlight w:val="none"/>
          <w:u w:val="single"/>
          <w:lang w:eastAsia="zh-CN"/>
        </w:rPr>
        <w:t xml:space="preserve">  6 </w:t>
      </w:r>
      <w:r>
        <w:rPr>
          <w:rFonts w:hint="default" w:ascii="Times New Roman" w:hAnsi="Times New Roman" w:eastAsia="仿宋" w:cs="Times New Roman"/>
          <w:sz w:val="24"/>
          <w:szCs w:val="24"/>
          <w:highlight w:val="none"/>
          <w:lang w:eastAsia="zh-CN"/>
        </w:rPr>
        <w:t>年；</w:t>
      </w:r>
    </w:p>
    <w:p w14:paraId="3358C830">
      <w:pPr>
        <w:shd w:val="clear"/>
        <w:spacing w:line="360" w:lineRule="auto"/>
        <w:ind w:firstLine="240" w:firstLineChars="1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 xml:space="preserve">  3</w:t>
      </w:r>
      <w:r>
        <w:rPr>
          <w:rFonts w:hint="default" w:ascii="Times New Roman" w:hAnsi="Times New Roman" w:eastAsia="仿宋" w:cs="Times New Roman"/>
          <w:sz w:val="24"/>
          <w:szCs w:val="24"/>
          <w:highlight w:val="none"/>
          <w:lang w:eastAsia="zh-CN"/>
        </w:rPr>
        <w:t>．电气管线工程、给排水管道工程、设备安装工程为</w:t>
      </w:r>
      <w:r>
        <w:rPr>
          <w:rFonts w:ascii="Times New Roman" w:hAnsi="Times New Roman" w:eastAsia="仿宋" w:cs="Times New Roman"/>
          <w:sz w:val="24"/>
          <w:szCs w:val="24"/>
          <w:highlight w:val="none"/>
          <w:u w:val="single"/>
          <w:lang w:eastAsia="zh-CN"/>
        </w:rPr>
        <w:t xml:space="preserve">  3 </w:t>
      </w:r>
      <w:r>
        <w:rPr>
          <w:rFonts w:hint="default" w:ascii="Times New Roman" w:hAnsi="Times New Roman" w:eastAsia="仿宋" w:cs="Times New Roman"/>
          <w:sz w:val="24"/>
          <w:szCs w:val="24"/>
          <w:highlight w:val="none"/>
          <w:lang w:eastAsia="zh-CN"/>
        </w:rPr>
        <w:t>年；</w:t>
      </w:r>
    </w:p>
    <w:p w14:paraId="089C976C">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4</w:t>
      </w:r>
      <w:r>
        <w:rPr>
          <w:rFonts w:hint="default" w:ascii="Times New Roman" w:hAnsi="Times New Roman" w:eastAsia="仿宋" w:cs="Times New Roman"/>
          <w:sz w:val="24"/>
          <w:szCs w:val="24"/>
          <w:highlight w:val="none"/>
          <w:lang w:eastAsia="zh-CN"/>
        </w:rPr>
        <w:t>．供热、供冷系统工程为</w:t>
      </w:r>
      <w:r>
        <w:rPr>
          <w:rFonts w:ascii="Times New Roman" w:hAnsi="Times New Roman" w:eastAsia="仿宋" w:cs="Times New Roman"/>
          <w:sz w:val="24"/>
          <w:szCs w:val="24"/>
          <w:highlight w:val="none"/>
          <w:lang w:eastAsia="zh-CN"/>
        </w:rPr>
        <w:t xml:space="preserve"> </w:t>
      </w:r>
      <w:r>
        <w:rPr>
          <w:rFonts w:hint="default"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u w:val="single"/>
          <w:lang w:eastAsia="zh-CN"/>
        </w:rPr>
        <w:t xml:space="preserve"> </w:t>
      </w:r>
      <w:r>
        <w:rPr>
          <w:rFonts w:hint="default" w:ascii="Times New Roman" w:hAnsi="Times New Roman" w:eastAsia="仿宋" w:cs="Times New Roman"/>
          <w:sz w:val="24"/>
          <w:szCs w:val="24"/>
          <w:highlight w:val="none"/>
          <w:lang w:eastAsia="zh-CN"/>
        </w:rPr>
        <w:t>个采暖期、供冷期；</w:t>
      </w:r>
    </w:p>
    <w:p w14:paraId="2C0B4D30">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5</w:t>
      </w:r>
      <w:r>
        <w:rPr>
          <w:rFonts w:hint="default" w:ascii="Times New Roman" w:hAnsi="Times New Roman" w:eastAsia="仿宋" w:cs="Times New Roman"/>
          <w:sz w:val="24"/>
          <w:szCs w:val="24"/>
          <w:highlight w:val="none"/>
          <w:lang w:eastAsia="zh-CN"/>
        </w:rPr>
        <w:t>．装饰装修工程为</w:t>
      </w:r>
      <w:r>
        <w:rPr>
          <w:rFonts w:ascii="Times New Roman" w:hAnsi="Times New Roman" w:eastAsia="仿宋" w:cs="Times New Roman"/>
          <w:sz w:val="24"/>
          <w:szCs w:val="24"/>
          <w:highlight w:val="none"/>
          <w:u w:val="single"/>
          <w:lang w:eastAsia="zh-CN"/>
        </w:rPr>
        <w:t xml:space="preserve">  3  </w:t>
      </w:r>
      <w:r>
        <w:rPr>
          <w:rFonts w:hint="default" w:ascii="Times New Roman" w:hAnsi="Times New Roman" w:eastAsia="仿宋" w:cs="Times New Roman"/>
          <w:sz w:val="24"/>
          <w:szCs w:val="24"/>
          <w:highlight w:val="none"/>
          <w:lang w:eastAsia="zh-CN"/>
        </w:rPr>
        <w:t>年；</w:t>
      </w:r>
    </w:p>
    <w:p w14:paraId="53D4AB28">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6</w:t>
      </w:r>
      <w:r>
        <w:rPr>
          <w:rFonts w:hint="default" w:ascii="Times New Roman" w:hAnsi="Times New Roman" w:eastAsia="仿宋" w:cs="Times New Roman"/>
          <w:sz w:val="24"/>
          <w:szCs w:val="24"/>
          <w:highlight w:val="none"/>
          <w:lang w:eastAsia="zh-CN"/>
        </w:rPr>
        <w:t>．其他项目：</w:t>
      </w:r>
      <w:r>
        <w:rPr>
          <w:rFonts w:hint="default" w:ascii="Times New Roman" w:hAnsi="Times New Roman" w:eastAsia="仿宋" w:cs="Times New Roman"/>
          <w:sz w:val="24"/>
          <w:szCs w:val="24"/>
          <w:highlight w:val="none"/>
          <w:u w:val="single"/>
          <w:lang w:eastAsia="zh-CN"/>
        </w:rPr>
        <w:t>保修期按《房屋建筑工程质量保修办法》规定的保修年限+1执行。</w:t>
      </w:r>
    </w:p>
    <w:p w14:paraId="7DF18F6B">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2.</w:t>
      </w:r>
      <w:r>
        <w:rPr>
          <w:rFonts w:hint="default" w:ascii="Times New Roman" w:hAnsi="Times New Roman" w:eastAsia="仿宋" w:cs="Times New Roman"/>
          <w:sz w:val="24"/>
          <w:szCs w:val="24"/>
          <w:highlight w:val="none"/>
          <w:lang w:eastAsia="zh-CN"/>
        </w:rPr>
        <w:t>3</w:t>
      </w:r>
      <w:r>
        <w:rPr>
          <w:rFonts w:ascii="Times New Roman" w:hAnsi="Times New Roman" w:eastAsia="仿宋" w:cs="Times New Roman"/>
          <w:sz w:val="24"/>
          <w:szCs w:val="24"/>
          <w:highlight w:val="none"/>
          <w:lang w:eastAsia="zh-CN"/>
        </w:rPr>
        <w:t>经双方协商，一致同意本合同项下其他工程的保修期限约定如下：</w:t>
      </w:r>
    </w:p>
    <w:p w14:paraId="7D2747B8">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1</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给排水设施为</w:t>
      </w:r>
      <w:r>
        <w:rPr>
          <w:rFonts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lang w:eastAsia="zh-CN"/>
        </w:rPr>
        <w:t>年；</w:t>
      </w:r>
    </w:p>
    <w:p w14:paraId="62735DC5">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2</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园建、道路工程为</w:t>
      </w:r>
      <w:r>
        <w:rPr>
          <w:rFonts w:ascii="Times New Roman" w:hAnsi="Times New Roman" w:eastAsia="仿宋" w:cs="Times New Roman"/>
          <w:sz w:val="24"/>
          <w:szCs w:val="24"/>
          <w:highlight w:val="none"/>
          <w:u w:val="single"/>
          <w:lang w:eastAsia="zh-CN"/>
        </w:rPr>
        <w:t xml:space="preserve"> 3</w:t>
      </w:r>
      <w:r>
        <w:rPr>
          <w:rFonts w:ascii="Times New Roman" w:hAnsi="Times New Roman" w:eastAsia="仿宋" w:cs="Times New Roman"/>
          <w:sz w:val="24"/>
          <w:szCs w:val="24"/>
          <w:highlight w:val="none"/>
          <w:lang w:eastAsia="zh-CN"/>
        </w:rPr>
        <w:t>年；</w:t>
      </w:r>
    </w:p>
    <w:p w14:paraId="05719000">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3</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绿化工程养护期</w:t>
      </w:r>
      <w:r>
        <w:rPr>
          <w:rFonts w:ascii="Times New Roman" w:hAnsi="Times New Roman" w:eastAsia="仿宋" w:cs="Times New Roman"/>
          <w:sz w:val="24"/>
          <w:szCs w:val="24"/>
          <w:highlight w:val="none"/>
          <w:u w:val="single"/>
          <w:lang w:eastAsia="zh-CN"/>
        </w:rPr>
        <w:t>2</w:t>
      </w:r>
      <w:r>
        <w:rPr>
          <w:rFonts w:ascii="Times New Roman" w:hAnsi="Times New Roman" w:eastAsia="仿宋" w:cs="Times New Roman"/>
          <w:sz w:val="24"/>
          <w:szCs w:val="24"/>
          <w:highlight w:val="none"/>
          <w:lang w:eastAsia="zh-CN"/>
        </w:rPr>
        <w:t>年。其中保养成活期</w:t>
      </w:r>
      <w:r>
        <w:rPr>
          <w:rFonts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lang w:eastAsia="zh-CN"/>
        </w:rPr>
        <w:t>个月，保养期</w:t>
      </w:r>
      <w:r>
        <w:rPr>
          <w:rFonts w:ascii="Times New Roman" w:hAnsi="Times New Roman" w:eastAsia="仿宋" w:cs="Times New Roman"/>
          <w:sz w:val="24"/>
          <w:szCs w:val="24"/>
          <w:highlight w:val="none"/>
          <w:u w:val="single"/>
          <w:lang w:eastAsia="zh-CN"/>
        </w:rPr>
        <w:t>9</w:t>
      </w:r>
      <w:r>
        <w:rPr>
          <w:rFonts w:ascii="Times New Roman" w:hAnsi="Times New Roman" w:eastAsia="仿宋" w:cs="Times New Roman"/>
          <w:sz w:val="24"/>
          <w:szCs w:val="24"/>
          <w:highlight w:val="none"/>
          <w:lang w:eastAsia="zh-CN"/>
        </w:rPr>
        <w:t>个月；</w:t>
      </w:r>
    </w:p>
    <w:p w14:paraId="41DDCA7A">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4</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门窗为</w:t>
      </w:r>
      <w:r>
        <w:rPr>
          <w:rFonts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lang w:eastAsia="zh-CN"/>
        </w:rPr>
        <w:t>年；</w:t>
      </w:r>
    </w:p>
    <w:p w14:paraId="0F294A7C">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5</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楼、地面空鼓开裂、大面积起砂为</w:t>
      </w:r>
      <w:r>
        <w:rPr>
          <w:rFonts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lang w:eastAsia="zh-CN"/>
        </w:rPr>
        <w:t>年；</w:t>
      </w:r>
    </w:p>
    <w:p w14:paraId="306D1549">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6</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卫生间洁具、配件为</w:t>
      </w:r>
      <w:r>
        <w:rPr>
          <w:rFonts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lang w:eastAsia="zh-CN"/>
        </w:rPr>
        <w:t>年；</w:t>
      </w:r>
    </w:p>
    <w:p w14:paraId="53969C92">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7</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灯具、开关、插座为</w:t>
      </w:r>
      <w:r>
        <w:rPr>
          <w:rFonts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lang w:eastAsia="zh-CN"/>
        </w:rPr>
        <w:t>年；</w:t>
      </w:r>
    </w:p>
    <w:p w14:paraId="214CEC98">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8</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墙面、顶棚抹灰脱落为</w:t>
      </w:r>
      <w:r>
        <w:rPr>
          <w:rFonts w:ascii="Times New Roman" w:hAnsi="Times New Roman" w:eastAsia="仿宋" w:cs="Times New Roman"/>
          <w:sz w:val="24"/>
          <w:szCs w:val="24"/>
          <w:highlight w:val="none"/>
          <w:u w:val="single"/>
          <w:lang w:eastAsia="zh-CN"/>
        </w:rPr>
        <w:t>3</w:t>
      </w:r>
      <w:r>
        <w:rPr>
          <w:rFonts w:ascii="Times New Roman" w:hAnsi="Times New Roman" w:eastAsia="仿宋" w:cs="Times New Roman"/>
          <w:sz w:val="24"/>
          <w:szCs w:val="24"/>
          <w:highlight w:val="none"/>
          <w:lang w:eastAsia="zh-CN"/>
        </w:rPr>
        <w:t>年；</w:t>
      </w:r>
    </w:p>
    <w:p w14:paraId="4AD697C7">
      <w:pPr>
        <w:shd w:val="clear"/>
        <w:spacing w:line="360" w:lineRule="auto"/>
        <w:ind w:firstLine="480" w:firstLineChars="200"/>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 展陈物料及设备为</w:t>
      </w:r>
      <w:r>
        <w:rPr>
          <w:rFonts w:hint="eastAsia" w:ascii="Times New Roman" w:hAnsi="Times New Roman" w:eastAsia="仿宋" w:cs="Times New Roman"/>
          <w:sz w:val="24"/>
          <w:szCs w:val="24"/>
          <w:highlight w:val="none"/>
          <w:u w:val="single"/>
          <w:lang w:val="en-US" w:eastAsia="zh-CN"/>
        </w:rPr>
        <w:t xml:space="preserve"> 3 </w:t>
      </w:r>
      <w:r>
        <w:rPr>
          <w:rFonts w:hint="eastAsia" w:ascii="Times New Roman" w:hAnsi="Times New Roman" w:eastAsia="仿宋" w:cs="Times New Roman"/>
          <w:sz w:val="24"/>
          <w:szCs w:val="24"/>
          <w:highlight w:val="none"/>
          <w:lang w:val="en-US" w:eastAsia="zh-CN"/>
        </w:rPr>
        <w:t>年；</w:t>
      </w:r>
    </w:p>
    <w:p w14:paraId="6E221BA2">
      <w:pPr>
        <w:shd w:val="clear"/>
        <w:spacing w:line="360" w:lineRule="auto"/>
        <w:ind w:firstLine="480" w:firstLineChars="200"/>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10.数字内容策划及制作为</w:t>
      </w:r>
      <w:r>
        <w:rPr>
          <w:rFonts w:hint="eastAsia" w:ascii="Times New Roman" w:hAnsi="Times New Roman" w:eastAsia="仿宋" w:cs="Times New Roman"/>
          <w:sz w:val="24"/>
          <w:szCs w:val="24"/>
          <w:highlight w:val="none"/>
          <w:u w:val="single"/>
          <w:lang w:val="en-US" w:eastAsia="zh-CN"/>
        </w:rPr>
        <w:t xml:space="preserve"> 3 </w:t>
      </w:r>
      <w:r>
        <w:rPr>
          <w:rFonts w:hint="eastAsia" w:ascii="Times New Roman" w:hAnsi="Times New Roman" w:eastAsia="仿宋" w:cs="Times New Roman"/>
          <w:sz w:val="24"/>
          <w:szCs w:val="24"/>
          <w:highlight w:val="none"/>
          <w:lang w:val="en-US" w:eastAsia="zh-CN"/>
        </w:rPr>
        <w:t>年；</w:t>
      </w:r>
    </w:p>
    <w:p w14:paraId="1768B306">
      <w:pPr>
        <w:shd w:val="clear"/>
        <w:spacing w:line="360" w:lineRule="auto"/>
        <w:ind w:firstLine="480" w:firstLineChars="200"/>
        <w:rPr>
          <w:rFonts w:ascii="Times New Roman" w:hAnsi="Times New Roman" w:eastAsia="仿宋" w:cs="Times New Roman"/>
          <w:sz w:val="24"/>
          <w:szCs w:val="24"/>
          <w:highlight w:val="none"/>
          <w:u w:val="single"/>
          <w:lang w:eastAsia="zh-CN"/>
        </w:rPr>
      </w:pPr>
      <w:r>
        <w:rPr>
          <w:rFonts w:hint="eastAsia" w:ascii="Times New Roman" w:hAnsi="Times New Roman" w:eastAsia="仿宋" w:cs="Times New Roman"/>
          <w:sz w:val="24"/>
          <w:szCs w:val="24"/>
          <w:highlight w:val="none"/>
          <w:lang w:val="en-US" w:eastAsia="zh-CN"/>
        </w:rPr>
        <w:t>11</w:t>
      </w:r>
      <w:r>
        <w:rPr>
          <w:rFonts w:hint="default" w:ascii="Times New Roman" w:hAnsi="Times New Roman" w:eastAsia="仿宋" w:cs="Times New Roman"/>
          <w:sz w:val="24"/>
          <w:szCs w:val="24"/>
          <w:highlight w:val="none"/>
          <w:lang w:eastAsia="zh-CN"/>
        </w:rPr>
        <w:t xml:space="preserve">. </w:t>
      </w:r>
      <w:r>
        <w:rPr>
          <w:rFonts w:ascii="Times New Roman" w:hAnsi="Times New Roman" w:eastAsia="仿宋" w:cs="Times New Roman"/>
          <w:sz w:val="24"/>
          <w:szCs w:val="24"/>
          <w:highlight w:val="none"/>
          <w:lang w:eastAsia="zh-CN"/>
        </w:rPr>
        <w:t>其他：</w:t>
      </w:r>
      <w:r>
        <w:rPr>
          <w:rFonts w:ascii="Times New Roman" w:hAnsi="Times New Roman" w:eastAsia="仿宋" w:cs="Times New Roman"/>
          <w:sz w:val="24"/>
          <w:szCs w:val="24"/>
          <w:highlight w:val="none"/>
          <w:u w:val="single"/>
          <w:lang w:eastAsia="zh-CN"/>
        </w:rPr>
        <w:t>按照有关法律、法规、规章规定。</w:t>
      </w:r>
    </w:p>
    <w:p w14:paraId="394B25BE">
      <w:pPr>
        <w:shd w:val="clear"/>
        <w:spacing w:line="324" w:lineRule="auto"/>
        <w:ind w:firstLine="480" w:firstLineChars="200"/>
        <w:rPr>
          <w:rFonts w:ascii="Times New Roman" w:hAnsi="Times New Roman" w:eastAsia="仿宋" w:cs="Times New Roman"/>
          <w:sz w:val="24"/>
          <w:szCs w:val="24"/>
          <w:highlight w:val="none"/>
          <w:lang w:eastAsia="zh-CN"/>
        </w:rPr>
      </w:pPr>
    </w:p>
    <w:p w14:paraId="7702DB0D">
      <w:pPr>
        <w:shd w:val="clear"/>
        <w:spacing w:line="324" w:lineRule="auto"/>
        <w:ind w:left="48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 xml:space="preserve">3． </w:t>
      </w:r>
      <w:r>
        <w:rPr>
          <w:rFonts w:hint="default" w:ascii="Times New Roman" w:hAnsi="Times New Roman" w:eastAsia="仿宋" w:cs="Times New Roman"/>
          <w:b/>
          <w:bCs/>
          <w:sz w:val="24"/>
          <w:szCs w:val="24"/>
          <w:highlight w:val="none"/>
          <w:lang w:eastAsia="zh-CN"/>
        </w:rPr>
        <w:t>质量保修责任</w:t>
      </w:r>
    </w:p>
    <w:p w14:paraId="21EE325A">
      <w:pPr>
        <w:shd w:val="clear"/>
        <w:spacing w:line="324" w:lineRule="auto"/>
        <w:ind w:firstLine="480" w:firstLineChars="200"/>
        <w:rPr>
          <w:rFonts w:ascii="Times New Roman" w:hAnsi="Times New Roman" w:eastAsia="仿宋" w:cs="Times New Roman"/>
          <w:sz w:val="24"/>
          <w:szCs w:val="24"/>
          <w:highlight w:val="none"/>
          <w:lang w:eastAsia="zh-CN"/>
        </w:rPr>
      </w:pPr>
    </w:p>
    <w:p w14:paraId="233F0F27">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 xml:space="preserve">3.1  </w:t>
      </w:r>
      <w:r>
        <w:rPr>
          <w:rFonts w:hint="default" w:ascii="Times New Roman" w:hAnsi="Times New Roman" w:eastAsia="仿宋" w:cs="Times New Roman"/>
          <w:sz w:val="24"/>
          <w:szCs w:val="24"/>
          <w:highlight w:val="none"/>
          <w:lang w:val="zh-CN" w:eastAsia="zh-CN"/>
        </w:rPr>
        <w:t>属于保修范围的项目，承包人应在接到发包人通知后的</w:t>
      </w:r>
      <w:r>
        <w:rPr>
          <w:rFonts w:hint="default" w:ascii="Times New Roman" w:hAnsi="Times New Roman" w:eastAsia="仿宋" w:cs="Times New Roman"/>
          <w:sz w:val="24"/>
          <w:szCs w:val="24"/>
          <w:highlight w:val="none"/>
          <w:lang w:eastAsia="zh-CN"/>
        </w:rPr>
        <w:t>24小时</w:t>
      </w:r>
      <w:r>
        <w:rPr>
          <w:rFonts w:hint="default" w:ascii="Times New Roman" w:hAnsi="Times New Roman" w:eastAsia="仿宋" w:cs="Times New Roman"/>
          <w:sz w:val="24"/>
          <w:szCs w:val="24"/>
          <w:highlight w:val="none"/>
          <w:lang w:val="zh-CN" w:eastAsia="zh-CN"/>
        </w:rPr>
        <w:t>内派人保修。承包人未能在规定时间内派人保修的，发包人可自行或委托第三方保修，</w:t>
      </w:r>
      <w:r>
        <w:rPr>
          <w:rFonts w:ascii="Times New Roman" w:hAnsi="Times New Roman" w:eastAsia="仿宋" w:cs="Times New Roman"/>
          <w:sz w:val="24"/>
          <w:szCs w:val="24"/>
          <w:highlight w:val="none"/>
          <w:lang w:val="zh-CN" w:eastAsia="zh-CN"/>
        </w:rPr>
        <w:t>保修费用从质量保修金中扣除</w:t>
      </w:r>
      <w:r>
        <w:rPr>
          <w:rFonts w:ascii="Times New Roman" w:hAnsi="Times New Roman" w:eastAsia="仿宋" w:cs="Times New Roman"/>
          <w:sz w:val="24"/>
          <w:szCs w:val="24"/>
          <w:highlight w:val="none"/>
          <w:lang w:eastAsia="zh-CN"/>
        </w:rPr>
        <w:t>。</w:t>
      </w:r>
    </w:p>
    <w:p w14:paraId="48D80F4D">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 xml:space="preserve">3.2  </w:t>
      </w:r>
      <w:r>
        <w:rPr>
          <w:rFonts w:hint="default" w:ascii="Times New Roman" w:hAnsi="Times New Roman" w:eastAsia="仿宋" w:cs="Times New Roman"/>
          <w:sz w:val="24"/>
          <w:szCs w:val="24"/>
          <w:highlight w:val="none"/>
          <w:lang w:eastAsia="zh-CN"/>
        </w:rPr>
        <w:t>发生紧急抢修事故的，承包人在接到通知后，应立即到达事故现场抢修。</w:t>
      </w:r>
      <w:r>
        <w:rPr>
          <w:rFonts w:ascii="Times New Roman" w:hAnsi="Times New Roman" w:eastAsia="仿宋" w:cs="Times New Roman"/>
          <w:sz w:val="24"/>
          <w:szCs w:val="24"/>
          <w:highlight w:val="none"/>
          <w:lang w:eastAsia="zh-CN"/>
        </w:rPr>
        <w:t>保修通知可以口头或书面的方式发出。如以口头方式发出的，承包人应当如实记录通知时间和内容，并在到达现场保修时由发包人签字确认。书面方式包括但不限于电子邮件、传真、信函等方式。</w:t>
      </w:r>
    </w:p>
    <w:p w14:paraId="0507D480">
      <w:pPr>
        <w:shd w:val="clear"/>
        <w:spacing w:line="324"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 xml:space="preserve">3.3 </w:t>
      </w:r>
      <w:r>
        <w:rPr>
          <w:rFonts w:hint="default" w:ascii="Times New Roman" w:hAnsi="Times New Roman" w:eastAsia="仿宋" w:cs="Times New Roman"/>
          <w:sz w:val="24"/>
          <w:szCs w:val="24"/>
          <w:highlight w:val="none"/>
          <w:lang w:eastAsia="zh-CN"/>
        </w:rPr>
        <w:t>在国家规定的工程合理使用期限内，承包人应确保地基基础工程和主体结构的质量和安全。凡出现其质量问题，应立即报告当地建设行政主管部门，由承包人或具有相应资质等级的设计单位提出保修方案后，承包人应立即实施保修。</w:t>
      </w:r>
    </w:p>
    <w:p w14:paraId="116B2F6E">
      <w:pPr>
        <w:shd w:val="clear"/>
        <w:spacing w:line="360" w:lineRule="auto"/>
        <w:ind w:firstLine="480" w:firstLineChars="200"/>
        <w:rPr>
          <w:rFonts w:ascii="Times New Roman" w:hAnsi="Times New Roman" w:eastAsia="仿宋" w:cs="Times New Roman"/>
          <w:sz w:val="24"/>
          <w:szCs w:val="24"/>
          <w:highlight w:val="none"/>
          <w:lang w:eastAsia="zh-CN"/>
        </w:rPr>
      </w:pPr>
      <w:r>
        <w:rPr>
          <w:rFonts w:ascii="Times New Roman" w:hAnsi="Times New Roman" w:eastAsia="仿宋" w:cs="Times New Roman"/>
          <w:sz w:val="24"/>
          <w:szCs w:val="24"/>
          <w:highlight w:val="none"/>
          <w:lang w:eastAsia="zh-CN"/>
        </w:rPr>
        <w:t xml:space="preserve">3.4 </w:t>
      </w:r>
      <w:r>
        <w:rPr>
          <w:rFonts w:hint="default" w:ascii="Times New Roman" w:hAnsi="Times New Roman" w:eastAsia="仿宋" w:cs="Times New Roman"/>
          <w:sz w:val="24"/>
          <w:szCs w:val="24"/>
          <w:highlight w:val="none"/>
          <w:lang w:eastAsia="zh-CN"/>
        </w:rPr>
        <w:t>质量保修完成后，由发包人组织验收。</w:t>
      </w:r>
    </w:p>
    <w:p w14:paraId="79E240F0">
      <w:pPr>
        <w:shd w:val="clear"/>
        <w:spacing w:line="324" w:lineRule="auto"/>
        <w:ind w:firstLine="480" w:firstLineChars="200"/>
        <w:rPr>
          <w:rFonts w:ascii="Times New Roman" w:hAnsi="Times New Roman" w:eastAsia="仿宋" w:cs="Times New Roman"/>
          <w:sz w:val="24"/>
          <w:szCs w:val="24"/>
          <w:highlight w:val="none"/>
          <w:lang w:eastAsia="zh-CN"/>
        </w:rPr>
      </w:pPr>
    </w:p>
    <w:p w14:paraId="1B61DD7A">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4．</w:t>
      </w:r>
      <w:r>
        <w:rPr>
          <w:rFonts w:hint="default" w:ascii="Times New Roman" w:hAnsi="Times New Roman" w:eastAsia="仿宋" w:cs="Times New Roman"/>
          <w:b/>
          <w:bCs/>
          <w:sz w:val="24"/>
          <w:szCs w:val="24"/>
          <w:highlight w:val="none"/>
          <w:lang w:eastAsia="zh-CN"/>
        </w:rPr>
        <w:t>质量保证金</w:t>
      </w:r>
    </w:p>
    <w:p w14:paraId="2027CC78">
      <w:pPr>
        <w:shd w:val="clear"/>
        <w:spacing w:line="324" w:lineRule="auto"/>
        <w:ind w:firstLine="480" w:firstLineChars="200"/>
        <w:rPr>
          <w:rFonts w:ascii="Times New Roman" w:hAnsi="Times New Roman" w:eastAsia="仿宋" w:cs="Times New Roman"/>
          <w:sz w:val="24"/>
          <w:szCs w:val="24"/>
          <w:highlight w:val="none"/>
          <w:lang w:eastAsia="zh-CN"/>
        </w:rPr>
      </w:pPr>
    </w:p>
    <w:p w14:paraId="043AC773">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val="zh-CN" w:eastAsia="zh-CN"/>
        </w:rPr>
        <w:t>质量保证金的约定、支付和使用</w:t>
      </w:r>
      <w:r>
        <w:rPr>
          <w:rFonts w:hint="eastAsia" w:ascii="Times New Roman" w:hAnsi="Times New Roman" w:eastAsia="仿宋" w:cs="Times New Roman"/>
          <w:sz w:val="24"/>
          <w:szCs w:val="24"/>
          <w:highlight w:val="none"/>
          <w:lang w:val="en-US" w:eastAsia="zh-CN"/>
        </w:rPr>
        <w:t>参考</w:t>
      </w:r>
      <w:r>
        <w:rPr>
          <w:rFonts w:hint="default" w:ascii="Times New Roman" w:hAnsi="Times New Roman" w:eastAsia="仿宋" w:cs="Times New Roman"/>
          <w:sz w:val="24"/>
          <w:szCs w:val="24"/>
          <w:highlight w:val="none"/>
          <w:lang w:val="zh-CN" w:eastAsia="zh-CN"/>
        </w:rPr>
        <w:t>合同</w:t>
      </w:r>
      <w:r>
        <w:rPr>
          <w:rFonts w:hint="eastAsia" w:ascii="Times New Roman" w:hAnsi="Times New Roman" w:eastAsia="仿宋" w:cs="Times New Roman"/>
          <w:sz w:val="24"/>
          <w:szCs w:val="24"/>
          <w:highlight w:val="none"/>
          <w:lang w:val="en-US" w:eastAsia="zh-CN"/>
        </w:rPr>
        <w:t>专用条款</w:t>
      </w:r>
      <w:r>
        <w:rPr>
          <w:rFonts w:hint="default" w:ascii="Times New Roman" w:hAnsi="Times New Roman" w:eastAsia="仿宋"/>
          <w:sz w:val="24"/>
          <w:szCs w:val="24"/>
          <w:highlight w:val="none"/>
          <w:lang w:val="zh-CN"/>
        </w:rPr>
        <w:t>30.2</w:t>
      </w:r>
      <w:r>
        <w:rPr>
          <w:rFonts w:hint="eastAsia" w:ascii="Times New Roman" w:hAnsi="Times New Roman" w:eastAsia="仿宋"/>
          <w:sz w:val="24"/>
          <w:szCs w:val="24"/>
          <w:highlight w:val="none"/>
          <w:lang w:val="en-US" w:eastAsia="zh-CN"/>
        </w:rPr>
        <w:t>款（4）点</w:t>
      </w:r>
      <w:r>
        <w:rPr>
          <w:rFonts w:hint="eastAsia" w:ascii="Times New Roman" w:hAnsi="Times New Roman" w:eastAsia="仿宋" w:cs="Times New Roman"/>
          <w:sz w:val="24"/>
          <w:szCs w:val="24"/>
          <w:highlight w:val="none"/>
          <w:lang w:val="en-US" w:eastAsia="zh-CN"/>
        </w:rPr>
        <w:t>执行</w:t>
      </w:r>
      <w:r>
        <w:rPr>
          <w:rFonts w:hint="default" w:ascii="Times New Roman" w:hAnsi="Times New Roman" w:eastAsia="仿宋" w:cs="Times New Roman"/>
          <w:sz w:val="24"/>
          <w:szCs w:val="24"/>
          <w:highlight w:val="none"/>
          <w:lang w:eastAsia="zh-CN"/>
        </w:rPr>
        <w:t>。</w:t>
      </w:r>
    </w:p>
    <w:p w14:paraId="5F9E475D">
      <w:pPr>
        <w:shd w:val="clear"/>
        <w:spacing w:line="324" w:lineRule="auto"/>
        <w:ind w:firstLine="480" w:firstLineChars="200"/>
        <w:rPr>
          <w:rFonts w:ascii="Times New Roman" w:hAnsi="Times New Roman" w:eastAsia="仿宋" w:cs="Times New Roman"/>
          <w:sz w:val="24"/>
          <w:szCs w:val="24"/>
          <w:highlight w:val="none"/>
          <w:lang w:eastAsia="zh-CN"/>
        </w:rPr>
      </w:pPr>
    </w:p>
    <w:p w14:paraId="674DC7B9">
      <w:pPr>
        <w:shd w:val="clear"/>
        <w:spacing w:line="324" w:lineRule="auto"/>
        <w:ind w:left="48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5．</w:t>
      </w:r>
      <w:r>
        <w:rPr>
          <w:rFonts w:hint="default" w:ascii="Times New Roman" w:hAnsi="Times New Roman" w:eastAsia="仿宋" w:cs="Times New Roman"/>
          <w:b/>
          <w:bCs/>
          <w:sz w:val="24"/>
          <w:szCs w:val="24"/>
          <w:highlight w:val="none"/>
          <w:lang w:eastAsia="zh-CN"/>
        </w:rPr>
        <w:t>其他</w:t>
      </w:r>
    </w:p>
    <w:p w14:paraId="0F102E5C">
      <w:pPr>
        <w:shd w:val="clear"/>
        <w:spacing w:line="324" w:lineRule="auto"/>
        <w:ind w:firstLine="480" w:firstLineChars="200"/>
        <w:rPr>
          <w:rFonts w:ascii="Times New Roman" w:hAnsi="Times New Roman" w:eastAsia="仿宋" w:cs="Times New Roman"/>
          <w:sz w:val="24"/>
          <w:szCs w:val="24"/>
          <w:highlight w:val="none"/>
          <w:lang w:eastAsia="zh-CN"/>
        </w:rPr>
      </w:pPr>
    </w:p>
    <w:p w14:paraId="52F48069">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 xml:space="preserve">5.1  </w:t>
      </w:r>
      <w:r>
        <w:rPr>
          <w:rFonts w:hint="default" w:ascii="Times New Roman" w:hAnsi="Times New Roman" w:eastAsia="仿宋" w:cs="Times New Roman"/>
          <w:sz w:val="24"/>
          <w:szCs w:val="24"/>
          <w:highlight w:val="none"/>
          <w:lang w:val="zh-CN" w:eastAsia="zh-CN"/>
        </w:rPr>
        <w:t>合同双方当事人约定的其他质量保修事</w:t>
      </w:r>
      <w:r>
        <w:rPr>
          <w:rFonts w:hint="default" w:ascii="Times New Roman" w:hAnsi="Times New Roman" w:eastAsia="仿宋" w:cs="Times New Roman"/>
          <w:sz w:val="24"/>
          <w:szCs w:val="24"/>
          <w:highlight w:val="none"/>
          <w:lang w:eastAsia="zh-CN"/>
        </w:rPr>
        <w:t>项：</w:t>
      </w:r>
      <w:r>
        <w:rPr>
          <w:rFonts w:hint="default" w:ascii="Times New Roman" w:hAnsi="Times New Roman" w:eastAsia="仿宋" w:cs="Times New Roman"/>
          <w:sz w:val="24"/>
          <w:szCs w:val="24"/>
          <w:highlight w:val="none"/>
          <w:u w:val="single"/>
          <w:lang w:eastAsia="zh-CN"/>
        </w:rPr>
        <w:t xml:space="preserve">  /  </w:t>
      </w:r>
      <w:r>
        <w:rPr>
          <w:rFonts w:ascii="Times New Roman" w:hAnsi="Times New Roman" w:eastAsia="仿宋" w:cs="Times New Roman"/>
          <w:sz w:val="24"/>
          <w:szCs w:val="24"/>
          <w:highlight w:val="none"/>
          <w:u w:val="single"/>
          <w:lang w:eastAsia="zh-CN"/>
        </w:rPr>
        <w:t>。</w:t>
      </w:r>
    </w:p>
    <w:p w14:paraId="5BF2A397">
      <w:pPr>
        <w:shd w:val="clear"/>
        <w:spacing w:line="324" w:lineRule="auto"/>
        <w:ind w:firstLine="480" w:firstLineChars="200"/>
        <w:rPr>
          <w:rFonts w:ascii="Times New Roman" w:hAnsi="Times New Roman" w:eastAsia="仿宋" w:cs="Times New Roman"/>
          <w:sz w:val="24"/>
          <w:szCs w:val="24"/>
          <w:highlight w:val="none"/>
          <w:lang w:eastAsia="zh-CN"/>
        </w:rPr>
      </w:pPr>
    </w:p>
    <w:p w14:paraId="3AFF0AB9">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 xml:space="preserve">5.2  </w:t>
      </w:r>
      <w:r>
        <w:rPr>
          <w:rFonts w:hint="default" w:ascii="Times New Roman" w:hAnsi="Times New Roman" w:eastAsia="仿宋" w:cs="Times New Roman"/>
          <w:sz w:val="24"/>
          <w:szCs w:val="24"/>
          <w:highlight w:val="none"/>
          <w:lang w:val="zh-CN" w:eastAsia="zh-CN"/>
        </w:rPr>
        <w:t>本质量保修书，由合同双方当事人在承包人向发包人提交竣工验收申请报告时签署，作为本合同的附件</w:t>
      </w:r>
      <w:r>
        <w:rPr>
          <w:rFonts w:hint="default" w:ascii="Times New Roman" w:hAnsi="Times New Roman" w:eastAsia="仿宋" w:cs="Times New Roman"/>
          <w:sz w:val="24"/>
          <w:szCs w:val="24"/>
          <w:highlight w:val="none"/>
          <w:lang w:eastAsia="zh-CN"/>
        </w:rPr>
        <w:t>。</w:t>
      </w:r>
    </w:p>
    <w:p w14:paraId="3B6A5D21">
      <w:pPr>
        <w:shd w:val="clear"/>
        <w:spacing w:line="324" w:lineRule="auto"/>
        <w:ind w:firstLine="480" w:firstLineChars="200"/>
        <w:rPr>
          <w:rFonts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 xml:space="preserve">5.3  </w:t>
      </w:r>
      <w:r>
        <w:rPr>
          <w:rFonts w:hint="default" w:ascii="Times New Roman" w:hAnsi="Times New Roman" w:eastAsia="仿宋" w:cs="Times New Roman"/>
          <w:sz w:val="24"/>
          <w:szCs w:val="24"/>
          <w:highlight w:val="none"/>
          <w:lang w:val="zh-CN" w:eastAsia="zh-CN"/>
        </w:rPr>
        <w:t>本质量保修书，自合同双方当事人签署之日起生效，至质量保修期满后失效。</w:t>
      </w:r>
    </w:p>
    <w:p w14:paraId="6717810D">
      <w:pPr>
        <w:shd w:val="clear"/>
        <w:adjustRightInd w:val="0"/>
        <w:snapToGrid w:val="0"/>
        <w:spacing w:line="360" w:lineRule="auto"/>
        <w:ind w:firstLine="480" w:firstLineChars="200"/>
        <w:rPr>
          <w:rFonts w:hint="eastAsia"/>
          <w:highlight w:val="none"/>
        </w:rPr>
      </w:pPr>
      <w:r>
        <w:rPr>
          <w:rFonts w:hint="eastAsia" w:ascii="仿宋" w:hAnsi="仿宋" w:eastAsia="仿宋" w:cs="仿宋"/>
          <w:color w:val="auto"/>
          <w:sz w:val="24"/>
          <w:highlight w:val="none"/>
        </w:rPr>
        <w:t>（以下无合同正文）</w:t>
      </w:r>
    </w:p>
    <w:tbl>
      <w:tblPr>
        <w:tblStyle w:val="24"/>
        <w:tblpPr w:leftFromText="180" w:rightFromText="180" w:vertAnchor="text" w:horzAnchor="page" w:tblpX="1395" w:tblpY="1015"/>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6"/>
        <w:gridCol w:w="728"/>
        <w:gridCol w:w="4576"/>
      </w:tblGrid>
      <w:tr w14:paraId="41FA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4356" w:type="dxa"/>
            <w:tcBorders>
              <w:tl2br w:val="nil"/>
              <w:tr2bl w:val="nil"/>
            </w:tcBorders>
            <w:vAlign w:val="center"/>
          </w:tcPr>
          <w:p w14:paraId="0BA1D2B9">
            <w:pPr>
              <w:pStyle w:val="3"/>
              <w:shd w:val="clear"/>
              <w:spacing w:before="0" w:after="0" w:line="240" w:lineRule="exact"/>
              <w:ind w:firstLine="0" w:firstLineChars="0"/>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发包人：</w:t>
            </w:r>
            <w:r>
              <w:rPr>
                <w:rFonts w:hint="eastAsia" w:ascii="仿宋" w:hAnsi="仿宋" w:eastAsia="仿宋" w:cs="仿宋"/>
                <w:color w:val="auto"/>
                <w:sz w:val="24"/>
                <w:highlight w:val="none"/>
                <w:u w:val="single"/>
              </w:rPr>
              <w:t>广州白云湖投资发展有限公司</w:t>
            </w:r>
          </w:p>
        </w:tc>
        <w:tc>
          <w:tcPr>
            <w:tcW w:w="728" w:type="dxa"/>
            <w:tcBorders>
              <w:tl2br w:val="nil"/>
              <w:tr2bl w:val="nil"/>
            </w:tcBorders>
            <w:vAlign w:val="center"/>
          </w:tcPr>
          <w:p w14:paraId="14A7F4CE">
            <w:pPr>
              <w:pStyle w:val="3"/>
              <w:shd w:val="clear"/>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5F5AA4DD">
            <w:pPr>
              <w:pStyle w:val="3"/>
              <w:shd w:val="clear"/>
              <w:spacing w:before="0" w:after="0" w:line="240" w:lineRule="exact"/>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承包人：</w:t>
            </w:r>
          </w:p>
          <w:p w14:paraId="26E90A66">
            <w:pPr>
              <w:pStyle w:val="3"/>
              <w:shd w:val="clear"/>
              <w:spacing w:before="0" w:after="0" w:line="240" w:lineRule="exact"/>
              <w:rPr>
                <w:rFonts w:hint="eastAsia" w:ascii="仿宋" w:hAnsi="仿宋" w:eastAsia="仿宋" w:cs="仿宋"/>
                <w:b w:val="0"/>
                <w:bCs w:val="0"/>
                <w:color w:val="auto"/>
                <w:sz w:val="24"/>
                <w:szCs w:val="20"/>
                <w:highlight w:val="none"/>
                <w:vertAlign w:val="baseline"/>
                <w:lang w:eastAsia="zh-CN"/>
              </w:rPr>
            </w:pPr>
            <w:r>
              <w:rPr>
                <w:rFonts w:hint="eastAsia" w:ascii="仿宋" w:hAnsi="仿宋" w:eastAsia="仿宋" w:cs="仿宋"/>
                <w:b w:val="0"/>
                <w:bCs w:val="0"/>
                <w:color w:val="auto"/>
                <w:sz w:val="24"/>
                <w:szCs w:val="20"/>
                <w:highlight w:val="none"/>
                <w:lang w:eastAsia="zh-CN"/>
              </w:rPr>
              <w:t xml:space="preserve"> </w:t>
            </w:r>
          </w:p>
        </w:tc>
      </w:tr>
      <w:tr w14:paraId="379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4356" w:type="dxa"/>
            <w:tcBorders>
              <w:tl2br w:val="nil"/>
              <w:tr2bl w:val="nil"/>
            </w:tcBorders>
            <w:vAlign w:val="center"/>
          </w:tcPr>
          <w:p w14:paraId="2AFCEAF4">
            <w:pPr>
              <w:pStyle w:val="3"/>
              <w:shd w:val="clear"/>
              <w:spacing w:before="0" w:after="0" w:line="240" w:lineRule="exact"/>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法定代表人</w:t>
            </w:r>
          </w:p>
          <w:p w14:paraId="0C78DBF1">
            <w:pPr>
              <w:pStyle w:val="3"/>
              <w:shd w:val="clear"/>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lang w:val="en-US" w:eastAsia="zh-CN"/>
              </w:rPr>
              <w:t>授权委托人</w:t>
            </w:r>
            <w:r>
              <w:rPr>
                <w:rFonts w:hint="eastAsia" w:ascii="仿宋" w:hAnsi="仿宋" w:eastAsia="仿宋" w:cs="仿宋"/>
                <w:b w:val="0"/>
                <w:bCs w:val="0"/>
                <w:color w:val="auto"/>
                <w:sz w:val="24"/>
                <w:szCs w:val="20"/>
                <w:highlight w:val="none"/>
              </w:rPr>
              <w:t xml:space="preserve">： </w:t>
            </w:r>
          </w:p>
        </w:tc>
        <w:tc>
          <w:tcPr>
            <w:tcW w:w="728" w:type="dxa"/>
            <w:tcBorders>
              <w:tl2br w:val="nil"/>
              <w:tr2bl w:val="nil"/>
            </w:tcBorders>
            <w:vAlign w:val="center"/>
          </w:tcPr>
          <w:p w14:paraId="2FD96FB7">
            <w:pPr>
              <w:pStyle w:val="3"/>
              <w:shd w:val="clear"/>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772C6950">
            <w:pPr>
              <w:pStyle w:val="3"/>
              <w:shd w:val="clear"/>
              <w:spacing w:before="0" w:after="0" w:line="240" w:lineRule="exact"/>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法定代表人</w:t>
            </w:r>
          </w:p>
          <w:p w14:paraId="6519FDB7">
            <w:pPr>
              <w:pStyle w:val="3"/>
              <w:shd w:val="clear"/>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lang w:val="en-US" w:eastAsia="zh-CN"/>
              </w:rPr>
              <w:t>或授权委托人</w:t>
            </w:r>
            <w:r>
              <w:rPr>
                <w:rFonts w:hint="eastAsia" w:ascii="仿宋" w:hAnsi="仿宋" w:eastAsia="仿宋" w:cs="仿宋"/>
                <w:b w:val="0"/>
                <w:bCs w:val="0"/>
                <w:color w:val="auto"/>
                <w:sz w:val="24"/>
                <w:szCs w:val="20"/>
                <w:highlight w:val="none"/>
              </w:rPr>
              <w:t xml:space="preserve">： </w:t>
            </w:r>
          </w:p>
        </w:tc>
      </w:tr>
      <w:tr w14:paraId="7AF2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6" w:type="dxa"/>
            <w:tcBorders>
              <w:tl2br w:val="nil"/>
              <w:tr2bl w:val="nil"/>
            </w:tcBorders>
            <w:vAlign w:val="center"/>
          </w:tcPr>
          <w:p w14:paraId="6F859FE2">
            <w:pPr>
              <w:pStyle w:val="3"/>
              <w:shd w:val="clear"/>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联系电话：</w:t>
            </w:r>
          </w:p>
        </w:tc>
        <w:tc>
          <w:tcPr>
            <w:tcW w:w="728" w:type="dxa"/>
            <w:tcBorders>
              <w:tl2br w:val="nil"/>
              <w:tr2bl w:val="nil"/>
            </w:tcBorders>
            <w:vAlign w:val="center"/>
          </w:tcPr>
          <w:p w14:paraId="45111B52">
            <w:pPr>
              <w:pStyle w:val="3"/>
              <w:shd w:val="clear"/>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61908083">
            <w:pPr>
              <w:pStyle w:val="3"/>
              <w:shd w:val="clear"/>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联系电话：</w:t>
            </w:r>
          </w:p>
        </w:tc>
      </w:tr>
      <w:tr w14:paraId="0CDD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6" w:type="dxa"/>
            <w:tcBorders>
              <w:tl2br w:val="nil"/>
              <w:tr2bl w:val="nil"/>
            </w:tcBorders>
            <w:vAlign w:val="center"/>
          </w:tcPr>
          <w:p w14:paraId="4956EB68">
            <w:pPr>
              <w:pStyle w:val="3"/>
              <w:shd w:val="clear"/>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 xml:space="preserve">   年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月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 日</w:t>
            </w:r>
          </w:p>
        </w:tc>
        <w:tc>
          <w:tcPr>
            <w:tcW w:w="728" w:type="dxa"/>
            <w:tcBorders>
              <w:tl2br w:val="nil"/>
              <w:tr2bl w:val="nil"/>
            </w:tcBorders>
            <w:vAlign w:val="center"/>
          </w:tcPr>
          <w:p w14:paraId="35694FF1">
            <w:pPr>
              <w:pStyle w:val="3"/>
              <w:shd w:val="clear"/>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6053A64C">
            <w:pPr>
              <w:pStyle w:val="3"/>
              <w:shd w:val="clear"/>
              <w:spacing w:before="0" w:after="0" w:line="240" w:lineRule="exact"/>
              <w:rPr>
                <w:rFonts w:hint="eastAsia" w:ascii="仿宋" w:hAnsi="仿宋" w:eastAsia="仿宋" w:cs="仿宋"/>
                <w:b w:val="0"/>
                <w:bCs w:val="0"/>
                <w:color w:val="auto"/>
                <w:sz w:val="24"/>
                <w:szCs w:val="20"/>
                <w:highlight w:val="none"/>
                <w:vertAlign w:val="baseline"/>
              </w:rPr>
            </w:pPr>
            <w:r>
              <w:rPr>
                <w:rFonts w:hint="eastAsia" w:ascii="仿宋" w:hAnsi="仿宋" w:eastAsia="仿宋" w:cs="仿宋"/>
                <w:b w:val="0"/>
                <w:bCs w:val="0"/>
                <w:color w:val="auto"/>
                <w:sz w:val="24"/>
                <w:szCs w:val="20"/>
                <w:highlight w:val="none"/>
              </w:rPr>
              <w:t xml:space="preserve">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 年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 xml:space="preserve"> 月  </w:t>
            </w:r>
            <w:r>
              <w:rPr>
                <w:rFonts w:hint="eastAsia" w:ascii="仿宋" w:hAnsi="仿宋" w:eastAsia="仿宋" w:cs="仿宋"/>
                <w:b w:val="0"/>
                <w:bCs w:val="0"/>
                <w:color w:val="auto"/>
                <w:sz w:val="24"/>
                <w:szCs w:val="20"/>
                <w:highlight w:val="none"/>
                <w:lang w:val="en-US" w:eastAsia="zh-CN"/>
              </w:rPr>
              <w:t xml:space="preserve"> </w:t>
            </w:r>
            <w:r>
              <w:rPr>
                <w:rFonts w:hint="eastAsia" w:ascii="仿宋" w:hAnsi="仿宋" w:eastAsia="仿宋" w:cs="仿宋"/>
                <w:b w:val="0"/>
                <w:bCs w:val="0"/>
                <w:color w:val="auto"/>
                <w:sz w:val="24"/>
                <w:szCs w:val="20"/>
                <w:highlight w:val="none"/>
              </w:rPr>
              <w:t>日</w:t>
            </w:r>
          </w:p>
        </w:tc>
      </w:tr>
      <w:tr w14:paraId="0D48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56" w:type="dxa"/>
            <w:tcBorders>
              <w:tl2br w:val="nil"/>
              <w:tr2bl w:val="nil"/>
            </w:tcBorders>
            <w:vAlign w:val="center"/>
          </w:tcPr>
          <w:p w14:paraId="1F01125E">
            <w:pPr>
              <w:pStyle w:val="3"/>
              <w:shd w:val="clear"/>
              <w:spacing w:before="0" w:after="0" w:line="240" w:lineRule="exact"/>
              <w:rPr>
                <w:rFonts w:hint="eastAsia" w:ascii="仿宋" w:hAnsi="仿宋" w:eastAsia="仿宋" w:cs="仿宋"/>
                <w:b w:val="0"/>
                <w:bCs w:val="0"/>
                <w:color w:val="auto"/>
                <w:sz w:val="24"/>
                <w:szCs w:val="20"/>
                <w:highlight w:val="none"/>
              </w:rPr>
            </w:pPr>
          </w:p>
        </w:tc>
        <w:tc>
          <w:tcPr>
            <w:tcW w:w="728" w:type="dxa"/>
            <w:tcBorders>
              <w:tl2br w:val="nil"/>
              <w:tr2bl w:val="nil"/>
            </w:tcBorders>
            <w:vAlign w:val="center"/>
          </w:tcPr>
          <w:p w14:paraId="4CA7C7D7">
            <w:pPr>
              <w:pStyle w:val="3"/>
              <w:shd w:val="clear"/>
              <w:spacing w:before="0" w:after="0" w:line="240" w:lineRule="exact"/>
              <w:rPr>
                <w:rFonts w:hint="eastAsia" w:ascii="仿宋" w:hAnsi="仿宋" w:eastAsia="仿宋" w:cs="仿宋"/>
                <w:b w:val="0"/>
                <w:bCs w:val="0"/>
                <w:color w:val="auto"/>
                <w:sz w:val="24"/>
                <w:szCs w:val="20"/>
                <w:highlight w:val="none"/>
                <w:vertAlign w:val="baseline"/>
              </w:rPr>
            </w:pPr>
          </w:p>
        </w:tc>
        <w:tc>
          <w:tcPr>
            <w:tcW w:w="4576" w:type="dxa"/>
            <w:tcBorders>
              <w:tl2br w:val="nil"/>
              <w:tr2bl w:val="nil"/>
            </w:tcBorders>
            <w:vAlign w:val="center"/>
          </w:tcPr>
          <w:p w14:paraId="101E6039">
            <w:pPr>
              <w:pStyle w:val="3"/>
              <w:shd w:val="clear"/>
              <w:spacing w:before="0" w:after="0" w:line="240" w:lineRule="exact"/>
              <w:rPr>
                <w:rFonts w:hint="eastAsia" w:ascii="仿宋" w:hAnsi="仿宋" w:eastAsia="仿宋" w:cs="仿宋"/>
                <w:b w:val="0"/>
                <w:bCs w:val="0"/>
                <w:color w:val="auto"/>
                <w:sz w:val="24"/>
                <w:szCs w:val="20"/>
                <w:highlight w:val="none"/>
              </w:rPr>
            </w:pPr>
          </w:p>
        </w:tc>
      </w:tr>
    </w:tbl>
    <w:p w14:paraId="6856836E">
      <w:pPr>
        <w:shd w:val="clear"/>
        <w:rPr>
          <w:highlight w:val="none"/>
        </w:rPr>
      </w:pPr>
    </w:p>
    <w:p w14:paraId="6E74B5D9">
      <w:pPr>
        <w:shd w:val="clear"/>
        <w:spacing w:after="0"/>
        <w:rPr>
          <w:rFonts w:hint="eastAsia" w:ascii="仿宋" w:hAnsi="仿宋" w:eastAsia="仿宋" w:cs="仿宋"/>
          <w:color w:val="auto"/>
          <w:sz w:val="24"/>
          <w:highlight w:val="none"/>
        </w:rPr>
      </w:pPr>
      <w:bookmarkStart w:id="286" w:name="_Toc266892926"/>
      <w:bookmarkStart w:id="287" w:name="_Toc28386"/>
      <w:bookmarkStart w:id="288" w:name="_Toc82013104"/>
      <w:bookmarkStart w:id="289" w:name="_Toc83377307"/>
      <w:bookmarkStart w:id="290" w:name="_Toc22746"/>
      <w:r>
        <w:rPr>
          <w:rFonts w:hint="eastAsia" w:ascii="仿宋" w:hAnsi="仿宋" w:eastAsia="仿宋" w:cs="仿宋"/>
          <w:color w:val="auto"/>
          <w:sz w:val="24"/>
          <w:highlight w:val="none"/>
        </w:rPr>
        <w:br w:type="page"/>
      </w:r>
    </w:p>
    <w:p w14:paraId="1EE3A2CA">
      <w:pPr>
        <w:pStyle w:val="3"/>
        <w:numPr>
          <w:ilvl w:val="1"/>
          <w:numId w:val="0"/>
        </w:numPr>
        <w:shd w:val="clear"/>
        <w:spacing w:after="0"/>
        <w:rPr>
          <w:rFonts w:ascii="仿宋" w:hAnsi="仿宋" w:eastAsia="仿宋" w:cs="仿宋"/>
          <w:color w:val="auto"/>
          <w:sz w:val="24"/>
          <w:szCs w:val="24"/>
          <w:highlight w:val="none"/>
        </w:rPr>
      </w:pPr>
      <w:r>
        <w:rPr>
          <w:rFonts w:hint="eastAsia" w:ascii="仿宋" w:hAnsi="仿宋" w:eastAsia="仿宋" w:cs="仿宋"/>
          <w:color w:val="auto"/>
          <w:sz w:val="24"/>
          <w:highlight w:val="none"/>
        </w:rPr>
        <w:t>附件</w:t>
      </w:r>
      <w:bookmarkEnd w:id="286"/>
      <w:r>
        <w:rPr>
          <w:rFonts w:hint="eastAsia" w:ascii="仿宋" w:hAnsi="仿宋" w:eastAsia="仿宋" w:cs="仿宋"/>
          <w:color w:val="auto"/>
          <w:sz w:val="24"/>
          <w:highlight w:val="none"/>
        </w:rPr>
        <w:t>五：</w:t>
      </w:r>
      <w:r>
        <w:rPr>
          <w:rFonts w:hint="eastAsia" w:ascii="仿宋" w:hAnsi="仿宋" w:eastAsia="仿宋" w:cs="仿宋"/>
          <w:color w:val="auto"/>
          <w:sz w:val="24"/>
          <w:szCs w:val="24"/>
          <w:highlight w:val="none"/>
        </w:rPr>
        <w:t>廉政合同</w:t>
      </w:r>
      <w:bookmarkEnd w:id="287"/>
      <w:bookmarkEnd w:id="288"/>
      <w:bookmarkEnd w:id="289"/>
      <w:bookmarkEnd w:id="290"/>
    </w:p>
    <w:p w14:paraId="0EEEC960">
      <w:pPr>
        <w:shd w:val="clear"/>
        <w:spacing w:line="360" w:lineRule="auto"/>
        <w:ind w:firstLine="643" w:firstLineChars="200"/>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廉 政 合 同</w:t>
      </w:r>
    </w:p>
    <w:p w14:paraId="342D9252">
      <w:pPr>
        <w:shd w:val="clear"/>
        <w:spacing w:line="360" w:lineRule="auto"/>
        <w:ind w:firstLine="480" w:firstLineChars="200"/>
        <w:rPr>
          <w:rFonts w:ascii="仿宋" w:hAnsi="仿宋" w:eastAsia="仿宋" w:cs="仿宋"/>
          <w:color w:val="auto"/>
          <w:sz w:val="24"/>
          <w:highlight w:val="none"/>
        </w:rPr>
      </w:pPr>
    </w:p>
    <w:p w14:paraId="02093B18">
      <w:pPr>
        <w:shd w:val="clea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发包人：</w:t>
      </w:r>
      <w:r>
        <w:rPr>
          <w:rFonts w:hint="eastAsia" w:ascii="仿宋" w:hAnsi="仿宋" w:eastAsia="仿宋" w:cs="仿宋"/>
          <w:color w:val="auto"/>
          <w:sz w:val="24"/>
          <w:highlight w:val="none"/>
          <w:u w:val="single"/>
        </w:rPr>
        <w:t xml:space="preserve">  广州白云湖投资发展有限公司    </w:t>
      </w:r>
    </w:p>
    <w:p w14:paraId="1744D6D3">
      <w:pPr>
        <w:shd w:val="clea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承包人：（联合体主办方）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p w14:paraId="3E49A08A">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承包人：（联合体成员方）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rPr>
        <w:t xml:space="preserve">   </w:t>
      </w:r>
    </w:p>
    <w:p w14:paraId="69DCBDEC">
      <w:pPr>
        <w:shd w:val="clea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color w:val="auto"/>
          <w:sz w:val="24"/>
          <w:highlight w:val="none"/>
        </w:rPr>
        <w:t>。</w:t>
      </w:r>
    </w:p>
    <w:p w14:paraId="4D4C0A22">
      <w:pPr>
        <w:shd w:val="clear"/>
        <w:spacing w:line="360" w:lineRule="auto"/>
        <w:ind w:firstLine="562" w:firstLineChars="20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  双方权利和义务</w:t>
      </w:r>
    </w:p>
    <w:p w14:paraId="0EB4F9A8">
      <w:pPr>
        <w:shd w:val="clea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1.1  严格遵守国家、省有关法律法规的规定。</w:t>
      </w:r>
    </w:p>
    <w:p w14:paraId="6E234E2C">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  严格执行合同工程一切合同文件，自觉按合同办事。</w:t>
      </w:r>
    </w:p>
    <w:p w14:paraId="72667C98">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  </w:t>
      </w:r>
      <w:r>
        <w:rPr>
          <w:rFonts w:hint="eastAsia" w:ascii="仿宋" w:hAnsi="仿宋" w:eastAsia="仿宋" w:cs="仿宋"/>
          <w:color w:val="auto"/>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color w:val="auto"/>
          <w:sz w:val="24"/>
          <w:highlight w:val="none"/>
        </w:rPr>
        <w:t>。</w:t>
      </w:r>
    </w:p>
    <w:p w14:paraId="5323E3B5">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建立健全廉政制度，开展廉政教育，设立廉政告示牌，公布举报电话，监督并认真查处违法违纪行为。</w:t>
      </w:r>
    </w:p>
    <w:p w14:paraId="07EA9CB2">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  发现对方在业务活动中有违反廉政建设规定的行为，应及时给予提醒和纠正。</w:t>
      </w:r>
    </w:p>
    <w:p w14:paraId="75377AA5">
      <w:pPr>
        <w:shd w:val="clea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1.6  发现对方严重违反合同的行为，有向其上级部门举报、建议给予处理并要求告知处理结果的权利。没有上级部门的，</w:t>
      </w:r>
      <w:r>
        <w:rPr>
          <w:rFonts w:hint="eastAsia" w:ascii="仿宋" w:hAnsi="仿宋" w:eastAsia="仿宋" w:cs="仿宋"/>
          <w:color w:val="auto"/>
          <w:kern w:val="0"/>
          <w:sz w:val="24"/>
          <w:highlight w:val="none"/>
          <w:lang w:val="zh-CN"/>
        </w:rPr>
        <w:t>可按本合同第48条协商处理。</w:t>
      </w:r>
    </w:p>
    <w:p w14:paraId="079FA47E">
      <w:pPr>
        <w:shd w:val="clear"/>
        <w:spacing w:line="360" w:lineRule="auto"/>
        <w:ind w:firstLine="562" w:firstLineChars="200"/>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  发包人义务</w:t>
      </w:r>
    </w:p>
    <w:p w14:paraId="3DF2EEFC">
      <w:pPr>
        <w:shd w:val="clea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2.1  发包人及其工作人员不得索要或接受承包人的礼金、有价证券和贵重物品，不得在承包人报销任何应由发包人或工作人员个人支付的费用等。</w:t>
      </w:r>
    </w:p>
    <w:p w14:paraId="29BFAD61">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  发包人及其工作人员不得参加承包人安排的宴请（工作餐除外）和娱乐活动；不得接受承包人提供的通讯工具、交通工具和高档办公用品等。</w:t>
      </w:r>
    </w:p>
    <w:p w14:paraId="2AC83AEB">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  发包人及其工作人员不得要求或者接受承包人为其住房装修、婚丧嫁娶活动、配偶子女的工作安排以及出国出境、旅游等提供方便等。</w:t>
      </w:r>
    </w:p>
    <w:p w14:paraId="39F9F1D1">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2.4  </w:t>
      </w:r>
      <w:r>
        <w:rPr>
          <w:rFonts w:hint="eastAsia" w:ascii="仿宋" w:hAnsi="仿宋" w:eastAsia="仿宋" w:cs="仿宋"/>
          <w:color w:val="auto"/>
          <w:kern w:val="0"/>
          <w:sz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color w:val="auto"/>
          <w:sz w:val="24"/>
          <w:highlight w:val="none"/>
        </w:rPr>
        <w:t>。</w:t>
      </w:r>
    </w:p>
    <w:p w14:paraId="29AC9B3F">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2.5  </w:t>
      </w:r>
      <w:r>
        <w:rPr>
          <w:rFonts w:hint="eastAsia" w:ascii="仿宋" w:hAnsi="仿宋" w:eastAsia="仿宋" w:cs="仿宋"/>
          <w:color w:val="auto"/>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sz w:val="24"/>
          <w:highlight w:val="none"/>
        </w:rPr>
        <w:t>。</w:t>
      </w:r>
    </w:p>
    <w:p w14:paraId="7E94EB58">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2.6  </w:t>
      </w:r>
      <w:r>
        <w:rPr>
          <w:rFonts w:hint="eastAsia" w:ascii="仿宋" w:hAnsi="仿宋" w:eastAsia="仿宋" w:cs="仿宋"/>
          <w:color w:val="auto"/>
          <w:kern w:val="0"/>
          <w:sz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color w:val="auto"/>
          <w:sz w:val="24"/>
          <w:highlight w:val="none"/>
        </w:rPr>
        <w:t>。</w:t>
      </w:r>
    </w:p>
    <w:p w14:paraId="3528C76C">
      <w:pPr>
        <w:shd w:val="clea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  承包人义务</w:t>
      </w:r>
    </w:p>
    <w:p w14:paraId="10E84962">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  承包人不得以任何理由向发包人及其工作人员行贿或馈赠礼金、有价证券、贵重礼品。</w:t>
      </w:r>
    </w:p>
    <w:p w14:paraId="1D196289">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  承包人不得以任何名义为发包人及其工作人员报销应由发包人或工作人员个人支付的任何费用。</w:t>
      </w:r>
    </w:p>
    <w:p w14:paraId="36FE130E">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  承包人不得以任何理由安排发包人及其工作人员参加宴请（工作餐除外）及娱乐活动。</w:t>
      </w:r>
    </w:p>
    <w:p w14:paraId="155A11A2">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  承包人不得为发包人和个人购置或提供通讯工具、交通工具和高档办公用品等。</w:t>
      </w:r>
    </w:p>
    <w:p w14:paraId="62D98BE2">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3.5  </w:t>
      </w:r>
      <w:r>
        <w:rPr>
          <w:rFonts w:hint="eastAsia" w:ascii="仿宋" w:hAnsi="仿宋" w:eastAsia="仿宋" w:cs="仿宋"/>
          <w:color w:val="auto"/>
          <w:kern w:val="0"/>
          <w:sz w:val="24"/>
          <w:highlight w:val="none"/>
          <w:lang w:val="zh-CN"/>
        </w:rPr>
        <w:t>承包人不得为发包人及其工作人员的住房装修、婚丧嫁娶活动、配偶子女工作安排以及出国出境、旅游等提供方便。</w:t>
      </w:r>
    </w:p>
    <w:p w14:paraId="58CE5C83">
      <w:pPr>
        <w:shd w:val="clear"/>
        <w:tabs>
          <w:tab w:val="left" w:pos="900"/>
        </w:tabs>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  违约责任</w:t>
      </w:r>
    </w:p>
    <w:p w14:paraId="1AF54B1E">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14:paraId="3BB8F3C2">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4.2  </w:t>
      </w:r>
      <w:r>
        <w:rPr>
          <w:rFonts w:hint="eastAsia" w:ascii="仿宋" w:hAnsi="仿宋" w:eastAsia="仿宋" w:cs="仿宋"/>
          <w:color w:val="auto"/>
          <w:kern w:val="0"/>
          <w:sz w:val="24"/>
          <w:highlight w:val="none"/>
          <w:lang w:val="zh-CN"/>
        </w:rPr>
        <w:t>承包人及其工作人员违反本合同第</w:t>
      </w:r>
      <w:r>
        <w:rPr>
          <w:rFonts w:hint="eastAsia" w:ascii="仿宋" w:hAnsi="仿宋" w:eastAsia="仿宋" w:cs="仿宋"/>
          <w:color w:val="auto"/>
          <w:kern w:val="0"/>
          <w:sz w:val="24"/>
          <w:highlight w:val="none"/>
        </w:rPr>
        <w:t xml:space="preserve"> 1</w:t>
      </w:r>
      <w:r>
        <w:rPr>
          <w:rFonts w:hint="eastAsia" w:ascii="仿宋" w:hAnsi="仿宋" w:eastAsia="仿宋" w:cs="仿宋"/>
          <w:color w:val="auto"/>
          <w:kern w:val="0"/>
          <w:sz w:val="24"/>
          <w:highlight w:val="none"/>
          <w:lang w:val="zh-CN"/>
        </w:rPr>
        <w:t>条和第</w:t>
      </w:r>
      <w:r>
        <w:rPr>
          <w:rFonts w:hint="eastAsia" w:ascii="仿宋" w:hAnsi="仿宋" w:eastAsia="仿宋" w:cs="仿宋"/>
          <w:color w:val="auto"/>
          <w:kern w:val="0"/>
          <w:sz w:val="24"/>
          <w:highlight w:val="none"/>
        </w:rPr>
        <w:t xml:space="preserve"> 3</w:t>
      </w:r>
      <w:r>
        <w:rPr>
          <w:rFonts w:hint="eastAsia" w:ascii="仿宋" w:hAnsi="仿宋" w:eastAsia="仿宋" w:cs="仿宋"/>
          <w:color w:val="auto"/>
          <w:kern w:val="0"/>
          <w:sz w:val="24"/>
          <w:highlight w:val="none"/>
          <w:lang w:val="zh-CN"/>
        </w:rPr>
        <w:t>条规定，应按照廉政建设的有关规定给予处分；情节严重的，给予承包人</w:t>
      </w:r>
      <w:r>
        <w:rPr>
          <w:rFonts w:hint="eastAsia" w:ascii="仿宋" w:hAnsi="仿宋" w:eastAsia="仿宋" w:cs="仿宋"/>
          <w:color w:val="auto"/>
          <w:kern w:val="0"/>
          <w:sz w:val="24"/>
          <w:highlight w:val="none"/>
        </w:rPr>
        <w:t xml:space="preserve"> 1</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年内不得进入工程建设市场的处罚；涉嫌犯罪的，移交司法机关追究刑事责任；给发包人造成损失的，应予赔偿；</w:t>
      </w:r>
    </w:p>
    <w:p w14:paraId="21B733BD">
      <w:pPr>
        <w:shd w:val="clea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 双方约定</w:t>
      </w:r>
    </w:p>
    <w:p w14:paraId="258A7729">
      <w:pPr>
        <w:pStyle w:val="10"/>
        <w:shd w:val="clea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lang w:val="zh-CN"/>
        </w:rPr>
        <w:t>本合同由合同双方当事人或其上级部门负责监督执行，并由合同双方当事人或其上级部门相互约请对本合同执行情况进行检查</w:t>
      </w:r>
      <w:r>
        <w:rPr>
          <w:rFonts w:hint="eastAsia" w:ascii="仿宋" w:hAnsi="仿宋" w:eastAsia="仿宋" w:cs="仿宋"/>
          <w:color w:val="auto"/>
          <w:sz w:val="24"/>
          <w:highlight w:val="none"/>
        </w:rPr>
        <w:t>。</w:t>
      </w:r>
    </w:p>
    <w:p w14:paraId="5B63E8FF">
      <w:pPr>
        <w:shd w:val="clea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  合同法律效力</w:t>
      </w:r>
    </w:p>
    <w:p w14:paraId="4816F586">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本合同作为</w:t>
      </w:r>
      <w:r>
        <w:rPr>
          <w:rFonts w:hint="eastAsia" w:ascii="仿宋" w:hAnsi="仿宋" w:eastAsia="仿宋" w:cs="仿宋"/>
          <w:color w:val="auto"/>
          <w:sz w:val="24"/>
          <w:highlight w:val="none"/>
          <w:u w:val="single"/>
        </w:rPr>
        <w:t xml:space="preserve"> 设计施工总承包 </w:t>
      </w:r>
      <w:r>
        <w:rPr>
          <w:rFonts w:hint="eastAsia" w:ascii="仿宋" w:hAnsi="仿宋" w:eastAsia="仿宋" w:cs="仿宋"/>
          <w:color w:val="auto"/>
          <w:sz w:val="24"/>
          <w:highlight w:val="none"/>
        </w:rPr>
        <w:t>工程施工合同的附件，与施工合同具有同等的法律效力。</w:t>
      </w:r>
    </w:p>
    <w:p w14:paraId="5EDAE1BC">
      <w:pPr>
        <w:shd w:val="clear"/>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  合同份数</w:t>
      </w:r>
    </w:p>
    <w:p w14:paraId="410A9C3D">
      <w:pPr>
        <w:shd w:val="clea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份，合同双方当事人各执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份。有上级部门的，合同双方当事人应送交其上级部门各一份。</w:t>
      </w:r>
    </w:p>
    <w:p w14:paraId="6D566C60">
      <w:pPr>
        <w:shd w:val="clear"/>
        <w:spacing w:line="360" w:lineRule="auto"/>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（以下无合同正文）</w:t>
      </w:r>
    </w:p>
    <w:p w14:paraId="0D36F398">
      <w:pPr>
        <w:shd w:val="clear"/>
        <w:spacing w:line="360" w:lineRule="auto"/>
        <w:ind w:firstLine="480" w:firstLineChars="200"/>
        <w:jc w:val="center"/>
        <w:rPr>
          <w:rFonts w:ascii="仿宋" w:hAnsi="仿宋" w:eastAsia="仿宋" w:cs="仿宋"/>
          <w:color w:val="auto"/>
          <w:sz w:val="24"/>
          <w:highlight w:val="none"/>
        </w:rPr>
      </w:pPr>
    </w:p>
    <w:p w14:paraId="0AB114A9">
      <w:pPr>
        <w:shd w:val="clear"/>
        <w:adjustRightInd w:val="0"/>
        <w:snapToGrid w:val="0"/>
        <w:spacing w:line="360" w:lineRule="auto"/>
        <w:ind w:firstLine="480" w:firstLineChars="200"/>
        <w:rPr>
          <w:rFonts w:hint="eastAsia" w:ascii="仿宋" w:hAnsi="仿宋" w:eastAsia="仿宋" w:cs="仿宋"/>
          <w:color w:val="auto"/>
          <w:sz w:val="24"/>
          <w:highlight w:val="none"/>
        </w:rPr>
      </w:pPr>
    </w:p>
    <w:p w14:paraId="22FFD58A">
      <w:pPr>
        <w:shd w:val="clear"/>
        <w:adjustRightInd w:val="0"/>
        <w:snapToGrid w:val="0"/>
        <w:spacing w:line="360" w:lineRule="auto"/>
        <w:ind w:left="2640" w:hanging="2640" w:hangingChars="1100"/>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w:t>
      </w:r>
      <w:r>
        <w:rPr>
          <w:rFonts w:hint="eastAsia" w:ascii="仿宋" w:hAnsi="仿宋" w:eastAsia="仿宋" w:cs="仿宋"/>
          <w:color w:val="auto"/>
          <w:sz w:val="24"/>
          <w:highlight w:val="none"/>
          <w:u w:val="single"/>
        </w:rPr>
        <w:t>广州白云湖投资发展有限公司</w:t>
      </w:r>
      <w:r>
        <w:rPr>
          <w:rFonts w:hint="eastAsia" w:ascii="仿宋" w:hAnsi="仿宋" w:eastAsia="仿宋" w:cs="仿宋"/>
          <w:color w:val="auto"/>
          <w:sz w:val="24"/>
          <w:highlight w:val="none"/>
        </w:rPr>
        <w:t xml:space="preserve">  承包人：</w:t>
      </w:r>
    </w:p>
    <w:p w14:paraId="4FCE0F6C">
      <w:pPr>
        <w:shd w:val="clear"/>
        <w:adjustRightInd w:val="0"/>
        <w:snapToGrid w:val="0"/>
        <w:spacing w:line="36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p>
    <w:p w14:paraId="6E88A782">
      <w:pPr>
        <w:pStyle w:val="3"/>
        <w:shd w:val="clear"/>
        <w:spacing w:before="0" w:after="0"/>
        <w:ind w:firstLine="0" w:firstLineChars="0"/>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或授权代表人：                      或授权代表人：</w:t>
      </w:r>
    </w:p>
    <w:p w14:paraId="42583E65">
      <w:pPr>
        <w:shd w:val="clea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                          联系电话：</w:t>
      </w:r>
    </w:p>
    <w:p w14:paraId="4B229779">
      <w:pPr>
        <w:shd w:val="clea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上级部门：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上级部门：</w:t>
      </w:r>
    </w:p>
    <w:p w14:paraId="3CDEDDB9">
      <w:pPr>
        <w:shd w:val="clear"/>
        <w:adjustRightInd w:val="0"/>
        <w:snapToGrid w:val="0"/>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797BB256">
      <w:pPr>
        <w:pStyle w:val="21"/>
        <w:shd w:val="clear"/>
        <w:ind w:firstLine="200"/>
        <w:rPr>
          <w:rFonts w:ascii="仿宋" w:hAnsi="仿宋" w:eastAsia="仿宋" w:cs="仿宋"/>
          <w:color w:val="auto"/>
          <w:highlight w:val="none"/>
        </w:rPr>
      </w:pPr>
    </w:p>
    <w:p w14:paraId="0812BB8A">
      <w:pPr>
        <w:pStyle w:val="22"/>
        <w:shd w:val="clear"/>
        <w:rPr>
          <w:rFonts w:ascii="仿宋" w:hAnsi="仿宋" w:eastAsia="仿宋" w:cs="仿宋"/>
          <w:color w:val="auto"/>
          <w:highlight w:val="none"/>
        </w:rPr>
      </w:pPr>
    </w:p>
    <w:p w14:paraId="2F225F62">
      <w:pPr>
        <w:pStyle w:val="3"/>
        <w:numPr>
          <w:ilvl w:val="1"/>
          <w:numId w:val="0"/>
        </w:numPr>
        <w:shd w:val="clear"/>
        <w:spacing w:after="0"/>
        <w:rPr>
          <w:rFonts w:ascii="仿宋" w:hAnsi="仿宋" w:eastAsia="仿宋" w:cs="仿宋"/>
          <w:highlight w:val="none"/>
          <w:lang w:val="zh-CN"/>
        </w:rPr>
      </w:pPr>
      <w:r>
        <w:rPr>
          <w:rFonts w:hint="eastAsia" w:ascii="仿宋" w:hAnsi="仿宋" w:eastAsia="仿宋" w:cs="仿宋"/>
          <w:color w:val="auto"/>
          <w:sz w:val="24"/>
          <w:highlight w:val="none"/>
        </w:rPr>
        <w:br w:type="page"/>
      </w:r>
      <w:bookmarkStart w:id="291" w:name="_Toc82013105"/>
      <w:bookmarkStart w:id="292" w:name="_Toc83377308"/>
      <w:r>
        <w:rPr>
          <w:rFonts w:hint="eastAsia" w:ascii="仿宋" w:hAnsi="仿宋" w:eastAsia="仿宋" w:cs="仿宋"/>
          <w:color w:val="auto"/>
          <w:sz w:val="24"/>
          <w:highlight w:val="none"/>
        </w:rPr>
        <w:t>附件六：</w:t>
      </w:r>
      <w:r>
        <w:rPr>
          <w:rFonts w:hint="eastAsia" w:ascii="仿宋" w:hAnsi="仿宋" w:eastAsia="仿宋" w:cs="仿宋"/>
          <w:sz w:val="24"/>
          <w:highlight w:val="none"/>
        </w:rPr>
        <w:t>安全责任书</w:t>
      </w:r>
    </w:p>
    <w:p w14:paraId="08BACA79">
      <w:pPr>
        <w:shd w:val="clear"/>
        <w:spacing w:before="120"/>
        <w:ind w:firstLine="560"/>
        <w:jc w:val="center"/>
        <w:rPr>
          <w:rFonts w:ascii="仿宋" w:hAnsi="仿宋" w:eastAsia="仿宋" w:cs="仿宋"/>
          <w:b/>
          <w:sz w:val="28"/>
          <w:szCs w:val="28"/>
          <w:highlight w:val="none"/>
        </w:rPr>
      </w:pPr>
      <w:r>
        <w:rPr>
          <w:rFonts w:hint="eastAsia" w:ascii="仿宋" w:hAnsi="仿宋" w:eastAsia="仿宋" w:cs="仿宋"/>
          <w:b/>
          <w:sz w:val="28"/>
          <w:szCs w:val="28"/>
          <w:highlight w:val="none"/>
        </w:rPr>
        <w:t>安 全 责 任 书</w:t>
      </w:r>
    </w:p>
    <w:p w14:paraId="240D652D">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发包人：</w:t>
      </w:r>
      <w:r>
        <w:rPr>
          <w:rFonts w:hint="eastAsia" w:ascii="仿宋" w:hAnsi="仿宋" w:eastAsia="仿宋" w:cs="仿宋"/>
          <w:bCs/>
          <w:sz w:val="24"/>
          <w:highlight w:val="none"/>
          <w:u w:val="single"/>
        </w:rPr>
        <w:t xml:space="preserve">  广州白云湖投资发展有限公司   </w:t>
      </w:r>
    </w:p>
    <w:p w14:paraId="3D25B9D0">
      <w:pPr>
        <w:shd w:val="clear"/>
        <w:spacing w:line="360" w:lineRule="auto"/>
        <w:ind w:firstLine="480" w:firstLineChars="200"/>
        <w:rPr>
          <w:rFonts w:ascii="仿宋" w:hAnsi="仿宋" w:eastAsia="仿宋" w:cs="仿宋"/>
          <w:sz w:val="24"/>
          <w:highlight w:val="none"/>
        </w:rPr>
      </w:pPr>
      <w:r>
        <w:rPr>
          <w:rFonts w:hint="eastAsia" w:ascii="仿宋" w:hAnsi="仿宋" w:eastAsia="仿宋" w:cs="仿宋"/>
          <w:bCs/>
          <w:sz w:val="24"/>
          <w:highlight w:val="none"/>
        </w:rPr>
        <w:t>承包人：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 xml:space="preserve"> </w:t>
      </w:r>
      <w:r>
        <w:rPr>
          <w:rFonts w:hint="eastAsia" w:ascii="仿宋" w:hAnsi="仿宋" w:eastAsia="仿宋" w:cs="仿宋"/>
          <w:sz w:val="24"/>
          <w:highlight w:val="none"/>
          <w:u w:val="single"/>
        </w:rPr>
        <w:t xml:space="preserve">    </w:t>
      </w:r>
    </w:p>
    <w:p w14:paraId="5A5E6883">
      <w:pPr>
        <w:shd w:val="clear"/>
        <w:adjustRightInd w:val="0"/>
        <w:snapToGrid w:val="0"/>
        <w:spacing w:line="360" w:lineRule="auto"/>
        <w:ind w:firstLine="480" w:firstLineChars="200"/>
        <w:rPr>
          <w:rFonts w:ascii="仿宋" w:hAnsi="仿宋" w:eastAsia="仿宋" w:cs="仿宋"/>
          <w:bCs/>
          <w:sz w:val="24"/>
          <w:highlight w:val="none"/>
        </w:rPr>
      </w:pPr>
    </w:p>
    <w:p w14:paraId="457E40EC">
      <w:pPr>
        <w:shd w:val="clear"/>
        <w:adjustRightInd w:val="0"/>
        <w:snapToGrid w:val="0"/>
        <w:spacing w:line="360" w:lineRule="auto"/>
        <w:ind w:firstLine="480" w:firstLineChars="200"/>
        <w:rPr>
          <w:rFonts w:ascii="仿宋" w:hAnsi="仿宋" w:eastAsia="仿宋" w:cs="仿宋"/>
          <w:bCs/>
          <w:sz w:val="24"/>
          <w:highlight w:val="none"/>
          <w:u w:val="single"/>
        </w:rPr>
      </w:pPr>
      <w:r>
        <w:rPr>
          <w:rFonts w:hint="eastAsia" w:ascii="仿宋" w:hAnsi="仿宋" w:eastAsia="仿宋" w:cs="仿宋"/>
          <w:bCs/>
          <w:sz w:val="24"/>
          <w:highlight w:val="none"/>
        </w:rPr>
        <w:t>工程项目：</w:t>
      </w:r>
      <w:r>
        <w:rPr>
          <w:rFonts w:hint="eastAsia" w:ascii="仿宋" w:hAnsi="仿宋" w:eastAsia="仿宋" w:cs="仿宋"/>
          <w:bCs/>
          <w:sz w:val="24"/>
          <w:highlight w:val="none"/>
          <w:u w:val="single"/>
        </w:rPr>
        <w:t xml:space="preserve">  设计施工总承包项目</w:t>
      </w:r>
    </w:p>
    <w:p w14:paraId="5234A874">
      <w:pPr>
        <w:shd w:val="clear"/>
        <w:adjustRightInd w:val="0"/>
        <w:snapToGrid w:val="0"/>
        <w:spacing w:line="360" w:lineRule="auto"/>
        <w:ind w:firstLine="480" w:firstLineChars="200"/>
        <w:rPr>
          <w:rFonts w:ascii="仿宋" w:hAnsi="仿宋" w:eastAsia="仿宋" w:cs="仿宋"/>
          <w:bCs/>
          <w:sz w:val="24"/>
          <w:highlight w:val="none"/>
          <w:u w:val="single"/>
        </w:rPr>
      </w:pPr>
      <w:r>
        <w:rPr>
          <w:rFonts w:hint="eastAsia" w:ascii="仿宋" w:hAnsi="仿宋" w:eastAsia="仿宋" w:cs="仿宋"/>
          <w:bCs/>
          <w:sz w:val="24"/>
          <w:highlight w:val="none"/>
        </w:rPr>
        <w:t>工程地点：广州市白云区夏茅军民街与广花一路交叉口西侧约200米</w:t>
      </w:r>
      <w:r>
        <w:rPr>
          <w:rFonts w:hint="eastAsia" w:ascii="仿宋" w:hAnsi="仿宋" w:eastAsia="仿宋" w:cs="仿宋"/>
          <w:b w:val="0"/>
          <w:bCs w:val="0"/>
          <w:snapToGrid w:val="0"/>
          <w:color w:val="auto"/>
          <w:kern w:val="0"/>
          <w:sz w:val="24"/>
          <w:szCs w:val="24"/>
          <w:highlight w:val="none"/>
          <w:u w:val="single"/>
        </w:rPr>
        <w:t>。</w:t>
      </w:r>
    </w:p>
    <w:p w14:paraId="74036872">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为确保施工现场安全施工，保障工程建设正常顺利进行，发包人、承包人依照国家和政府的有关法律法规，就施工项目中的消防、安全生产事宜、双方的权利与义务协商一致，达成以下协议：</w:t>
      </w:r>
    </w:p>
    <w:p w14:paraId="2ED083FF">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一、发包人权利与义务</w:t>
      </w:r>
    </w:p>
    <w:p w14:paraId="231C70D1">
      <w:pPr>
        <w:shd w:val="clear"/>
        <w:adjustRightInd w:val="0"/>
        <w:snapToGrid w:val="0"/>
        <w:spacing w:line="360" w:lineRule="auto"/>
        <w:ind w:firstLine="540" w:firstLineChars="225"/>
        <w:rPr>
          <w:rFonts w:ascii="仿宋" w:hAnsi="仿宋" w:eastAsia="仿宋" w:cs="仿宋"/>
          <w:bCs/>
          <w:sz w:val="24"/>
          <w:highlight w:val="none"/>
        </w:rPr>
      </w:pPr>
      <w:r>
        <w:rPr>
          <w:rFonts w:hint="eastAsia" w:ascii="仿宋" w:hAnsi="仿宋" w:eastAsia="仿宋" w:cs="仿宋"/>
          <w:bCs/>
          <w:sz w:val="24"/>
          <w:highlight w:val="none"/>
        </w:rPr>
        <w:t>发包人对承包人资质进行审查：</w:t>
      </w:r>
    </w:p>
    <w:p w14:paraId="26A87504">
      <w:pPr>
        <w:shd w:val="clear"/>
        <w:adjustRightInd w:val="0"/>
        <w:snapToGrid w:val="0"/>
        <w:spacing w:line="360" w:lineRule="auto"/>
        <w:ind w:firstLine="426"/>
        <w:rPr>
          <w:rFonts w:ascii="仿宋" w:hAnsi="仿宋" w:eastAsia="仿宋" w:cs="仿宋"/>
          <w:bCs/>
          <w:sz w:val="24"/>
          <w:highlight w:val="none"/>
        </w:rPr>
      </w:pPr>
      <w:r>
        <w:rPr>
          <w:rFonts w:hint="eastAsia" w:ascii="仿宋" w:hAnsi="仿宋" w:eastAsia="仿宋" w:cs="仿宋"/>
          <w:bCs/>
          <w:sz w:val="24"/>
          <w:highlight w:val="none"/>
        </w:rPr>
        <w:t>1.有关部门核发的营业执照和资质证书，法人代表资格证书，安全生产资质证书，有效的广州市建筑业企业登记备案证书</w:t>
      </w:r>
      <w:r>
        <w:rPr>
          <w:rFonts w:hint="eastAsia" w:ascii="仿宋" w:hAnsi="仿宋" w:eastAsia="仿宋" w:cs="仿宋"/>
          <w:bCs/>
          <w:i/>
          <w:iCs/>
          <w:sz w:val="24"/>
          <w:highlight w:val="none"/>
        </w:rPr>
        <w:t>；</w:t>
      </w:r>
    </w:p>
    <w:p w14:paraId="6DE25DEB">
      <w:pPr>
        <w:shd w:val="clear"/>
        <w:adjustRightInd w:val="0"/>
        <w:snapToGrid w:val="0"/>
        <w:spacing w:line="360" w:lineRule="auto"/>
        <w:ind w:firstLine="426"/>
        <w:rPr>
          <w:rFonts w:ascii="仿宋" w:hAnsi="仿宋" w:eastAsia="仿宋" w:cs="仿宋"/>
          <w:bCs/>
          <w:sz w:val="24"/>
          <w:highlight w:val="none"/>
        </w:rPr>
      </w:pPr>
      <w:r>
        <w:rPr>
          <w:rFonts w:hint="eastAsia" w:ascii="仿宋" w:hAnsi="仿宋" w:eastAsia="仿宋" w:cs="仿宋"/>
          <w:bCs/>
          <w:sz w:val="24"/>
          <w:highlight w:val="none"/>
        </w:rPr>
        <w:t>2.施工负责人、工程技术人员和工人的有关本工程的技术素质、施工简历和近3年安全施工记录是否符合工程要求；</w:t>
      </w:r>
    </w:p>
    <w:p w14:paraId="55B708B4">
      <w:pPr>
        <w:shd w:val="clear"/>
        <w:adjustRightInd w:val="0"/>
        <w:snapToGrid w:val="0"/>
        <w:spacing w:line="360" w:lineRule="auto"/>
        <w:ind w:firstLine="426"/>
        <w:rPr>
          <w:rFonts w:ascii="仿宋" w:hAnsi="仿宋" w:eastAsia="仿宋" w:cs="仿宋"/>
          <w:bCs/>
          <w:sz w:val="24"/>
          <w:highlight w:val="none"/>
        </w:rPr>
      </w:pPr>
      <w:r>
        <w:rPr>
          <w:rFonts w:hint="eastAsia" w:ascii="仿宋" w:hAnsi="仿宋" w:eastAsia="仿宋" w:cs="仿宋"/>
          <w:bCs/>
          <w:sz w:val="24"/>
          <w:highlight w:val="none"/>
        </w:rPr>
        <w:t>3.承包人是否有满足安全施工需要的机械、工器具及安全防护设施、安全用具；</w:t>
      </w:r>
    </w:p>
    <w:p w14:paraId="5BC67783">
      <w:pPr>
        <w:shd w:val="clear"/>
        <w:adjustRightInd w:val="0"/>
        <w:snapToGrid w:val="0"/>
        <w:spacing w:line="360" w:lineRule="auto"/>
        <w:ind w:left="567" w:hanging="141"/>
        <w:rPr>
          <w:rFonts w:ascii="仿宋" w:hAnsi="仿宋" w:eastAsia="仿宋" w:cs="仿宋"/>
          <w:bCs/>
          <w:sz w:val="24"/>
          <w:highlight w:val="none"/>
        </w:rPr>
      </w:pPr>
      <w:r>
        <w:rPr>
          <w:rFonts w:hint="eastAsia" w:ascii="仿宋" w:hAnsi="仿宋" w:eastAsia="仿宋" w:cs="仿宋"/>
          <w:bCs/>
          <w:sz w:val="24"/>
          <w:highlight w:val="none"/>
        </w:rPr>
        <w:t>4.承包人是否设有安全管理机构和安全员。</w:t>
      </w:r>
    </w:p>
    <w:p w14:paraId="2C7D2ABE">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二、承包人权利与义务</w:t>
      </w:r>
    </w:p>
    <w:p w14:paraId="36C8DD0B">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1.提供发包人要求的相关资质证明。</w:t>
      </w:r>
    </w:p>
    <w:p w14:paraId="063D2355">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2.严格遵守《中华人民共和国消防法》和《机关、团体、企业、事业单位的消防安全管理规定》，做好施工现场的消防安全管理工作。</w:t>
      </w:r>
    </w:p>
    <w:p w14:paraId="77C0DF93">
      <w:pPr>
        <w:shd w:val="clear"/>
        <w:adjustRightInd w:val="0"/>
        <w:snapToGrid w:val="0"/>
        <w:spacing w:line="360" w:lineRule="auto"/>
        <w:ind w:left="-6" w:leftChars="-3" w:firstLine="566" w:firstLineChars="236"/>
        <w:rPr>
          <w:rFonts w:ascii="仿宋" w:hAnsi="仿宋" w:eastAsia="仿宋" w:cs="仿宋"/>
          <w:bCs/>
          <w:sz w:val="24"/>
          <w:highlight w:val="none"/>
        </w:rPr>
      </w:pPr>
      <w:r>
        <w:rPr>
          <w:rFonts w:hint="eastAsia" w:ascii="仿宋" w:hAnsi="仿宋" w:eastAsia="仿宋" w:cs="仿宋"/>
          <w:bCs/>
          <w:sz w:val="24"/>
          <w:highlight w:val="none"/>
        </w:rPr>
        <w:t>（1）建立消防安全管理制度和保障消防安全的操作规程；</w:t>
      </w:r>
    </w:p>
    <w:p w14:paraId="7935362A">
      <w:pPr>
        <w:shd w:val="clear"/>
        <w:adjustRightInd w:val="0"/>
        <w:snapToGrid w:val="0"/>
        <w:spacing w:line="360" w:lineRule="auto"/>
        <w:ind w:firstLine="566" w:firstLineChars="236"/>
        <w:rPr>
          <w:rFonts w:ascii="仿宋" w:hAnsi="仿宋" w:eastAsia="仿宋" w:cs="仿宋"/>
          <w:bCs/>
          <w:sz w:val="24"/>
          <w:highlight w:val="none"/>
        </w:rPr>
      </w:pPr>
      <w:r>
        <w:rPr>
          <w:rFonts w:hint="eastAsia" w:ascii="仿宋" w:hAnsi="仿宋" w:eastAsia="仿宋" w:cs="仿宋"/>
          <w:bCs/>
          <w:sz w:val="24"/>
          <w:highlight w:val="none"/>
        </w:rPr>
        <w:t>（2）建立健全消防安全组织、明确消防安全责任；</w:t>
      </w:r>
    </w:p>
    <w:p w14:paraId="4E961F5F">
      <w:pPr>
        <w:shd w:val="clear"/>
        <w:adjustRightInd w:val="0"/>
        <w:snapToGrid w:val="0"/>
        <w:spacing w:line="360" w:lineRule="auto"/>
        <w:ind w:firstLine="566" w:firstLineChars="236"/>
        <w:rPr>
          <w:rFonts w:ascii="仿宋" w:hAnsi="仿宋" w:eastAsia="仿宋" w:cs="仿宋"/>
          <w:bCs/>
          <w:sz w:val="24"/>
          <w:highlight w:val="none"/>
        </w:rPr>
      </w:pPr>
      <w:r>
        <w:rPr>
          <w:rFonts w:hint="eastAsia" w:ascii="仿宋" w:hAnsi="仿宋" w:eastAsia="仿宋" w:cs="仿宋"/>
          <w:bCs/>
          <w:sz w:val="24"/>
          <w:highlight w:val="none"/>
        </w:rPr>
        <w:t>（3）对施工人员进行消防安全教育培训；</w:t>
      </w:r>
    </w:p>
    <w:p w14:paraId="2190CDE7">
      <w:pPr>
        <w:shd w:val="clear"/>
        <w:adjustRightInd w:val="0"/>
        <w:snapToGrid w:val="0"/>
        <w:spacing w:line="360" w:lineRule="auto"/>
        <w:ind w:firstLine="566" w:firstLineChars="236"/>
        <w:rPr>
          <w:rFonts w:ascii="仿宋" w:hAnsi="仿宋" w:eastAsia="仿宋" w:cs="仿宋"/>
          <w:bCs/>
          <w:sz w:val="24"/>
          <w:highlight w:val="none"/>
        </w:rPr>
      </w:pPr>
      <w:r>
        <w:rPr>
          <w:rFonts w:hint="eastAsia" w:ascii="仿宋" w:hAnsi="仿宋" w:eastAsia="仿宋" w:cs="仿宋"/>
          <w:bCs/>
          <w:sz w:val="24"/>
          <w:highlight w:val="none"/>
        </w:rPr>
        <w:t>（4）确保消防设施和器材齐全、完好、有效；</w:t>
      </w:r>
    </w:p>
    <w:p w14:paraId="2DEA12AC">
      <w:pPr>
        <w:shd w:val="clear"/>
        <w:adjustRightInd w:val="0"/>
        <w:snapToGrid w:val="0"/>
        <w:spacing w:line="360" w:lineRule="auto"/>
        <w:ind w:firstLine="566" w:firstLineChars="236"/>
        <w:rPr>
          <w:rFonts w:ascii="仿宋" w:hAnsi="仿宋" w:eastAsia="仿宋" w:cs="仿宋"/>
          <w:bCs/>
          <w:sz w:val="24"/>
          <w:highlight w:val="none"/>
        </w:rPr>
      </w:pPr>
      <w:r>
        <w:rPr>
          <w:rFonts w:hint="eastAsia" w:ascii="仿宋" w:hAnsi="仿宋" w:eastAsia="仿宋" w:cs="仿宋"/>
          <w:bCs/>
          <w:sz w:val="24"/>
          <w:highlight w:val="none"/>
        </w:rPr>
        <w:t>（5）制定灭火、应急疏散预案；</w:t>
      </w:r>
    </w:p>
    <w:p w14:paraId="2B933655">
      <w:pPr>
        <w:shd w:val="clear"/>
        <w:adjustRightInd w:val="0"/>
        <w:snapToGrid w:val="0"/>
        <w:spacing w:line="360" w:lineRule="auto"/>
        <w:ind w:firstLine="566" w:firstLineChars="236"/>
        <w:rPr>
          <w:rFonts w:ascii="仿宋" w:hAnsi="仿宋" w:eastAsia="仿宋" w:cs="仿宋"/>
          <w:bCs/>
          <w:sz w:val="24"/>
          <w:highlight w:val="none"/>
        </w:rPr>
      </w:pPr>
      <w:r>
        <w:rPr>
          <w:rFonts w:hint="eastAsia" w:ascii="仿宋" w:hAnsi="仿宋" w:eastAsia="仿宋" w:cs="仿宋"/>
          <w:bCs/>
          <w:sz w:val="24"/>
          <w:highlight w:val="none"/>
        </w:rPr>
        <w:t>（6）定期进行防火巡查、检查，及时消除火灾隐患；</w:t>
      </w:r>
    </w:p>
    <w:p w14:paraId="14309D0A">
      <w:pPr>
        <w:shd w:val="clear"/>
        <w:adjustRightInd w:val="0"/>
        <w:snapToGrid w:val="0"/>
        <w:spacing w:line="360" w:lineRule="auto"/>
        <w:ind w:firstLine="566" w:firstLineChars="236"/>
        <w:rPr>
          <w:rFonts w:ascii="仿宋" w:hAnsi="仿宋" w:eastAsia="仿宋" w:cs="仿宋"/>
          <w:bCs/>
          <w:sz w:val="24"/>
          <w:highlight w:val="none"/>
        </w:rPr>
      </w:pPr>
      <w:r>
        <w:rPr>
          <w:rFonts w:hint="eastAsia" w:ascii="仿宋" w:hAnsi="仿宋" w:eastAsia="仿宋" w:cs="仿宋"/>
          <w:bCs/>
          <w:sz w:val="24"/>
          <w:highlight w:val="none"/>
        </w:rPr>
        <w:t>（7）组建义务消防队；</w:t>
      </w:r>
    </w:p>
    <w:p w14:paraId="2374B6FC">
      <w:pPr>
        <w:shd w:val="clear"/>
        <w:adjustRightInd w:val="0"/>
        <w:snapToGrid w:val="0"/>
        <w:spacing w:line="360" w:lineRule="auto"/>
        <w:ind w:firstLine="566" w:firstLineChars="236"/>
        <w:rPr>
          <w:rFonts w:ascii="仿宋" w:hAnsi="仿宋" w:eastAsia="仿宋" w:cs="仿宋"/>
          <w:bCs/>
          <w:sz w:val="24"/>
          <w:highlight w:val="none"/>
        </w:rPr>
      </w:pPr>
      <w:r>
        <w:rPr>
          <w:rFonts w:hint="eastAsia" w:ascii="仿宋" w:hAnsi="仿宋" w:eastAsia="仿宋" w:cs="仿宋"/>
          <w:bCs/>
          <w:sz w:val="24"/>
          <w:highlight w:val="none"/>
        </w:rPr>
        <w:t>（8）建立健全施工消防安全管理档案。</w:t>
      </w:r>
    </w:p>
    <w:p w14:paraId="63539D25">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3.严格遵守《广州地区劳动安全卫生考核标准》及其他有关劳动卫生安全的法律法规，做好施工现场的安全管理工作。</w:t>
      </w:r>
    </w:p>
    <w:p w14:paraId="3056D0A9">
      <w:pPr>
        <w:shd w:val="clear"/>
        <w:adjustRightInd w:val="0"/>
        <w:snapToGrid w:val="0"/>
        <w:spacing w:line="360" w:lineRule="auto"/>
        <w:ind w:firstLine="410" w:firstLineChars="171"/>
        <w:rPr>
          <w:rFonts w:ascii="仿宋" w:hAnsi="仿宋" w:eastAsia="仿宋" w:cs="仿宋"/>
          <w:bCs/>
          <w:sz w:val="24"/>
          <w:highlight w:val="none"/>
        </w:rPr>
      </w:pPr>
      <w:r>
        <w:rPr>
          <w:rFonts w:hint="eastAsia" w:ascii="仿宋" w:hAnsi="仿宋" w:eastAsia="仿宋" w:cs="仿宋"/>
          <w:bCs/>
          <w:sz w:val="24"/>
          <w:highlight w:val="none"/>
        </w:rPr>
        <w:t>（1）建立健全施工安全管理制度及安全管理台帐；</w:t>
      </w:r>
    </w:p>
    <w:p w14:paraId="5B718A82">
      <w:pPr>
        <w:shd w:val="clear"/>
        <w:adjustRightInd w:val="0"/>
        <w:snapToGrid w:val="0"/>
        <w:spacing w:line="360" w:lineRule="auto"/>
        <w:ind w:firstLine="410" w:firstLineChars="171"/>
        <w:rPr>
          <w:rFonts w:ascii="仿宋" w:hAnsi="仿宋" w:eastAsia="仿宋" w:cs="仿宋"/>
          <w:bCs/>
          <w:sz w:val="24"/>
          <w:highlight w:val="none"/>
        </w:rPr>
      </w:pPr>
      <w:r>
        <w:rPr>
          <w:rFonts w:hint="eastAsia" w:ascii="仿宋" w:hAnsi="仿宋" w:eastAsia="仿宋" w:cs="仿宋"/>
          <w:bCs/>
          <w:sz w:val="24"/>
          <w:highlight w:val="none"/>
        </w:rPr>
        <w:t>（2）建立完善安全管理网络，明确并落实安全责任制；</w:t>
      </w:r>
    </w:p>
    <w:p w14:paraId="169A88AB">
      <w:pPr>
        <w:shd w:val="clear"/>
        <w:adjustRightInd w:val="0"/>
        <w:snapToGrid w:val="0"/>
        <w:spacing w:line="360" w:lineRule="auto"/>
        <w:ind w:firstLine="410" w:firstLineChars="171"/>
        <w:rPr>
          <w:rFonts w:ascii="仿宋" w:hAnsi="仿宋" w:eastAsia="仿宋" w:cs="仿宋"/>
          <w:bCs/>
          <w:sz w:val="24"/>
          <w:highlight w:val="none"/>
        </w:rPr>
      </w:pPr>
      <w:r>
        <w:rPr>
          <w:rFonts w:hint="eastAsia" w:ascii="仿宋" w:hAnsi="仿宋" w:eastAsia="仿宋" w:cs="仿宋"/>
          <w:bCs/>
          <w:sz w:val="24"/>
          <w:highlight w:val="none"/>
        </w:rPr>
        <w:t>（3）制定安全技术措施预案，并根据安全预案的要求对员工进行作业前交底；</w:t>
      </w:r>
    </w:p>
    <w:p w14:paraId="17B36111">
      <w:pPr>
        <w:shd w:val="clear"/>
        <w:adjustRightInd w:val="0"/>
        <w:snapToGrid w:val="0"/>
        <w:spacing w:line="360" w:lineRule="auto"/>
        <w:ind w:firstLine="410" w:firstLineChars="171"/>
        <w:rPr>
          <w:rFonts w:ascii="仿宋" w:hAnsi="仿宋" w:eastAsia="仿宋" w:cs="仿宋"/>
          <w:bCs/>
          <w:sz w:val="24"/>
          <w:highlight w:val="none"/>
        </w:rPr>
      </w:pPr>
      <w:r>
        <w:rPr>
          <w:rFonts w:hint="eastAsia" w:ascii="仿宋" w:hAnsi="仿宋" w:eastAsia="仿宋" w:cs="仿宋"/>
          <w:bCs/>
          <w:sz w:val="24"/>
          <w:highlight w:val="none"/>
        </w:rPr>
        <w:t>（4）对施工人员进行劳动安全教育培训；</w:t>
      </w:r>
    </w:p>
    <w:p w14:paraId="291BE3C7">
      <w:pPr>
        <w:shd w:val="clear"/>
        <w:adjustRightInd w:val="0"/>
        <w:snapToGrid w:val="0"/>
        <w:spacing w:line="360" w:lineRule="auto"/>
        <w:ind w:firstLine="410" w:firstLineChars="171"/>
        <w:rPr>
          <w:rFonts w:ascii="仿宋" w:hAnsi="仿宋" w:eastAsia="仿宋" w:cs="仿宋"/>
          <w:bCs/>
          <w:sz w:val="24"/>
          <w:highlight w:val="none"/>
        </w:rPr>
      </w:pPr>
      <w:r>
        <w:rPr>
          <w:rFonts w:hint="eastAsia" w:ascii="仿宋" w:hAnsi="仿宋" w:eastAsia="仿宋" w:cs="仿宋"/>
          <w:bCs/>
          <w:sz w:val="24"/>
          <w:highlight w:val="none"/>
        </w:rPr>
        <w:t>（5）定期组织安全检查，对发现的事故隐患要及时上报整改；</w:t>
      </w:r>
    </w:p>
    <w:p w14:paraId="0186716A">
      <w:pPr>
        <w:shd w:val="clear"/>
        <w:adjustRightInd w:val="0"/>
        <w:snapToGrid w:val="0"/>
        <w:spacing w:line="360" w:lineRule="auto"/>
        <w:ind w:firstLine="410" w:firstLineChars="171"/>
        <w:rPr>
          <w:rFonts w:ascii="仿宋" w:hAnsi="仿宋" w:eastAsia="仿宋" w:cs="仿宋"/>
          <w:bCs/>
          <w:sz w:val="24"/>
          <w:highlight w:val="none"/>
        </w:rPr>
      </w:pPr>
      <w:r>
        <w:rPr>
          <w:rFonts w:hint="eastAsia" w:ascii="仿宋" w:hAnsi="仿宋" w:eastAsia="仿宋" w:cs="仿宋"/>
          <w:bCs/>
          <w:sz w:val="24"/>
          <w:highlight w:val="none"/>
        </w:rPr>
        <w:t>（6）定期召开安全例会。</w:t>
      </w:r>
    </w:p>
    <w:p w14:paraId="7F9DF822">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4.按发包人及监理人要求做好安全防范措施，并自觉接受发包人及监理人的安全监督管理，对其提出的安全整改意见必须及时组织整改，直至符合要求。</w:t>
      </w:r>
    </w:p>
    <w:p w14:paraId="77305DD5">
      <w:pPr>
        <w:shd w:val="clear"/>
        <w:adjustRightInd w:val="0"/>
        <w:snapToGrid w:val="0"/>
        <w:spacing w:line="360" w:lineRule="auto"/>
        <w:ind w:firstLine="540" w:firstLineChars="225"/>
        <w:rPr>
          <w:rFonts w:ascii="仿宋" w:hAnsi="仿宋" w:eastAsia="仿宋" w:cs="仿宋"/>
          <w:bCs/>
          <w:sz w:val="24"/>
          <w:highlight w:val="none"/>
        </w:rPr>
      </w:pPr>
      <w:r>
        <w:rPr>
          <w:rFonts w:hint="eastAsia" w:ascii="仿宋" w:hAnsi="仿宋" w:eastAsia="仿宋" w:cs="仿宋"/>
          <w:bCs/>
          <w:sz w:val="24"/>
          <w:highlight w:val="none"/>
        </w:rPr>
        <w:t>5.承包对分包人的安全监督管理措施</w:t>
      </w:r>
    </w:p>
    <w:p w14:paraId="109836CC">
      <w:pPr>
        <w:shd w:val="clear"/>
        <w:adjustRightInd w:val="0"/>
        <w:snapToGrid w:val="0"/>
        <w:spacing w:line="360" w:lineRule="auto"/>
        <w:ind w:firstLine="540" w:firstLineChars="225"/>
        <w:rPr>
          <w:rFonts w:ascii="仿宋" w:hAnsi="仿宋" w:eastAsia="仿宋" w:cs="仿宋"/>
          <w:bCs/>
          <w:sz w:val="24"/>
          <w:highlight w:val="none"/>
        </w:rPr>
      </w:pPr>
      <w:r>
        <w:rPr>
          <w:rFonts w:hint="eastAsia" w:ascii="仿宋" w:hAnsi="仿宋" w:eastAsia="仿宋" w:cs="仿宋"/>
          <w:bCs/>
          <w:sz w:val="24"/>
          <w:highlight w:val="none"/>
        </w:rPr>
        <w:t>（1）承包人开工前必须对分包人进行安全技术交底。</w:t>
      </w:r>
    </w:p>
    <w:p w14:paraId="6CED4B4D">
      <w:pPr>
        <w:shd w:val="clear"/>
        <w:adjustRightInd w:val="0"/>
        <w:snapToGrid w:val="0"/>
        <w:spacing w:line="360" w:lineRule="auto"/>
        <w:ind w:firstLine="540" w:firstLineChars="225"/>
        <w:rPr>
          <w:rFonts w:ascii="仿宋" w:hAnsi="仿宋" w:eastAsia="仿宋" w:cs="仿宋"/>
          <w:bCs/>
          <w:sz w:val="24"/>
          <w:highlight w:val="none"/>
        </w:rPr>
      </w:pPr>
      <w:r>
        <w:rPr>
          <w:rFonts w:hint="eastAsia" w:ascii="仿宋" w:hAnsi="仿宋" w:eastAsia="仿宋" w:cs="仿宋"/>
          <w:bCs/>
          <w:sz w:val="24"/>
          <w:highlight w:val="none"/>
        </w:rPr>
        <w:t>（2）承包人审核分包人制定的安全制度及相关措施，并监督其实施。</w:t>
      </w:r>
    </w:p>
    <w:p w14:paraId="012511B2">
      <w:pPr>
        <w:shd w:val="clear"/>
        <w:adjustRightInd w:val="0"/>
        <w:snapToGrid w:val="0"/>
        <w:spacing w:line="360" w:lineRule="auto"/>
        <w:ind w:firstLine="540" w:firstLineChars="225"/>
        <w:rPr>
          <w:rFonts w:ascii="仿宋" w:hAnsi="仿宋" w:eastAsia="仿宋" w:cs="仿宋"/>
          <w:bCs/>
          <w:sz w:val="24"/>
          <w:highlight w:val="none"/>
        </w:rPr>
      </w:pPr>
      <w:r>
        <w:rPr>
          <w:rFonts w:hint="eastAsia" w:ascii="仿宋" w:hAnsi="仿宋" w:eastAsia="仿宋" w:cs="仿宋"/>
          <w:bCs/>
          <w:sz w:val="24"/>
          <w:highlight w:val="none"/>
        </w:rPr>
        <w:t>（3）承包人及时向分包人转发发包人</w:t>
      </w:r>
      <w:r>
        <w:rPr>
          <w:rFonts w:hint="eastAsia" w:ascii="仿宋" w:hAnsi="仿宋" w:eastAsia="仿宋" w:cs="仿宋"/>
          <w:highlight w:val="none"/>
        </w:rPr>
        <w:t>及</w:t>
      </w:r>
      <w:r>
        <w:rPr>
          <w:rFonts w:hint="eastAsia" w:ascii="仿宋" w:hAnsi="仿宋" w:eastAsia="仿宋" w:cs="仿宋"/>
          <w:bCs/>
          <w:sz w:val="24"/>
          <w:highlight w:val="none"/>
        </w:rPr>
        <w:t>主管部门有关安全管理的文件。</w:t>
      </w:r>
    </w:p>
    <w:p w14:paraId="534BF758">
      <w:pPr>
        <w:shd w:val="clear"/>
        <w:adjustRightInd w:val="0"/>
        <w:snapToGrid w:val="0"/>
        <w:spacing w:line="360" w:lineRule="auto"/>
        <w:ind w:firstLine="540"/>
        <w:rPr>
          <w:rFonts w:ascii="仿宋" w:hAnsi="仿宋" w:eastAsia="仿宋" w:cs="仿宋"/>
          <w:bCs/>
          <w:sz w:val="24"/>
          <w:highlight w:val="none"/>
        </w:rPr>
      </w:pPr>
      <w:r>
        <w:rPr>
          <w:rFonts w:hint="eastAsia" w:ascii="仿宋" w:hAnsi="仿宋" w:eastAsia="仿宋" w:cs="仿宋"/>
          <w:bCs/>
          <w:sz w:val="24"/>
          <w:highlight w:val="none"/>
        </w:rPr>
        <w:t>（4） 承包人对分包人的安全管理进行全面监督。定期对分包人的安全生产、文明施工进行检查，发现安全管理问题和安全隐患，有权提出整改意见，下发整改通知。如分包人未按时按要求整改，则承包人有权进行处罚、停止支付工程进度款，直至分包人达到要求。</w:t>
      </w:r>
    </w:p>
    <w:p w14:paraId="618F2589">
      <w:pPr>
        <w:shd w:val="clear"/>
        <w:adjustRightInd w:val="0"/>
        <w:snapToGrid w:val="0"/>
        <w:spacing w:line="360" w:lineRule="auto"/>
        <w:ind w:firstLine="540" w:firstLineChars="225"/>
        <w:rPr>
          <w:rFonts w:ascii="仿宋" w:hAnsi="仿宋" w:eastAsia="仿宋" w:cs="仿宋"/>
          <w:bCs/>
          <w:sz w:val="24"/>
          <w:highlight w:val="none"/>
        </w:rPr>
      </w:pPr>
      <w:r>
        <w:rPr>
          <w:rFonts w:hint="eastAsia" w:ascii="仿宋" w:hAnsi="仿宋" w:eastAsia="仿宋" w:cs="仿宋"/>
          <w:bCs/>
          <w:sz w:val="24"/>
          <w:highlight w:val="none"/>
        </w:rPr>
        <w:t>（5）有权制止分包人的违章指挥、违章作业的行为。</w:t>
      </w:r>
    </w:p>
    <w:p w14:paraId="1DA56991">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三、承包人确保达到安全目标：无人员伤亡事故，无设备事故，无火灾事故。</w:t>
      </w:r>
    </w:p>
    <w:p w14:paraId="3C99E98F">
      <w:pPr>
        <w:shd w:val="clear"/>
        <w:adjustRightInd w:val="0"/>
        <w:snapToGrid w:val="0"/>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四、承包人负责所承包工程的施工现场及施工队伍居住地的安全、消防管理，一切责任（包括由此所导致的各方人员及财产损失的经济和法律责任）由承包人完全承担。</w:t>
      </w:r>
    </w:p>
    <w:p w14:paraId="29655C1D">
      <w:pPr>
        <w:shd w:val="clea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bCs/>
          <w:sz w:val="24"/>
          <w:highlight w:val="none"/>
        </w:rPr>
        <w:t>五、本协议</w:t>
      </w:r>
      <w:r>
        <w:rPr>
          <w:rFonts w:hint="eastAsia" w:ascii="仿宋" w:hAnsi="仿宋" w:eastAsia="仿宋" w:cs="仿宋"/>
          <w:sz w:val="24"/>
          <w:highlight w:val="none"/>
        </w:rPr>
        <w:t>作为</w:t>
      </w:r>
      <w:r>
        <w:rPr>
          <w:rFonts w:hint="eastAsia" w:ascii="仿宋" w:hAnsi="仿宋" w:eastAsia="仿宋" w:cs="仿宋"/>
          <w:sz w:val="24"/>
          <w:highlight w:val="none"/>
          <w:u w:val="single"/>
        </w:rPr>
        <w:t xml:space="preserve"> 设计施工总承包</w:t>
      </w:r>
      <w:r>
        <w:rPr>
          <w:rFonts w:hint="eastAsia" w:ascii="仿宋" w:hAnsi="仿宋" w:eastAsia="仿宋" w:cs="仿宋"/>
          <w:sz w:val="24"/>
          <w:highlight w:val="none"/>
        </w:rPr>
        <w:t>合同的附件，与合同具有同等的法律效力。</w:t>
      </w:r>
    </w:p>
    <w:p w14:paraId="460B205A">
      <w:pPr>
        <w:shd w:val="clear"/>
        <w:spacing w:line="360" w:lineRule="auto"/>
        <w:ind w:firstLine="480" w:firstLineChars="200"/>
        <w:rPr>
          <w:rFonts w:ascii="仿宋" w:hAnsi="仿宋" w:eastAsia="仿宋" w:cs="仿宋"/>
          <w:sz w:val="24"/>
          <w:highlight w:val="none"/>
        </w:rPr>
      </w:pPr>
      <w:r>
        <w:rPr>
          <w:rFonts w:hint="eastAsia" w:ascii="仿宋" w:hAnsi="仿宋" w:eastAsia="仿宋" w:cs="仿宋"/>
          <w:bCs/>
          <w:sz w:val="24"/>
          <w:highlight w:val="none"/>
        </w:rPr>
        <w:t>六、本协议一式</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份，合同双方当事人各执</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份。有上级部门的，合同双方当事人</w:t>
      </w:r>
      <w:r>
        <w:rPr>
          <w:rFonts w:hint="eastAsia" w:ascii="仿宋" w:hAnsi="仿宋" w:eastAsia="仿宋" w:cs="仿宋"/>
          <w:sz w:val="24"/>
          <w:highlight w:val="none"/>
        </w:rPr>
        <w:t>应送交其上级部门各一份。</w:t>
      </w:r>
    </w:p>
    <w:p w14:paraId="30463887">
      <w:pPr>
        <w:shd w:val="clear"/>
        <w:spacing w:line="360" w:lineRule="auto"/>
        <w:ind w:firstLine="480" w:firstLineChars="200"/>
        <w:rPr>
          <w:rFonts w:ascii="仿宋" w:hAnsi="仿宋" w:eastAsia="仿宋" w:cs="仿宋"/>
          <w:sz w:val="24"/>
          <w:highlight w:val="none"/>
        </w:rPr>
      </w:pPr>
    </w:p>
    <w:p w14:paraId="155B34ED">
      <w:pPr>
        <w:shd w:val="clear"/>
        <w:spacing w:line="360" w:lineRule="auto"/>
        <w:ind w:firstLine="480" w:firstLineChars="200"/>
        <w:rPr>
          <w:rFonts w:ascii="仿宋" w:hAnsi="仿宋" w:eastAsia="仿宋" w:cs="仿宋"/>
          <w:sz w:val="24"/>
          <w:highlight w:val="none"/>
        </w:rPr>
      </w:pPr>
    </w:p>
    <w:p w14:paraId="53F094E6">
      <w:pPr>
        <w:shd w:val="clear"/>
        <w:spacing w:line="360" w:lineRule="auto"/>
        <w:ind w:firstLine="480" w:firstLineChars="200"/>
        <w:jc w:val="center"/>
        <w:rPr>
          <w:rFonts w:ascii="仿宋" w:hAnsi="仿宋" w:eastAsia="仿宋" w:cs="仿宋"/>
          <w:sz w:val="24"/>
          <w:highlight w:val="none"/>
        </w:rPr>
      </w:pPr>
      <w:r>
        <w:rPr>
          <w:rFonts w:hint="eastAsia" w:ascii="仿宋" w:hAnsi="仿宋" w:eastAsia="仿宋" w:cs="仿宋"/>
          <w:sz w:val="24"/>
          <w:highlight w:val="none"/>
        </w:rPr>
        <w:t>（以下无正文）</w:t>
      </w:r>
    </w:p>
    <w:p w14:paraId="40568BF6">
      <w:pPr>
        <w:shd w:val="clear"/>
        <w:adjustRightInd w:val="0"/>
        <w:snapToGrid w:val="0"/>
        <w:spacing w:line="360" w:lineRule="auto"/>
        <w:ind w:firstLine="480" w:firstLineChars="200"/>
        <w:rPr>
          <w:rFonts w:hint="eastAsia" w:ascii="仿宋" w:hAnsi="仿宋" w:eastAsia="仿宋" w:cs="仿宋"/>
          <w:color w:val="auto"/>
          <w:sz w:val="24"/>
          <w:highlight w:val="none"/>
        </w:rPr>
      </w:pPr>
    </w:p>
    <w:p w14:paraId="5259ACDE">
      <w:pPr>
        <w:pStyle w:val="3"/>
        <w:shd w:val="clear"/>
        <w:rPr>
          <w:rFonts w:hint="eastAsia"/>
          <w:highlight w:val="none"/>
        </w:rPr>
      </w:pPr>
    </w:p>
    <w:p w14:paraId="745A8CBD">
      <w:pPr>
        <w:shd w:val="clear"/>
        <w:adjustRightInd w:val="0"/>
        <w:snapToGrid w:val="0"/>
        <w:spacing w:line="360" w:lineRule="auto"/>
        <w:ind w:left="2640" w:hanging="2640" w:hangingChars="1100"/>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w:t>
      </w:r>
      <w:r>
        <w:rPr>
          <w:rFonts w:hint="eastAsia" w:ascii="仿宋" w:hAnsi="仿宋" w:eastAsia="仿宋" w:cs="仿宋"/>
          <w:color w:val="auto"/>
          <w:sz w:val="24"/>
          <w:highlight w:val="none"/>
          <w:u w:val="single"/>
        </w:rPr>
        <w:t>广州白云湖投资发展有限公司</w:t>
      </w:r>
      <w:r>
        <w:rPr>
          <w:rFonts w:hint="eastAsia" w:ascii="仿宋" w:hAnsi="仿宋" w:eastAsia="仿宋" w:cs="仿宋"/>
          <w:color w:val="auto"/>
          <w:sz w:val="24"/>
          <w:highlight w:val="none"/>
        </w:rPr>
        <w:t xml:space="preserve">  承包人：</w:t>
      </w:r>
    </w:p>
    <w:p w14:paraId="631220AB">
      <w:pPr>
        <w:shd w:val="clear"/>
        <w:adjustRightInd w:val="0"/>
        <w:snapToGrid w:val="0"/>
        <w:spacing w:line="360" w:lineRule="auto"/>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 xml:space="preserve"> </w:t>
      </w:r>
    </w:p>
    <w:p w14:paraId="36D50E73">
      <w:pPr>
        <w:pStyle w:val="3"/>
        <w:shd w:val="clear"/>
        <w:spacing w:before="0" w:after="0"/>
        <w:ind w:firstLine="0" w:firstLineChars="0"/>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或授权代表人：                      或授权代表人：</w:t>
      </w:r>
    </w:p>
    <w:p w14:paraId="142F717B">
      <w:pPr>
        <w:shd w:val="clea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联系电话：                          联系电话：</w:t>
      </w:r>
    </w:p>
    <w:p w14:paraId="6A43DF08">
      <w:pPr>
        <w:shd w:val="clear"/>
        <w:spacing w:line="360" w:lineRule="auto"/>
        <w:ind w:firstLine="0" w:firstLineChars="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上级部门：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上级部门：</w:t>
      </w:r>
    </w:p>
    <w:p w14:paraId="2EC382F9">
      <w:pPr>
        <w:shd w:val="clear"/>
        <w:adjustRightInd w:val="0"/>
        <w:snapToGrid w:val="0"/>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年  月  日                             年  月  日</w:t>
      </w:r>
    </w:p>
    <w:p w14:paraId="1AAE1AD1">
      <w:pPr>
        <w:shd w:val="clear"/>
        <w:spacing w:line="360" w:lineRule="auto"/>
        <w:ind w:firstLine="480" w:firstLineChars="200"/>
        <w:jc w:val="center"/>
        <w:rPr>
          <w:rFonts w:ascii="仿宋" w:hAnsi="仿宋" w:eastAsia="仿宋" w:cs="仿宋"/>
          <w:sz w:val="24"/>
          <w:highlight w:val="none"/>
        </w:rPr>
      </w:pPr>
    </w:p>
    <w:p w14:paraId="0D05DE7B">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9D150DC">
      <w:pPr>
        <w:pStyle w:val="3"/>
        <w:shd w:val="clear"/>
        <w:rPr>
          <w:rFonts w:ascii="仿宋" w:hAnsi="仿宋" w:eastAsia="仿宋" w:cs="仿宋"/>
          <w:sz w:val="24"/>
          <w:szCs w:val="24"/>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eastAsia="zh"/>
          <w:woUserID w:val="2"/>
        </w:rPr>
        <w:t>七</w:t>
      </w:r>
      <w:r>
        <w:rPr>
          <w:rFonts w:hint="eastAsia" w:ascii="仿宋" w:hAnsi="仿宋" w:eastAsia="仿宋" w:cs="仿宋"/>
          <w:color w:val="auto"/>
          <w:sz w:val="24"/>
          <w:highlight w:val="none"/>
        </w:rPr>
        <w:t>：</w:t>
      </w:r>
      <w:r>
        <w:rPr>
          <w:rFonts w:hint="eastAsia" w:ascii="仿宋" w:hAnsi="仿宋" w:eastAsia="仿宋" w:cs="仿宋"/>
          <w:sz w:val="24"/>
          <w:szCs w:val="24"/>
          <w:highlight w:val="none"/>
        </w:rPr>
        <w:t>关于按时足额发放工人工资的承诺书</w:t>
      </w:r>
    </w:p>
    <w:p w14:paraId="56AF0663">
      <w:pPr>
        <w:shd w:val="clear"/>
        <w:rPr>
          <w:rFonts w:ascii="仿宋" w:hAnsi="仿宋" w:eastAsia="仿宋" w:cs="仿宋"/>
          <w:highlight w:val="none"/>
          <w:lang w:val="zh-CN"/>
        </w:rPr>
      </w:pPr>
    </w:p>
    <w:p w14:paraId="681E56B3">
      <w:pPr>
        <w:shd w:val="clear"/>
        <w:tabs>
          <w:tab w:val="left" w:pos="-1500"/>
          <w:tab w:val="left" w:pos="780"/>
        </w:tabs>
        <w:spacing w:before="120"/>
        <w:ind w:firstLine="480"/>
        <w:jc w:val="center"/>
        <w:rPr>
          <w:rFonts w:ascii="仿宋" w:hAnsi="仿宋" w:eastAsia="仿宋" w:cs="仿宋"/>
          <w:b/>
          <w:sz w:val="32"/>
          <w:szCs w:val="32"/>
          <w:highlight w:val="none"/>
        </w:rPr>
      </w:pPr>
      <w:r>
        <w:rPr>
          <w:rFonts w:hint="eastAsia" w:ascii="仿宋" w:hAnsi="仿宋" w:eastAsia="仿宋" w:cs="仿宋"/>
          <w:b/>
          <w:sz w:val="32"/>
          <w:szCs w:val="32"/>
          <w:highlight w:val="none"/>
        </w:rPr>
        <w:t>关于按时足额发放工人工资的承诺书</w:t>
      </w:r>
    </w:p>
    <w:p w14:paraId="72ACD639">
      <w:pPr>
        <w:shd w:val="clear"/>
        <w:autoSpaceDE w:val="0"/>
        <w:autoSpaceDN w:val="0"/>
        <w:spacing w:before="120" w:line="360" w:lineRule="auto"/>
        <w:ind w:firstLine="480"/>
        <w:rPr>
          <w:rFonts w:ascii="仿宋" w:hAnsi="仿宋" w:eastAsia="仿宋" w:cs="仿宋"/>
          <w:b/>
          <w:bCs/>
          <w:sz w:val="24"/>
          <w:highlight w:val="none"/>
        </w:rPr>
      </w:pPr>
    </w:p>
    <w:p w14:paraId="1469D1F1">
      <w:pPr>
        <w:shd w:val="clear"/>
        <w:spacing w:before="120" w:line="360" w:lineRule="auto"/>
        <w:ind w:firstLine="480"/>
        <w:rPr>
          <w:rFonts w:ascii="仿宋" w:hAnsi="仿宋" w:eastAsia="仿宋" w:cs="仿宋"/>
          <w:sz w:val="24"/>
          <w:highlight w:val="none"/>
          <w:u w:val="singl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广州白云湖投资发展有限公司  </w:t>
      </w:r>
    </w:p>
    <w:p w14:paraId="37E6F8B6">
      <w:pPr>
        <w:shd w:val="clear"/>
        <w:spacing w:before="120" w:line="360" w:lineRule="auto"/>
        <w:ind w:firstLine="482"/>
        <w:rPr>
          <w:rFonts w:ascii="仿宋" w:hAnsi="仿宋" w:eastAsia="仿宋" w:cs="仿宋"/>
          <w:sz w:val="24"/>
          <w:highlight w:val="none"/>
        </w:rPr>
      </w:pPr>
      <w:r>
        <w:rPr>
          <w:rFonts w:hint="eastAsia" w:ascii="仿宋" w:hAnsi="仿宋" w:eastAsia="仿宋" w:cs="仿宋"/>
          <w:sz w:val="24"/>
          <w:highlight w:val="none"/>
        </w:rPr>
        <w:t>由</w:t>
      </w:r>
      <w:r>
        <w:rPr>
          <w:rFonts w:hint="eastAsia" w:ascii="仿宋" w:hAnsi="仿宋" w:eastAsia="仿宋" w:cs="仿宋"/>
          <w:sz w:val="24"/>
          <w:highlight w:val="none"/>
          <w:lang w:eastAsia="zh"/>
          <w:woUserID w:val="2"/>
        </w:rPr>
        <w:t>我司</w:t>
      </w:r>
      <w:r>
        <w:rPr>
          <w:rFonts w:hint="eastAsia" w:ascii="仿宋" w:hAnsi="仿宋" w:eastAsia="仿宋" w:cs="仿宋"/>
          <w:sz w:val="24"/>
          <w:highlight w:val="none"/>
        </w:rPr>
        <w:t>承建的</w:t>
      </w:r>
      <w:r>
        <w:rPr>
          <w:rFonts w:hint="eastAsia" w:ascii="仿宋" w:hAnsi="仿宋" w:eastAsia="仿宋" w:cs="仿宋"/>
          <w:sz w:val="24"/>
          <w:highlight w:val="none"/>
          <w:u w:val="single"/>
        </w:rPr>
        <w:t xml:space="preserve"> 设计施工总承包</w:t>
      </w:r>
      <w:r>
        <w:rPr>
          <w:rFonts w:hint="eastAsia" w:ascii="仿宋" w:hAnsi="仿宋" w:eastAsia="仿宋" w:cs="仿宋"/>
          <w:sz w:val="24"/>
          <w:highlight w:val="none"/>
        </w:rPr>
        <w:t>项目现正在施工。按国家法律规定，施工单位应当按时足额支付工人工资，这是施工单位必须履行的法定义务。我公司特此保证：本承诺书签署之日，我司将按国家规定在施工过程中足额支付本工程所有工人工资，我司施工的本工程不出现拖欠任何工人工资。</w:t>
      </w:r>
    </w:p>
    <w:p w14:paraId="29EEBB81">
      <w:pPr>
        <w:shd w:val="clear"/>
        <w:spacing w:before="120" w:line="360" w:lineRule="auto"/>
        <w:ind w:firstLine="482"/>
        <w:rPr>
          <w:rFonts w:ascii="仿宋" w:hAnsi="仿宋" w:eastAsia="仿宋" w:cs="仿宋"/>
          <w:sz w:val="24"/>
          <w:highlight w:val="none"/>
        </w:rPr>
      </w:pPr>
      <w:r>
        <w:rPr>
          <w:rFonts w:hint="eastAsia" w:ascii="仿宋" w:hAnsi="仿宋" w:eastAsia="仿宋" w:cs="仿宋"/>
          <w:sz w:val="24"/>
          <w:highlight w:val="none"/>
        </w:rPr>
        <w:t>以上情况及保证与承诺，我司愿承担一切法律责任及后果。如施工过程发生工人到贵司索要工资或出现工人闹事、向媒体爆料、向仲裁机构或法院起诉、到政府有关部门上访等的现象，贵司有权暂停支付工程款，我司愿按照每人每次10000元的标准向贵司承担违约赔偿责任。该违约金在贵司拨付我司的工程款中扣除。如工程款不足抵扣，则由我司以现金形式补足。</w:t>
      </w:r>
    </w:p>
    <w:p w14:paraId="21794257">
      <w:pPr>
        <w:shd w:val="clear"/>
        <w:spacing w:before="120" w:line="360" w:lineRule="auto"/>
        <w:ind w:firstLine="482"/>
        <w:rPr>
          <w:rFonts w:ascii="仿宋" w:hAnsi="仿宋" w:eastAsia="仿宋" w:cs="仿宋"/>
          <w:sz w:val="24"/>
          <w:highlight w:val="none"/>
        </w:rPr>
      </w:pPr>
      <w:r>
        <w:rPr>
          <w:rFonts w:hint="eastAsia" w:ascii="仿宋" w:hAnsi="仿宋" w:eastAsia="仿宋" w:cs="仿宋"/>
          <w:sz w:val="24"/>
          <w:highlight w:val="none"/>
        </w:rPr>
        <w:t>特此保证！</w:t>
      </w:r>
    </w:p>
    <w:p w14:paraId="5DA152FA">
      <w:pPr>
        <w:shd w:val="clear"/>
        <w:spacing w:before="120" w:line="500" w:lineRule="exact"/>
        <w:ind w:firstLine="482"/>
        <w:rPr>
          <w:rFonts w:ascii="仿宋" w:hAnsi="仿宋" w:eastAsia="仿宋" w:cs="仿宋"/>
          <w:sz w:val="24"/>
          <w:highlight w:val="none"/>
        </w:rPr>
      </w:pPr>
    </w:p>
    <w:p w14:paraId="36306CF9">
      <w:pPr>
        <w:shd w:val="clear"/>
        <w:spacing w:before="120" w:line="500" w:lineRule="exact"/>
        <w:ind w:firstLine="4080" w:firstLineChars="1700"/>
        <w:rPr>
          <w:rFonts w:ascii="仿宋" w:hAnsi="仿宋" w:eastAsia="仿宋" w:cs="仿宋"/>
          <w:sz w:val="24"/>
          <w:highlight w:val="none"/>
        </w:rPr>
      </w:pPr>
      <w:r>
        <w:rPr>
          <w:rFonts w:hint="eastAsia" w:ascii="仿宋" w:hAnsi="仿宋" w:eastAsia="仿宋" w:cs="仿宋"/>
          <w:sz w:val="24"/>
          <w:highlight w:val="none"/>
        </w:rPr>
        <w:t>承诺单位：（公章）</w:t>
      </w:r>
    </w:p>
    <w:p w14:paraId="5B115927">
      <w:pPr>
        <w:shd w:val="clear"/>
        <w:spacing w:before="120" w:line="500" w:lineRule="exact"/>
        <w:ind w:firstLine="4080" w:firstLineChars="1700"/>
        <w:rPr>
          <w:rFonts w:ascii="仿宋" w:hAnsi="仿宋" w:eastAsia="仿宋" w:cs="仿宋"/>
          <w:sz w:val="24"/>
          <w:highlight w:val="none"/>
        </w:rPr>
      </w:pPr>
      <w:r>
        <w:rPr>
          <w:rFonts w:hint="eastAsia" w:ascii="仿宋" w:hAnsi="仿宋" w:eastAsia="仿宋" w:cs="仿宋"/>
          <w:sz w:val="24"/>
          <w:highlight w:val="none"/>
        </w:rPr>
        <w:t>法定代表人（签字或盖章）：</w:t>
      </w:r>
    </w:p>
    <w:p w14:paraId="746A0569">
      <w:pPr>
        <w:shd w:val="clear"/>
        <w:spacing w:before="120" w:line="500" w:lineRule="exact"/>
        <w:ind w:firstLine="4080" w:firstLineChars="1700"/>
        <w:rPr>
          <w:rFonts w:ascii="仿宋" w:hAnsi="仿宋" w:eastAsia="仿宋" w:cs="仿宋"/>
          <w:sz w:val="24"/>
          <w:highlight w:val="none"/>
        </w:rPr>
      </w:pPr>
      <w:r>
        <w:rPr>
          <w:rFonts w:hint="eastAsia" w:ascii="仿宋" w:hAnsi="仿宋" w:eastAsia="仿宋" w:cs="仿宋"/>
          <w:sz w:val="24"/>
          <w:highlight w:val="none"/>
        </w:rPr>
        <w:t>2024年     月     日</w:t>
      </w:r>
    </w:p>
    <w:p w14:paraId="09B5DCAA">
      <w:pPr>
        <w:pStyle w:val="3"/>
        <w:numPr>
          <w:ilvl w:val="1"/>
          <w:numId w:val="0"/>
        </w:numPr>
        <w:shd w:val="clear"/>
        <w:spacing w:after="0"/>
        <w:rPr>
          <w:rFonts w:hint="eastAsia" w:ascii="仿宋" w:hAnsi="仿宋" w:eastAsia="仿宋" w:cs="仿宋"/>
          <w:color w:val="auto"/>
          <w:sz w:val="24"/>
          <w:highlight w:val="none"/>
        </w:rPr>
      </w:pPr>
    </w:p>
    <w:p w14:paraId="784AB1E4">
      <w:pPr>
        <w:shd w:val="clea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E4CC3AF">
      <w:pPr>
        <w:pStyle w:val="3"/>
        <w:numPr>
          <w:ilvl w:val="1"/>
          <w:numId w:val="0"/>
        </w:numPr>
        <w:shd w:val="clear"/>
        <w:spacing w:after="0"/>
        <w:rPr>
          <w:rFonts w:ascii="仿宋" w:hAnsi="仿宋" w:eastAsia="仿宋" w:cs="仿宋"/>
          <w:color w:val="auto"/>
          <w:sz w:val="24"/>
          <w:highlight w:val="none"/>
        </w:rPr>
      </w:pPr>
      <w:bookmarkStart w:id="293" w:name="_Toc82013106"/>
      <w:bookmarkStart w:id="294" w:name="_Toc83377309"/>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w:t>
      </w:r>
      <w:bookmarkStart w:id="295" w:name="_Toc16103"/>
      <w:bookmarkStart w:id="296" w:name="_Toc6368"/>
      <w:bookmarkStart w:id="297" w:name="_Toc56070328"/>
      <w:bookmarkStart w:id="298" w:name="_Toc13636"/>
      <w:bookmarkStart w:id="299" w:name="_Toc32143"/>
      <w:bookmarkStart w:id="300" w:name="_Toc3230"/>
      <w:bookmarkStart w:id="301" w:name="_Toc25261"/>
      <w:bookmarkStart w:id="302" w:name="_Toc22704"/>
      <w:bookmarkStart w:id="303" w:name="_Toc7076"/>
      <w:bookmarkStart w:id="304" w:name="_Toc16304"/>
      <w:bookmarkStart w:id="305" w:name="_Toc57144774"/>
      <w:r>
        <w:rPr>
          <w:rFonts w:hint="eastAsia" w:ascii="仿宋" w:hAnsi="仿宋" w:eastAsia="仿宋" w:cs="仿宋"/>
          <w:color w:val="auto"/>
          <w:sz w:val="24"/>
          <w:highlight w:val="none"/>
        </w:rPr>
        <w:t>关于设计变更及现场签证管理规定</w:t>
      </w:r>
      <w:bookmarkEnd w:id="293"/>
      <w:bookmarkEnd w:id="294"/>
    </w:p>
    <w:bookmarkEnd w:id="295"/>
    <w:bookmarkEnd w:id="296"/>
    <w:bookmarkEnd w:id="297"/>
    <w:bookmarkEnd w:id="298"/>
    <w:bookmarkEnd w:id="299"/>
    <w:bookmarkEnd w:id="300"/>
    <w:bookmarkEnd w:id="301"/>
    <w:bookmarkEnd w:id="302"/>
    <w:bookmarkEnd w:id="303"/>
    <w:bookmarkEnd w:id="304"/>
    <w:bookmarkEnd w:id="305"/>
    <w:p w14:paraId="1F064FC8">
      <w:pPr>
        <w:shd w:val="clear"/>
        <w:tabs>
          <w:tab w:val="left" w:pos="-1500"/>
          <w:tab w:val="left" w:pos="780"/>
        </w:tabs>
        <w:spacing w:before="158"/>
        <w:ind w:firstLine="422"/>
        <w:jc w:val="center"/>
        <w:rPr>
          <w:rFonts w:ascii="仿宋" w:hAnsi="仿宋" w:eastAsia="仿宋" w:cs="仿宋"/>
          <w:b/>
          <w:bCs/>
          <w:color w:val="auto"/>
          <w:sz w:val="32"/>
          <w:szCs w:val="32"/>
          <w:highlight w:val="none"/>
        </w:rPr>
      </w:pPr>
      <w:r>
        <w:rPr>
          <w:rFonts w:hint="eastAsia" w:ascii="仿宋" w:hAnsi="仿宋" w:eastAsia="仿宋" w:cs="仿宋"/>
          <w:b/>
          <w:color w:val="auto"/>
          <w:sz w:val="32"/>
          <w:szCs w:val="32"/>
          <w:highlight w:val="none"/>
        </w:rPr>
        <w:t>关于设计变更及现场签证管理规定</w:t>
      </w:r>
    </w:p>
    <w:p w14:paraId="3B5509D7">
      <w:pPr>
        <w:shd w:val="clear"/>
        <w:spacing w:line="360" w:lineRule="auto"/>
        <w:ind w:firstLine="170" w:firstLineChars="71"/>
        <w:rPr>
          <w:rFonts w:ascii="仿宋" w:hAnsi="仿宋" w:eastAsia="仿宋" w:cs="仿宋"/>
          <w:bCs/>
          <w:color w:val="auto"/>
          <w:sz w:val="24"/>
          <w:highlight w:val="none"/>
        </w:rPr>
      </w:pPr>
    </w:p>
    <w:p w14:paraId="1057DC65">
      <w:pPr>
        <w:numPr>
          <w:ilvl w:val="0"/>
          <w:numId w:val="8"/>
        </w:numPr>
        <w:shd w:val="clear"/>
        <w:tabs>
          <w:tab w:val="left" w:pos="-1500"/>
          <w:tab w:val="left" w:pos="780"/>
        </w:tabs>
        <w:spacing w:line="360" w:lineRule="auto"/>
        <w:ind w:firstLine="422"/>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关于设计变更及现场签证办理的规定</w:t>
      </w:r>
    </w:p>
    <w:p w14:paraId="69CA7E4C">
      <w:pPr>
        <w:shd w:val="clear"/>
        <w:tabs>
          <w:tab w:val="left" w:pos="900"/>
        </w:tabs>
        <w:autoSpaceDE w:val="0"/>
        <w:autoSpaceDN w:val="0"/>
        <w:adjustRightInd w:val="0"/>
        <w:spacing w:line="360" w:lineRule="auto"/>
        <w:ind w:firstLine="420"/>
        <w:rPr>
          <w:rFonts w:ascii="仿宋" w:hAnsi="仿宋" w:eastAsia="仿宋" w:cs="仿宋"/>
          <w:color w:val="auto"/>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就总承包施工工程范围内的有关工作，发包人随时可以向承包人发出指令，承包人应执行发包人根据本合同所发出的所有指令。</w:t>
      </w:r>
      <w:r>
        <w:rPr>
          <w:rFonts w:hint="eastAsia" w:ascii="仿宋" w:hAnsi="仿宋" w:eastAsia="仿宋" w:cs="仿宋"/>
          <w:color w:val="auto"/>
          <w:sz w:val="24"/>
          <w:highlight w:val="none"/>
        </w:rPr>
        <w:t>所有的设计变更及现场签证都需经过</w:t>
      </w:r>
      <w:r>
        <w:rPr>
          <w:rFonts w:hint="eastAsia" w:ascii="仿宋" w:hAnsi="仿宋" w:eastAsia="仿宋" w:cs="仿宋"/>
          <w:color w:val="auto"/>
          <w:sz w:val="24"/>
          <w:highlight w:val="none"/>
          <w:lang w:val="en-US" w:eastAsia="zh-CN"/>
        </w:rPr>
        <w:t>监理、第三方造价咨询单位（如有）、发包人盖章</w:t>
      </w:r>
      <w:r>
        <w:rPr>
          <w:rFonts w:hint="eastAsia" w:ascii="仿宋" w:hAnsi="仿宋" w:eastAsia="仿宋" w:cs="仿宋"/>
          <w:color w:val="auto"/>
          <w:sz w:val="24"/>
          <w:highlight w:val="none"/>
        </w:rPr>
        <w:t>审批通过后方可实施。</w:t>
      </w:r>
    </w:p>
    <w:p w14:paraId="6C843784">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2．设计变更及现场签证的上报、会签及审批均应遵循严格的时间规定。逾期不报、会签及审批不及时等导致变更实施或结算延误的，均应承担相应责任。</w:t>
      </w:r>
    </w:p>
    <w:p w14:paraId="219ACC89">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3．发包人发出的设计变更单、现场签证单，应加盖合同规定的发包人印章，否则承包人可以不接受；承包人完工后申报的变更结算书，应加盖合同规定的承包人印章，否则发包人将不予结算费用。</w:t>
      </w:r>
    </w:p>
    <w:p w14:paraId="6833C2CE">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4．合同履约中，发包人、承包人双方填制的变更通知单都应使用发包人公司规定的标准表格（附表7-1~4），否则发包人可以不予审核费用，承包人承担相关责任。</w:t>
      </w:r>
    </w:p>
    <w:p w14:paraId="6DC2E5B6">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5．承包人完成发包人发出变更通知单的全部施工内容，并在合格并确认工程量后5个日历天内（不含法定节假日，从监理及发包人工地代表确认完工情况的日期计算），必须发起现场签证、设计变更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并取得监理、第三方造价咨询单位（如有）、发包人</w:t>
      </w:r>
      <w:r>
        <w:rPr>
          <w:rFonts w:hint="eastAsia" w:ascii="仿宋" w:hAnsi="仿宋" w:eastAsia="仿宋" w:cs="仿宋"/>
          <w:color w:val="auto"/>
          <w:sz w:val="24"/>
          <w:highlight w:val="none"/>
        </w:rPr>
        <w:t>确认，否则视为合同变更失效，不予计取相应的变更结算。</w:t>
      </w:r>
    </w:p>
    <w:p w14:paraId="28657D53">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6．发包人、承包人对变更通知单分类连续编号，发包人、承包人双方都应做好变更的交付记录，资料交付时接受方不得拒签。</w:t>
      </w:r>
    </w:p>
    <w:p w14:paraId="75EDC4FD">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．承包人必须承诺在合同签订的同时完成《委托授权书》（格式详见第（六）条）的授权工作。</w:t>
      </w:r>
    </w:p>
    <w:p w14:paraId="58024C44">
      <w:pPr>
        <w:shd w:val="clear"/>
        <w:tabs>
          <w:tab w:val="left" w:pos="-1500"/>
          <w:tab w:val="left" w:pos="780"/>
        </w:tabs>
        <w:spacing w:line="360" w:lineRule="auto"/>
        <w:ind w:firstLine="422"/>
        <w:rPr>
          <w:rFonts w:ascii="仿宋" w:hAnsi="仿宋" w:eastAsia="仿宋" w:cs="仿宋"/>
          <w:b/>
          <w:bCs/>
          <w:color w:val="auto"/>
          <w:sz w:val="24"/>
          <w:highlight w:val="none"/>
        </w:rPr>
      </w:pPr>
      <w:r>
        <w:rPr>
          <w:rFonts w:hint="eastAsia" w:ascii="仿宋" w:hAnsi="仿宋" w:eastAsia="仿宋" w:cs="仿宋"/>
          <w:b/>
          <w:bCs/>
          <w:color w:val="auto"/>
          <w:sz w:val="24"/>
          <w:highlight w:val="none"/>
        </w:rPr>
        <w:t>（二）关于价款变更的规定</w:t>
      </w:r>
    </w:p>
    <w:p w14:paraId="4D728DA9">
      <w:pPr>
        <w:shd w:val="clear"/>
        <w:tabs>
          <w:tab w:val="left" w:pos="-1500"/>
          <w:tab w:val="left" w:pos="780"/>
        </w:tabs>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1．若承包范围与内容发生变更（包括：承包范围、工作内容或所使用的主要材料发生变更），对变更的工程量（该工程量必须以书面形式报发包人审核同意）作调整，综合合价包干的</w:t>
      </w:r>
      <w:r>
        <w:rPr>
          <w:rFonts w:hint="eastAsia" w:ascii="仿宋" w:hAnsi="仿宋" w:eastAsia="仿宋" w:cs="仿宋"/>
          <w:color w:val="auto"/>
          <w:spacing w:val="4"/>
          <w:sz w:val="24"/>
          <w:highlight w:val="none"/>
        </w:rPr>
        <w:t>措施项目费及其他项目费不予计取。</w:t>
      </w:r>
      <w:r>
        <w:rPr>
          <w:rFonts w:hint="eastAsia" w:ascii="仿宋" w:hAnsi="仿宋" w:eastAsia="仿宋" w:cs="仿宋"/>
          <w:color w:val="auto"/>
          <w:sz w:val="24"/>
          <w:highlight w:val="none"/>
        </w:rPr>
        <w:t>计价原则</w:t>
      </w:r>
      <w:r>
        <w:rPr>
          <w:rFonts w:hint="eastAsia" w:ascii="仿宋" w:hAnsi="仿宋" w:eastAsia="仿宋" w:cs="仿宋"/>
          <w:color w:val="auto"/>
          <w:sz w:val="24"/>
          <w:highlight w:val="none"/>
          <w:lang w:val="en-US" w:eastAsia="zh-CN"/>
        </w:rPr>
        <w:t>参考合同条款第34点执行。</w:t>
      </w:r>
    </w:p>
    <w:p w14:paraId="7F9A0A5D">
      <w:pPr>
        <w:shd w:val="clear"/>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2．因承包人自身原因导致的工程变更，承包人无权要求追加合同价款。</w:t>
      </w:r>
    </w:p>
    <w:p w14:paraId="7019EA2D">
      <w:pPr>
        <w:shd w:val="clear"/>
        <w:tabs>
          <w:tab w:val="left" w:pos="-1500"/>
          <w:tab w:val="left" w:pos="780"/>
        </w:tabs>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（三）关于变更计量的规定</w:t>
      </w:r>
    </w:p>
    <w:p w14:paraId="5F3F288C">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1．合同变更的计量，原则上除配合施工现场发生的与主体工程施工无关的零星用工、零星台班、零星材料以及与主体工程施工有关的零星项目而工程量不能核定，可以以台班、工日、项为计量单位外（此种情况必须阐明原因），其它能以图纸进行计量的，必须按图纸进行计量。计时工、机械台班必须严格按实统计，不得以考虑定额价和市场价不对等为由而增加数量。当发生计日工、机械台班等零星工程时，采用一日一签的方式进行计量记录，并对施工班组的人员名单及停滞大型设备机械的照片（如吊车、塔吊、挖掘机等）作书面记录和照片进行确认。</w:t>
      </w:r>
    </w:p>
    <w:p w14:paraId="44E21832">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2．若能以图纸计量却采用现场签工、签量的方式进行计量的，一律无效。工程量必须依据合同约定（通常包括工程量计算规范和综合定额）的工程量计算规则计取。</w:t>
      </w:r>
    </w:p>
    <w:p w14:paraId="659C8052">
      <w:pPr>
        <w:shd w:val="clear"/>
        <w:tabs>
          <w:tab w:val="left" w:pos="-1500"/>
          <w:tab w:val="left" w:pos="780"/>
        </w:tabs>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（四）关于变更结算的规定</w:t>
      </w:r>
    </w:p>
    <w:p w14:paraId="69E88A24">
      <w:pPr>
        <w:shd w:val="clear"/>
        <w:tabs>
          <w:tab w:val="left" w:pos="-1500"/>
          <w:tab w:val="left" w:pos="780"/>
        </w:tabs>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一份变更费用审核书只能计算一份设计变更或现场签证。若设计变更、现场签证的内容涉及不同合同，承包人应依据合同范围分列结算单办理结算。发包人不接受承包人将多份或者合同范围不同的设计变更、现场签证列入同一个结算单中，也不接受承包人将相同合同范围的一份设计变更、现场签证拆分到多个结算单中。</w:t>
      </w:r>
    </w:p>
    <w:p w14:paraId="44F9E2A7">
      <w:pPr>
        <w:shd w:val="clear"/>
        <w:tabs>
          <w:tab w:val="left" w:pos="-1500"/>
          <w:tab w:val="left" w:pos="780"/>
        </w:tabs>
        <w:ind w:firstLine="420"/>
        <w:rPr>
          <w:rFonts w:ascii="仿宋" w:hAnsi="仿宋" w:eastAsia="仿宋" w:cs="仿宋"/>
          <w:color w:val="auto"/>
          <w:sz w:val="24"/>
          <w:highlight w:val="none"/>
        </w:rPr>
      </w:pPr>
      <w:r>
        <w:rPr>
          <w:rFonts w:hint="eastAsia" w:ascii="仿宋" w:hAnsi="仿宋" w:eastAsia="仿宋" w:cs="仿宋"/>
          <w:color w:val="auto"/>
          <w:sz w:val="24"/>
          <w:highlight w:val="none"/>
        </w:rPr>
        <w:t>2．设计变更、现场签证办理结算前承包人准备申报资料包括但不限于以下内容：</w:t>
      </w:r>
    </w:p>
    <w:p w14:paraId="327E5D7A">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（1）合同变更指令单及实施确认单；</w:t>
      </w:r>
    </w:p>
    <w:p w14:paraId="3A91BC51">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（2）工程量及造价计算书（计价软件）；</w:t>
      </w:r>
    </w:p>
    <w:p w14:paraId="13F6D881">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（3）新增（变更）综合单价的审批文件；</w:t>
      </w:r>
    </w:p>
    <w:p w14:paraId="743B6D53">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（4）施工方案（涉及施工方案的附审核通过的施工方案）；</w:t>
      </w:r>
    </w:p>
    <w:p w14:paraId="4E152121">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（5）现场测量记录（或拆除、隐蔽工程清晰的影像资料等）； </w:t>
      </w:r>
    </w:p>
    <w:p w14:paraId="56368EC7">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（6）设计变更应提供设计变更图纸；</w:t>
      </w:r>
    </w:p>
    <w:p w14:paraId="4019FA69">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（7）现场签证完工确认表及相关照片；</w:t>
      </w:r>
    </w:p>
    <w:p w14:paraId="3A2AA134">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（8）价差调整和品牌更换的依据材料；</w:t>
      </w:r>
    </w:p>
    <w:p w14:paraId="710D6388">
      <w:pPr>
        <w:shd w:val="clear"/>
        <w:tabs>
          <w:tab w:val="left" w:pos="-1500"/>
          <w:tab w:val="left" w:pos="780"/>
        </w:tabs>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（9）其它会议纪要、图纸会审记录、工作联系单等合同变更相关资料。</w:t>
      </w:r>
    </w:p>
    <w:p w14:paraId="30E425B3">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3．报价文件约定材料品牌或型号发生变化时，以及甲招乙供材料品牌或型号发生变化时，增减造价计价方式为：（变更后的主材单价-原主材单价）×工程量×（1+损耗率）×(1+税率)。</w:t>
      </w:r>
    </w:p>
    <w:p w14:paraId="7BE58A6F">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4．若在原施工图或承包范围外增加工程，其计价方法为：增加工程量×综合单价×(1+税率)，属于按系数计算措施费不予计算，其他按工程量计算的措施费按实调整（合同约定措施费包干除外），综合单价的确定原则参考本附件第（二）条。</w:t>
      </w:r>
    </w:p>
    <w:p w14:paraId="265F6A16">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5．若因施工图或承包范围与内容发生变更，及增加或减少工程量，当引起本工程合同造价增加幅度(X)≥10%时，按以上条款进行计价并由承、发包双方签订补充合同。</w:t>
      </w:r>
    </w:p>
    <w:p w14:paraId="6F84D70B">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6．因发包人要求或现场实际情况须对设计图纸进行修改，从而造成承包人返工的，经设计单位和发包人确认后，所引起的工程量增减按实际结算。对由于承包人原因导致的设计变更，费用由承包人承担，且工期不予顺延。</w:t>
      </w:r>
    </w:p>
    <w:p w14:paraId="061BD7D1">
      <w:pPr>
        <w:shd w:val="clear"/>
        <w:tabs>
          <w:tab w:val="left" w:pos="-1500"/>
          <w:tab w:val="left" w:pos="780"/>
        </w:tabs>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（五）其它约定</w:t>
      </w:r>
    </w:p>
    <w:p w14:paraId="02CC7A84">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1．承包人必须对所报的材料设备作充分的市场调查，在施工过程中不得以缺货或货源不足、涨价等原因提出变更。如承包人确需变更，须经发包人和监理人许可，由承包人提供三种以上不低于原标书（承诺）标准的材料供发包人选定，其价格不予调整。</w:t>
      </w:r>
    </w:p>
    <w:p w14:paraId="206C2570">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2．施工使用的设备、材料，无论其供应方式是乙供、甲定乙供，承包人应在使用前先提供样品和相关材料，经发包人和监理人审查许可后方能使用。若承包人采购的材料设备不符合设计、规范要求，或未能通过发包人和监理人的审查许可，发包人和监理人有权决定该项设备材料是否改为甲供方式，承包人应无条件接受，并承担相关货款和采购费用及由此引起的一切经济损失，且继续承担该部分材料管理及工地保管的责任，所发生的费用变化在当期进度款中扣减和调整。承包人应精心组织施工并节约材料，材料的消耗量由承包人包干承担。</w:t>
      </w:r>
    </w:p>
    <w:p w14:paraId="60BB81A0">
      <w:pPr>
        <w:shd w:val="clear"/>
        <w:spacing w:line="360" w:lineRule="auto"/>
        <w:ind w:firstLine="42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3．变更结算申报的内容必须完整、准确，不得虚报瞒报，并应尽量与事前申报的估算审定价相当。若结算报价超过最终审定价5%（发包方审核为准），发包人有权按下式扣减承包人违约金：</w:t>
      </w:r>
    </w:p>
    <w:p w14:paraId="39C8DEDC">
      <w:pPr>
        <w:shd w:val="clear"/>
        <w:spacing w:line="360" w:lineRule="auto"/>
        <w:ind w:firstLine="42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核减额=</w:t>
      </w:r>
      <w:r>
        <w:rPr>
          <w:rFonts w:hint="eastAsia" w:ascii="仿宋" w:hAnsi="仿宋" w:eastAsia="仿宋" w:cs="仿宋"/>
          <w:snapToGrid w:val="0"/>
          <w:color w:val="auto"/>
          <w:sz w:val="24"/>
          <w:highlight w:val="none"/>
        </w:rPr>
        <w:t>承</w:t>
      </w:r>
      <w:r>
        <w:rPr>
          <w:rFonts w:hint="eastAsia" w:ascii="仿宋" w:hAnsi="仿宋" w:eastAsia="仿宋" w:cs="仿宋"/>
          <w:color w:val="auto"/>
          <w:sz w:val="24"/>
          <w:highlight w:val="none"/>
        </w:rPr>
        <w:t>包人编报金额-发包人最终审核金额</w:t>
      </w:r>
    </w:p>
    <w:p w14:paraId="0AB634BD">
      <w:pPr>
        <w:shd w:val="clea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核减率=</w:t>
      </w:r>
      <w:r>
        <w:rPr>
          <w:rFonts w:hint="eastAsia" w:ascii="仿宋" w:hAnsi="仿宋" w:eastAsia="仿宋" w:cs="仿宋"/>
          <w:color w:val="auto"/>
          <w:sz w:val="24"/>
          <w:highlight w:val="none"/>
        </w:rPr>
        <w:t>核减额/</w:t>
      </w:r>
      <w:r>
        <w:rPr>
          <w:rFonts w:hint="eastAsia" w:ascii="仿宋" w:hAnsi="仿宋" w:eastAsia="仿宋" w:cs="仿宋"/>
          <w:snapToGrid w:val="0"/>
          <w:color w:val="auto"/>
          <w:sz w:val="24"/>
          <w:highlight w:val="none"/>
        </w:rPr>
        <w:t>承</w:t>
      </w:r>
      <w:r>
        <w:rPr>
          <w:rFonts w:hint="eastAsia" w:ascii="仿宋" w:hAnsi="仿宋" w:eastAsia="仿宋" w:cs="仿宋"/>
          <w:color w:val="auto"/>
          <w:sz w:val="24"/>
          <w:highlight w:val="none"/>
        </w:rPr>
        <w:t>包人编报金额</w:t>
      </w:r>
      <w:r>
        <w:rPr>
          <w:rFonts w:hint="eastAsia" w:ascii="仿宋" w:hAnsi="仿宋" w:eastAsia="仿宋" w:cs="仿宋"/>
          <w:snapToGrid w:val="0"/>
          <w:color w:val="auto"/>
          <w:sz w:val="24"/>
          <w:highlight w:val="none"/>
        </w:rPr>
        <w:t>*100%。</w:t>
      </w:r>
    </w:p>
    <w:p w14:paraId="56D71CD3">
      <w:pPr>
        <w:shd w:val="clea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（1）若5%＜核减率≤10%，承包人</w:t>
      </w:r>
      <w:r>
        <w:rPr>
          <w:rFonts w:hint="eastAsia" w:ascii="仿宋" w:hAnsi="仿宋" w:eastAsia="仿宋" w:cs="仿宋"/>
          <w:color w:val="auto"/>
          <w:sz w:val="24"/>
          <w:highlight w:val="none"/>
        </w:rPr>
        <w:t>承担违约费用=（核减率-5%）×承包人编报金额×5%。</w:t>
      </w:r>
    </w:p>
    <w:p w14:paraId="3AB7D194">
      <w:pPr>
        <w:shd w:val="clea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（2）若核减率＞10%，承包人承担违约费用</w:t>
      </w:r>
      <w:r>
        <w:rPr>
          <w:rFonts w:hint="eastAsia" w:ascii="仿宋" w:hAnsi="仿宋" w:eastAsia="仿宋" w:cs="仿宋"/>
          <w:color w:val="auto"/>
          <w:sz w:val="24"/>
          <w:highlight w:val="none"/>
        </w:rPr>
        <w:t>=</w:t>
      </w:r>
      <w:r>
        <w:rPr>
          <w:rFonts w:hint="eastAsia" w:ascii="仿宋" w:hAnsi="仿宋" w:eastAsia="仿宋" w:cs="仿宋"/>
          <w:snapToGrid w:val="0"/>
          <w:color w:val="auto"/>
          <w:sz w:val="24"/>
          <w:highlight w:val="none"/>
        </w:rPr>
        <w:t>核减额×5%。</w:t>
      </w:r>
    </w:p>
    <w:p w14:paraId="684DCEC8">
      <w:pPr>
        <w:shd w:val="clea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（3）签证、变更的违约费用在审核造价中扣减；结算审核的违约费用在结算款支付中扣减。</w:t>
      </w:r>
    </w:p>
    <w:p w14:paraId="286D2933">
      <w:pPr>
        <w:shd w:val="clear"/>
        <w:spacing w:line="360" w:lineRule="auto"/>
        <w:ind w:firstLine="420"/>
        <w:contextualSpacing/>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4）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14:paraId="00BB3FEA">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4．对于隐蔽工程和事后无法计算工程量的变更、签证，承包人必须在覆盖或拆除前，会同监理人、发包人现场共同完成工程量的确认，否则发包人对此费用不予计取。</w:t>
      </w:r>
    </w:p>
    <w:p w14:paraId="6C991F40">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5．因变更或签证涉及到可重复利用的材料时，承包人应在合同变更申请阶段提出材料的可重复利用情况，并由监理人、发包人签署明确的意见，否则视为拆除后的材料100%可回收利用。</w:t>
      </w:r>
    </w:p>
    <w:p w14:paraId="2A8786B9">
      <w:pPr>
        <w:shd w:val="clear"/>
        <w:tabs>
          <w:tab w:val="left" w:pos="-1500"/>
          <w:tab w:val="left" w:pos="780"/>
        </w:tabs>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6．承包人在结算时才申报的相关变更签证，一律不予认可、不予结算。</w:t>
      </w:r>
    </w:p>
    <w:p w14:paraId="60C4DA9D">
      <w:pPr>
        <w:shd w:val="clear"/>
        <w:autoSpaceDE w:val="0"/>
        <w:autoSpaceDN w:val="0"/>
        <w:adjustRightInd w:val="0"/>
        <w:spacing w:line="360" w:lineRule="auto"/>
        <w:ind w:firstLine="482"/>
        <w:rPr>
          <w:rFonts w:ascii="仿宋" w:hAnsi="仿宋" w:eastAsia="仿宋" w:cs="仿宋"/>
          <w:b/>
          <w:bCs/>
          <w:color w:val="auto"/>
          <w:sz w:val="24"/>
          <w:highlight w:val="none"/>
        </w:rPr>
      </w:pPr>
    </w:p>
    <w:p w14:paraId="66814C43">
      <w:pPr>
        <w:pStyle w:val="21"/>
        <w:shd w:val="clear"/>
        <w:ind w:firstLine="241"/>
        <w:rPr>
          <w:rFonts w:ascii="仿宋" w:hAnsi="仿宋" w:eastAsia="仿宋" w:cs="仿宋"/>
          <w:b/>
          <w:bCs/>
          <w:color w:val="auto"/>
          <w:sz w:val="24"/>
          <w:highlight w:val="none"/>
        </w:rPr>
      </w:pPr>
    </w:p>
    <w:p w14:paraId="0AD89CD5">
      <w:pPr>
        <w:pStyle w:val="22"/>
        <w:shd w:val="clear"/>
        <w:ind w:firstLine="482"/>
        <w:rPr>
          <w:rFonts w:ascii="仿宋" w:hAnsi="仿宋" w:eastAsia="仿宋" w:cs="仿宋"/>
          <w:b/>
          <w:bCs/>
          <w:color w:val="auto"/>
          <w:highlight w:val="none"/>
        </w:rPr>
      </w:pPr>
    </w:p>
    <w:p w14:paraId="6AB3F6E9">
      <w:pPr>
        <w:pStyle w:val="22"/>
        <w:shd w:val="clear"/>
        <w:ind w:firstLine="482"/>
        <w:rPr>
          <w:rFonts w:ascii="仿宋" w:hAnsi="仿宋" w:eastAsia="仿宋" w:cs="仿宋"/>
          <w:b/>
          <w:bCs/>
          <w:color w:val="auto"/>
          <w:highlight w:val="none"/>
        </w:rPr>
      </w:pPr>
    </w:p>
    <w:p w14:paraId="4979D8B1">
      <w:pPr>
        <w:pStyle w:val="22"/>
        <w:shd w:val="clear"/>
        <w:ind w:firstLine="482"/>
        <w:rPr>
          <w:rFonts w:ascii="仿宋" w:hAnsi="仿宋" w:eastAsia="仿宋" w:cs="仿宋"/>
          <w:b/>
          <w:bCs/>
          <w:color w:val="auto"/>
          <w:highlight w:val="none"/>
        </w:rPr>
      </w:pPr>
    </w:p>
    <w:p w14:paraId="18112879">
      <w:pPr>
        <w:pStyle w:val="22"/>
        <w:shd w:val="clear"/>
        <w:ind w:firstLine="482"/>
        <w:rPr>
          <w:rFonts w:ascii="仿宋" w:hAnsi="仿宋" w:eastAsia="仿宋" w:cs="仿宋"/>
          <w:b/>
          <w:bCs/>
          <w:color w:val="auto"/>
          <w:highlight w:val="none"/>
        </w:rPr>
      </w:pPr>
    </w:p>
    <w:p w14:paraId="74FADE0A">
      <w:pPr>
        <w:pStyle w:val="22"/>
        <w:shd w:val="clear"/>
        <w:ind w:firstLine="482"/>
        <w:rPr>
          <w:rFonts w:ascii="仿宋" w:hAnsi="仿宋" w:eastAsia="仿宋" w:cs="仿宋"/>
          <w:b/>
          <w:bCs/>
          <w:color w:val="auto"/>
          <w:highlight w:val="none"/>
        </w:rPr>
      </w:pPr>
    </w:p>
    <w:p w14:paraId="077EF8A3">
      <w:pPr>
        <w:pStyle w:val="22"/>
        <w:shd w:val="clear"/>
        <w:ind w:firstLine="482"/>
        <w:rPr>
          <w:rFonts w:ascii="仿宋" w:hAnsi="仿宋" w:eastAsia="仿宋" w:cs="仿宋"/>
          <w:b/>
          <w:bCs/>
          <w:color w:val="auto"/>
          <w:highlight w:val="none"/>
        </w:rPr>
      </w:pPr>
    </w:p>
    <w:p w14:paraId="77B3B5D4">
      <w:pPr>
        <w:pStyle w:val="22"/>
        <w:shd w:val="clear"/>
        <w:ind w:firstLine="482"/>
        <w:rPr>
          <w:rFonts w:ascii="仿宋" w:hAnsi="仿宋" w:eastAsia="仿宋" w:cs="仿宋"/>
          <w:b/>
          <w:bCs/>
          <w:color w:val="auto"/>
          <w:highlight w:val="none"/>
        </w:rPr>
      </w:pPr>
    </w:p>
    <w:p w14:paraId="2BE0B408">
      <w:pPr>
        <w:pStyle w:val="22"/>
        <w:shd w:val="clear"/>
        <w:ind w:firstLine="482"/>
        <w:rPr>
          <w:rFonts w:ascii="仿宋" w:hAnsi="仿宋" w:eastAsia="仿宋" w:cs="仿宋"/>
          <w:b/>
          <w:bCs/>
          <w:color w:val="auto"/>
          <w:highlight w:val="none"/>
        </w:rPr>
      </w:pPr>
    </w:p>
    <w:p w14:paraId="4EAC04EF">
      <w:pPr>
        <w:pStyle w:val="22"/>
        <w:shd w:val="clear"/>
        <w:ind w:firstLine="482"/>
        <w:rPr>
          <w:rFonts w:ascii="仿宋" w:hAnsi="仿宋" w:eastAsia="仿宋" w:cs="仿宋"/>
          <w:b/>
          <w:bCs/>
          <w:color w:val="auto"/>
          <w:highlight w:val="none"/>
        </w:rPr>
      </w:pPr>
    </w:p>
    <w:p w14:paraId="10E49E4B">
      <w:pPr>
        <w:pStyle w:val="22"/>
        <w:shd w:val="clear"/>
        <w:ind w:firstLine="482"/>
        <w:rPr>
          <w:rFonts w:ascii="仿宋" w:hAnsi="仿宋" w:eastAsia="仿宋" w:cs="仿宋"/>
          <w:b/>
          <w:bCs/>
          <w:color w:val="auto"/>
          <w:highlight w:val="none"/>
        </w:rPr>
      </w:pPr>
    </w:p>
    <w:p w14:paraId="571CBDA3">
      <w:pPr>
        <w:pStyle w:val="22"/>
        <w:shd w:val="clear"/>
        <w:ind w:firstLine="482"/>
        <w:rPr>
          <w:rFonts w:ascii="仿宋" w:hAnsi="仿宋" w:eastAsia="仿宋" w:cs="仿宋"/>
          <w:b/>
          <w:bCs/>
          <w:color w:val="auto"/>
          <w:highlight w:val="none"/>
        </w:rPr>
      </w:pPr>
    </w:p>
    <w:p w14:paraId="3243A3B9">
      <w:pPr>
        <w:pStyle w:val="22"/>
        <w:shd w:val="clear"/>
        <w:ind w:firstLine="482"/>
        <w:rPr>
          <w:rFonts w:ascii="仿宋" w:hAnsi="仿宋" w:eastAsia="仿宋" w:cs="仿宋"/>
          <w:b/>
          <w:bCs/>
          <w:color w:val="auto"/>
          <w:highlight w:val="none"/>
        </w:rPr>
      </w:pPr>
    </w:p>
    <w:p w14:paraId="787D28A9">
      <w:pPr>
        <w:pStyle w:val="22"/>
        <w:shd w:val="clear"/>
        <w:ind w:firstLine="482"/>
        <w:rPr>
          <w:rFonts w:ascii="仿宋" w:hAnsi="仿宋" w:eastAsia="仿宋" w:cs="仿宋"/>
          <w:b/>
          <w:bCs/>
          <w:color w:val="auto"/>
          <w:highlight w:val="none"/>
        </w:rPr>
      </w:pPr>
    </w:p>
    <w:p w14:paraId="14853DB6">
      <w:pPr>
        <w:pStyle w:val="22"/>
        <w:shd w:val="clear"/>
        <w:ind w:firstLine="482"/>
        <w:rPr>
          <w:rFonts w:ascii="仿宋" w:hAnsi="仿宋" w:eastAsia="仿宋" w:cs="仿宋"/>
          <w:b/>
          <w:bCs/>
          <w:color w:val="auto"/>
          <w:highlight w:val="none"/>
        </w:rPr>
      </w:pPr>
    </w:p>
    <w:p w14:paraId="1992BFE3">
      <w:pPr>
        <w:shd w:val="clear"/>
        <w:spacing w:before="158"/>
        <w:ind w:left="480"/>
        <w:rPr>
          <w:rFonts w:ascii="仿宋" w:hAnsi="仿宋" w:eastAsia="仿宋" w:cs="仿宋"/>
          <w:color w:val="auto"/>
          <w:highlight w:val="none"/>
        </w:rPr>
      </w:pPr>
      <w:r>
        <w:rPr>
          <w:rFonts w:hint="eastAsia" w:ascii="仿宋" w:hAnsi="仿宋" w:eastAsia="仿宋" w:cs="仿宋"/>
          <w:color w:val="auto"/>
          <w:highlight w:val="none"/>
        </w:rPr>
        <w:t>附表7-1</w:t>
      </w:r>
    </w:p>
    <w:p w14:paraId="226B5B38">
      <w:pPr>
        <w:shd w:val="clea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合同变更申请单</w:t>
      </w:r>
    </w:p>
    <w:p w14:paraId="0DF22771">
      <w:pPr>
        <w:shd w:val="clear"/>
        <w:tabs>
          <w:tab w:val="left" w:pos="1980"/>
        </w:tabs>
        <w:ind w:firstLine="1265" w:firstLineChars="600"/>
        <w:jc w:val="center"/>
        <w:rPr>
          <w:rFonts w:ascii="仿宋" w:hAnsi="仿宋" w:eastAsia="仿宋" w:cs="仿宋"/>
          <w:b/>
          <w:bCs/>
          <w:color w:val="auto"/>
          <w:sz w:val="18"/>
          <w:szCs w:val="18"/>
          <w:highlight w:val="none"/>
        </w:rPr>
      </w:pPr>
      <w:r>
        <w:rPr>
          <w:rFonts w:hint="eastAsia" w:ascii="仿宋" w:hAnsi="仿宋" w:eastAsia="仿宋" w:cs="仿宋"/>
          <w:b/>
          <w:bCs/>
          <w:color w:val="auto"/>
          <w:highlight w:val="none"/>
        </w:rPr>
        <w:t>变更单号：</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613"/>
        <w:gridCol w:w="1047"/>
        <w:gridCol w:w="1180"/>
        <w:gridCol w:w="1228"/>
        <w:gridCol w:w="570"/>
        <w:gridCol w:w="531"/>
        <w:gridCol w:w="2884"/>
      </w:tblGrid>
      <w:tr w14:paraId="19DF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630" w:type="pct"/>
            <w:gridSpan w:val="2"/>
            <w:tcBorders>
              <w:top w:val="single" w:color="auto" w:sz="4" w:space="0"/>
              <w:left w:val="single" w:color="auto" w:sz="4" w:space="0"/>
              <w:bottom w:val="single" w:color="auto" w:sz="4" w:space="0"/>
              <w:right w:val="single" w:color="auto" w:sz="4" w:space="0"/>
            </w:tcBorders>
            <w:vAlign w:val="center"/>
          </w:tcPr>
          <w:p w14:paraId="205993C6">
            <w:pPr>
              <w:shd w:val="clea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2029" w:type="pct"/>
            <w:gridSpan w:val="3"/>
            <w:tcBorders>
              <w:top w:val="single" w:color="auto" w:sz="4" w:space="0"/>
              <w:left w:val="single" w:color="auto" w:sz="4" w:space="0"/>
              <w:bottom w:val="single" w:color="auto" w:sz="4" w:space="0"/>
              <w:right w:val="single" w:color="auto" w:sz="4" w:space="0"/>
            </w:tcBorders>
            <w:vAlign w:val="center"/>
          </w:tcPr>
          <w:p w14:paraId="28C4556A">
            <w:pPr>
              <w:shd w:val="clear"/>
              <w:tabs>
                <w:tab w:val="left" w:pos="1980"/>
              </w:tabs>
              <w:ind w:firstLine="480"/>
              <w:rPr>
                <w:rFonts w:ascii="仿宋" w:hAnsi="仿宋" w:eastAsia="仿宋" w:cs="仿宋"/>
                <w:color w:val="auto"/>
                <w:highlight w:val="none"/>
              </w:rPr>
            </w:pPr>
          </w:p>
        </w:tc>
        <w:tc>
          <w:tcPr>
            <w:tcW w:w="647" w:type="pct"/>
            <w:gridSpan w:val="2"/>
            <w:tcBorders>
              <w:top w:val="single" w:color="auto" w:sz="4" w:space="0"/>
              <w:left w:val="single" w:color="auto" w:sz="4" w:space="0"/>
              <w:bottom w:val="single" w:color="auto" w:sz="4" w:space="0"/>
              <w:right w:val="single" w:color="auto" w:sz="4" w:space="0"/>
            </w:tcBorders>
            <w:vAlign w:val="center"/>
          </w:tcPr>
          <w:p w14:paraId="671680C9">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工程名称</w:t>
            </w:r>
          </w:p>
        </w:tc>
        <w:tc>
          <w:tcPr>
            <w:tcW w:w="1693" w:type="pct"/>
            <w:tcBorders>
              <w:top w:val="single" w:color="auto" w:sz="4" w:space="0"/>
              <w:left w:val="single" w:color="auto" w:sz="4" w:space="0"/>
              <w:bottom w:val="single" w:color="auto" w:sz="4" w:space="0"/>
              <w:right w:val="single" w:color="auto" w:sz="4" w:space="0"/>
            </w:tcBorders>
            <w:vAlign w:val="center"/>
          </w:tcPr>
          <w:p w14:paraId="7E56E1F4">
            <w:pPr>
              <w:shd w:val="clear"/>
              <w:tabs>
                <w:tab w:val="left" w:pos="1980"/>
              </w:tabs>
              <w:ind w:firstLine="480"/>
              <w:rPr>
                <w:rFonts w:ascii="仿宋" w:hAnsi="仿宋" w:eastAsia="仿宋" w:cs="仿宋"/>
                <w:color w:val="auto"/>
                <w:highlight w:val="none"/>
              </w:rPr>
            </w:pPr>
          </w:p>
        </w:tc>
      </w:tr>
      <w:tr w14:paraId="56C7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30" w:type="pct"/>
            <w:gridSpan w:val="2"/>
            <w:vMerge w:val="restart"/>
            <w:tcBorders>
              <w:top w:val="single" w:color="auto" w:sz="4" w:space="0"/>
              <w:left w:val="single" w:color="auto" w:sz="4" w:space="0"/>
              <w:bottom w:val="single" w:color="auto" w:sz="4" w:space="0"/>
              <w:right w:val="single" w:color="auto" w:sz="4" w:space="0"/>
            </w:tcBorders>
            <w:vAlign w:val="center"/>
          </w:tcPr>
          <w:p w14:paraId="35D3564E">
            <w:pPr>
              <w:shd w:val="clea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变更原因</w:t>
            </w:r>
          </w:p>
        </w:tc>
        <w:tc>
          <w:tcPr>
            <w:tcW w:w="615" w:type="pct"/>
            <w:tcBorders>
              <w:top w:val="single" w:color="auto" w:sz="4" w:space="0"/>
              <w:left w:val="single" w:color="auto" w:sz="4" w:space="0"/>
              <w:bottom w:val="single" w:color="auto" w:sz="4" w:space="0"/>
              <w:right w:val="single" w:color="auto" w:sz="4" w:space="0"/>
            </w:tcBorders>
            <w:vAlign w:val="center"/>
          </w:tcPr>
          <w:p w14:paraId="354A7B76">
            <w:pPr>
              <w:shd w:val="clear"/>
              <w:tabs>
                <w:tab w:val="left" w:pos="1980"/>
              </w:tabs>
              <w:ind w:firstLine="105" w:firstLineChars="50"/>
              <w:rPr>
                <w:rFonts w:ascii="仿宋" w:hAnsi="仿宋" w:eastAsia="仿宋" w:cs="仿宋"/>
                <w:color w:val="auto"/>
                <w:highlight w:val="none"/>
              </w:rPr>
            </w:pPr>
            <w:r>
              <w:rPr>
                <w:rFonts w:hint="eastAsia" w:ascii="仿宋" w:hAnsi="仿宋" w:eastAsia="仿宋" w:cs="仿宋"/>
                <w:color w:val="auto"/>
                <w:highlight w:val="none"/>
              </w:rPr>
              <w:t>提出方</w:t>
            </w:r>
          </w:p>
        </w:tc>
        <w:tc>
          <w:tcPr>
            <w:tcW w:w="3754" w:type="pct"/>
            <w:gridSpan w:val="5"/>
            <w:tcBorders>
              <w:top w:val="single" w:color="auto" w:sz="4" w:space="0"/>
              <w:left w:val="single" w:color="auto" w:sz="4" w:space="0"/>
              <w:bottom w:val="single" w:color="auto" w:sz="4" w:space="0"/>
              <w:right w:val="single" w:color="auto" w:sz="4" w:space="0"/>
            </w:tcBorders>
            <w:vAlign w:val="center"/>
          </w:tcPr>
          <w:p w14:paraId="63A79E72">
            <w:pPr>
              <w:shd w:val="clear"/>
              <w:tabs>
                <w:tab w:val="left" w:pos="1980"/>
              </w:tabs>
              <w:rPr>
                <w:rFonts w:ascii="仿宋" w:hAnsi="仿宋" w:eastAsia="仿宋" w:cs="仿宋"/>
                <w:color w:val="auto"/>
                <w:highlight w:val="none"/>
              </w:rPr>
            </w:pPr>
            <w:r>
              <w:rPr>
                <w:rFonts w:hint="eastAsia" w:ascii="仿宋" w:hAnsi="仿宋" w:eastAsia="仿宋" w:cs="仿宋"/>
                <w:color w:val="auto"/>
                <w:sz w:val="18"/>
                <w:szCs w:val="18"/>
                <w:highlight w:val="none"/>
              </w:rPr>
              <w:t>建设单位</w:t>
            </w:r>
            <w:r>
              <w:rPr>
                <w:rFonts w:hint="eastAsia" w:ascii="仿宋" w:hAnsi="仿宋" w:eastAsia="仿宋" w:cs="仿宋"/>
                <w:color w:val="auto"/>
                <w:kern w:val="0"/>
                <w:sz w:val="18"/>
                <w:szCs w:val="18"/>
                <w:highlight w:val="none"/>
              </w:rPr>
              <w:t>口 设计单位口 施工单位（或其它相关单位）口</w:t>
            </w:r>
          </w:p>
        </w:tc>
      </w:tr>
      <w:tr w14:paraId="2866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30" w:type="pct"/>
            <w:gridSpan w:val="2"/>
            <w:vMerge w:val="continue"/>
            <w:tcBorders>
              <w:top w:val="single" w:color="auto" w:sz="4" w:space="0"/>
              <w:left w:val="single" w:color="auto" w:sz="4" w:space="0"/>
              <w:bottom w:val="single" w:color="auto" w:sz="4" w:space="0"/>
              <w:right w:val="single" w:color="auto" w:sz="4" w:space="0"/>
            </w:tcBorders>
            <w:vAlign w:val="center"/>
          </w:tcPr>
          <w:p w14:paraId="7C504F37">
            <w:pPr>
              <w:widowControl/>
              <w:shd w:val="clear"/>
              <w:jc w:val="left"/>
              <w:rPr>
                <w:rFonts w:ascii="仿宋" w:hAnsi="仿宋" w:eastAsia="仿宋" w:cs="仿宋"/>
                <w:color w:val="auto"/>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5C066AF0">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具体原因</w:t>
            </w:r>
          </w:p>
        </w:tc>
        <w:tc>
          <w:tcPr>
            <w:tcW w:w="3754" w:type="pct"/>
            <w:gridSpan w:val="5"/>
            <w:tcBorders>
              <w:top w:val="single" w:color="auto" w:sz="4" w:space="0"/>
              <w:left w:val="single" w:color="auto" w:sz="4" w:space="0"/>
              <w:bottom w:val="single" w:color="auto" w:sz="4" w:space="0"/>
              <w:right w:val="single" w:color="auto" w:sz="4" w:space="0"/>
            </w:tcBorders>
            <w:vAlign w:val="center"/>
          </w:tcPr>
          <w:p w14:paraId="039E2273">
            <w:pPr>
              <w:shd w:val="clear"/>
              <w:tabs>
                <w:tab w:val="left" w:pos="1980"/>
              </w:tabs>
              <w:spacing w:line="240" w:lineRule="atLeas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设计单位引起口  施工单位引起口  建设单位引起口</w:t>
            </w:r>
          </w:p>
          <w:p w14:paraId="3C0B643D">
            <w:pPr>
              <w:shd w:val="clear"/>
              <w:tabs>
                <w:tab w:val="left" w:pos="1980"/>
              </w:tabs>
              <w:rPr>
                <w:rFonts w:ascii="仿宋" w:hAnsi="仿宋" w:eastAsia="仿宋" w:cs="仿宋"/>
                <w:color w:val="auto"/>
                <w:highlight w:val="none"/>
              </w:rPr>
            </w:pPr>
            <w:r>
              <w:rPr>
                <w:rFonts w:hint="eastAsia" w:ascii="仿宋" w:hAnsi="仿宋" w:eastAsia="仿宋" w:cs="仿宋"/>
                <w:color w:val="auto"/>
                <w:kern w:val="0"/>
                <w:sz w:val="18"/>
                <w:szCs w:val="18"/>
                <w:highlight w:val="none"/>
              </w:rPr>
              <w:t>其它：政府部门要求口  其他原因口（须说明）：</w:t>
            </w:r>
          </w:p>
        </w:tc>
      </w:tr>
      <w:tr w14:paraId="5E92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630" w:type="pct"/>
            <w:gridSpan w:val="2"/>
            <w:tcBorders>
              <w:top w:val="single" w:color="auto" w:sz="4" w:space="0"/>
              <w:left w:val="single" w:color="auto" w:sz="4" w:space="0"/>
              <w:bottom w:val="single" w:color="auto" w:sz="4" w:space="0"/>
              <w:right w:val="single" w:color="auto" w:sz="4" w:space="0"/>
            </w:tcBorders>
            <w:vAlign w:val="center"/>
          </w:tcPr>
          <w:p w14:paraId="3C2BE538">
            <w:pPr>
              <w:shd w:val="clear"/>
              <w:tabs>
                <w:tab w:val="left" w:pos="1980"/>
              </w:tabs>
              <w:ind w:firstLine="0" w:firstLineChars="0"/>
              <w:rPr>
                <w:rFonts w:ascii="仿宋" w:hAnsi="仿宋" w:eastAsia="仿宋" w:cs="仿宋"/>
                <w:color w:val="auto"/>
                <w:highlight w:val="none"/>
              </w:rPr>
            </w:pPr>
            <w:r>
              <w:rPr>
                <w:rFonts w:hint="eastAsia" w:ascii="仿宋" w:hAnsi="仿宋" w:eastAsia="仿宋" w:cs="仿宋"/>
                <w:color w:val="auto"/>
                <w:highlight w:val="none"/>
              </w:rPr>
              <w:t>涉及专业</w:t>
            </w:r>
          </w:p>
        </w:tc>
        <w:tc>
          <w:tcPr>
            <w:tcW w:w="1308" w:type="pct"/>
            <w:gridSpan w:val="2"/>
            <w:tcBorders>
              <w:top w:val="single" w:color="auto" w:sz="4" w:space="0"/>
              <w:left w:val="single" w:color="auto" w:sz="4" w:space="0"/>
              <w:bottom w:val="single" w:color="auto" w:sz="4" w:space="0"/>
              <w:right w:val="single" w:color="auto" w:sz="4" w:space="0"/>
            </w:tcBorders>
          </w:tcPr>
          <w:p w14:paraId="474C2119">
            <w:pPr>
              <w:shd w:val="clear"/>
              <w:tabs>
                <w:tab w:val="left" w:pos="1980"/>
              </w:tabs>
              <w:rPr>
                <w:rFonts w:ascii="仿宋" w:hAnsi="仿宋" w:eastAsia="仿宋" w:cs="仿宋"/>
                <w:color w:val="auto"/>
                <w:highlight w:val="none"/>
              </w:rPr>
            </w:pPr>
          </w:p>
        </w:tc>
        <w:tc>
          <w:tcPr>
            <w:tcW w:w="1056" w:type="pct"/>
            <w:gridSpan w:val="2"/>
            <w:tcBorders>
              <w:top w:val="single" w:color="auto" w:sz="4" w:space="0"/>
              <w:left w:val="single" w:color="auto" w:sz="4" w:space="0"/>
              <w:bottom w:val="single" w:color="auto" w:sz="4" w:space="0"/>
              <w:right w:val="single" w:color="auto" w:sz="4" w:space="0"/>
            </w:tcBorders>
            <w:vAlign w:val="center"/>
          </w:tcPr>
          <w:p w14:paraId="0018BF9E">
            <w:pPr>
              <w:shd w:val="clea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建议费用责任单位</w:t>
            </w:r>
          </w:p>
        </w:tc>
        <w:tc>
          <w:tcPr>
            <w:tcW w:w="2004" w:type="pct"/>
            <w:gridSpan w:val="2"/>
            <w:tcBorders>
              <w:top w:val="single" w:color="auto" w:sz="4" w:space="0"/>
              <w:left w:val="single" w:color="auto" w:sz="4" w:space="0"/>
              <w:bottom w:val="single" w:color="auto" w:sz="4" w:space="0"/>
              <w:right w:val="single" w:color="auto" w:sz="4" w:space="0"/>
            </w:tcBorders>
          </w:tcPr>
          <w:p w14:paraId="48674145">
            <w:pPr>
              <w:shd w:val="clear"/>
              <w:tabs>
                <w:tab w:val="left" w:pos="1980"/>
              </w:tabs>
              <w:rPr>
                <w:rFonts w:ascii="仿宋" w:hAnsi="仿宋" w:eastAsia="仿宋" w:cs="仿宋"/>
                <w:color w:val="auto"/>
                <w:highlight w:val="none"/>
              </w:rPr>
            </w:pPr>
          </w:p>
        </w:tc>
      </w:tr>
      <w:tr w14:paraId="7D92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6" w:hRule="atLeast"/>
          <w:jc w:val="center"/>
        </w:trPr>
        <w:tc>
          <w:tcPr>
            <w:tcW w:w="270" w:type="pct"/>
            <w:vMerge w:val="restart"/>
            <w:tcBorders>
              <w:top w:val="single" w:color="auto" w:sz="4" w:space="0"/>
              <w:left w:val="single" w:color="auto" w:sz="4" w:space="0"/>
              <w:bottom w:val="single" w:color="auto" w:sz="4" w:space="0"/>
              <w:right w:val="single" w:color="auto" w:sz="4" w:space="0"/>
            </w:tcBorders>
            <w:vAlign w:val="center"/>
          </w:tcPr>
          <w:p w14:paraId="54171EB3">
            <w:pPr>
              <w:shd w:val="clear"/>
              <w:tabs>
                <w:tab w:val="left" w:pos="1980"/>
              </w:tabs>
              <w:jc w:val="center"/>
              <w:rPr>
                <w:rFonts w:ascii="仿宋" w:hAnsi="仿宋" w:eastAsia="仿宋" w:cs="仿宋"/>
                <w:color w:val="auto"/>
                <w:highlight w:val="none"/>
              </w:rPr>
            </w:pPr>
          </w:p>
          <w:p w14:paraId="6021DA05">
            <w:pPr>
              <w:shd w:val="clear"/>
              <w:tabs>
                <w:tab w:val="left" w:pos="1980"/>
              </w:tabs>
              <w:jc w:val="center"/>
              <w:rPr>
                <w:rFonts w:ascii="仿宋" w:hAnsi="仿宋" w:eastAsia="仿宋" w:cs="仿宋"/>
                <w:color w:val="auto"/>
                <w:highlight w:val="none"/>
              </w:rPr>
            </w:pPr>
          </w:p>
          <w:p w14:paraId="1BC06053">
            <w:pPr>
              <w:shd w:val="clear"/>
              <w:tabs>
                <w:tab w:val="left" w:pos="1980"/>
              </w:tabs>
              <w:jc w:val="center"/>
              <w:rPr>
                <w:rFonts w:ascii="仿宋" w:hAnsi="仿宋" w:eastAsia="仿宋" w:cs="仿宋"/>
                <w:color w:val="auto"/>
                <w:highlight w:val="none"/>
              </w:rPr>
            </w:pPr>
            <w:r>
              <w:rPr>
                <w:rFonts w:hint="eastAsia" w:ascii="仿宋" w:hAnsi="仿宋" w:eastAsia="仿宋" w:cs="仿宋"/>
                <w:color w:val="auto"/>
                <w:kern w:val="2"/>
                <w:sz w:val="21"/>
                <w:szCs w:val="20"/>
                <w:highlight w:val="none"/>
              </w:rPr>
              <w:t>施</w:t>
            </w:r>
          </w:p>
          <w:p w14:paraId="7FEC9DDA">
            <w:pPr>
              <w:shd w:val="clear"/>
              <w:tabs>
                <w:tab w:val="left" w:pos="1980"/>
              </w:tabs>
              <w:jc w:val="center"/>
              <w:rPr>
                <w:rFonts w:ascii="仿宋" w:hAnsi="仿宋" w:eastAsia="仿宋" w:cs="仿宋"/>
                <w:color w:val="auto"/>
                <w:highlight w:val="none"/>
              </w:rPr>
            </w:pPr>
            <w:r>
              <w:rPr>
                <w:rFonts w:hint="eastAsia" w:ascii="仿宋" w:hAnsi="仿宋" w:eastAsia="仿宋" w:cs="仿宋"/>
                <w:color w:val="auto"/>
                <w:highlight w:val="none"/>
              </w:rPr>
              <w:t>工单位</w:t>
            </w:r>
          </w:p>
          <w:p w14:paraId="568E038F">
            <w:pPr>
              <w:shd w:val="clear"/>
              <w:tabs>
                <w:tab w:val="left" w:pos="1980"/>
              </w:tabs>
              <w:ind w:firstLine="480"/>
              <w:jc w:val="center"/>
              <w:rPr>
                <w:rFonts w:ascii="仿宋" w:hAnsi="仿宋" w:eastAsia="仿宋" w:cs="仿宋"/>
                <w:color w:val="auto"/>
                <w:highlight w:val="none"/>
              </w:rPr>
            </w:pPr>
          </w:p>
          <w:p w14:paraId="78B7070F">
            <w:pPr>
              <w:shd w:val="clear"/>
              <w:tabs>
                <w:tab w:val="left" w:pos="1980"/>
              </w:tabs>
              <w:rPr>
                <w:rFonts w:ascii="仿宋" w:hAnsi="仿宋" w:eastAsia="仿宋" w:cs="仿宋"/>
                <w:color w:val="auto"/>
                <w:highlight w:val="none"/>
              </w:rPr>
            </w:pPr>
          </w:p>
        </w:tc>
        <w:tc>
          <w:tcPr>
            <w:tcW w:w="4729" w:type="pct"/>
            <w:gridSpan w:val="7"/>
            <w:tcBorders>
              <w:top w:val="single" w:color="auto" w:sz="4" w:space="0"/>
              <w:left w:val="single" w:color="auto" w:sz="4" w:space="0"/>
              <w:bottom w:val="single" w:color="auto" w:sz="4" w:space="0"/>
              <w:right w:val="single" w:color="auto" w:sz="4" w:space="0"/>
            </w:tcBorders>
          </w:tcPr>
          <w:p w14:paraId="4B0A5A2A">
            <w:pPr>
              <w:shd w:val="clear"/>
              <w:rPr>
                <w:rFonts w:ascii="仿宋" w:hAnsi="仿宋" w:eastAsia="仿宋" w:cs="仿宋"/>
                <w:color w:val="auto"/>
                <w:highlight w:val="none"/>
              </w:rPr>
            </w:pPr>
            <w:r>
              <w:rPr>
                <w:rFonts w:hint="eastAsia" w:ascii="仿宋" w:hAnsi="仿宋" w:eastAsia="仿宋" w:cs="仿宋"/>
                <w:color w:val="auto"/>
                <w:highlight w:val="none"/>
              </w:rPr>
              <w:t>工程情况说明（可做附页），须注明工作内容、现场情况等；若产生费用，需注明预估费用（附件资料中必须提供申报费用造价书）。</w:t>
            </w:r>
          </w:p>
          <w:p w14:paraId="650FA20B">
            <w:pPr>
              <w:shd w:val="clear"/>
              <w:tabs>
                <w:tab w:val="left" w:pos="1980"/>
              </w:tabs>
              <w:rPr>
                <w:rFonts w:ascii="仿宋" w:hAnsi="仿宋" w:eastAsia="仿宋" w:cs="仿宋"/>
                <w:color w:val="auto"/>
                <w:highlight w:val="none"/>
              </w:rPr>
            </w:pPr>
          </w:p>
          <w:p w14:paraId="27CCB8A7">
            <w:pPr>
              <w:shd w:val="clear"/>
              <w:tabs>
                <w:tab w:val="left" w:pos="1980"/>
              </w:tabs>
              <w:rPr>
                <w:rFonts w:ascii="仿宋" w:hAnsi="仿宋" w:eastAsia="仿宋" w:cs="仿宋"/>
                <w:color w:val="auto"/>
                <w:highlight w:val="none"/>
              </w:rPr>
            </w:pPr>
          </w:p>
          <w:p w14:paraId="15C916EE">
            <w:pPr>
              <w:shd w:val="clear"/>
              <w:tabs>
                <w:tab w:val="left" w:pos="1980"/>
              </w:tabs>
              <w:rPr>
                <w:rFonts w:ascii="仿宋" w:hAnsi="仿宋" w:eastAsia="仿宋" w:cs="仿宋"/>
                <w:color w:val="auto"/>
                <w:highlight w:val="none"/>
              </w:rPr>
            </w:pPr>
          </w:p>
          <w:p w14:paraId="6CA3BA1E">
            <w:pPr>
              <w:shd w:val="clear"/>
              <w:tabs>
                <w:tab w:val="left" w:pos="1980"/>
              </w:tabs>
              <w:rPr>
                <w:rFonts w:ascii="仿宋" w:hAnsi="仿宋" w:eastAsia="仿宋" w:cs="仿宋"/>
                <w:color w:val="auto"/>
                <w:highlight w:val="none"/>
              </w:rPr>
            </w:pPr>
          </w:p>
          <w:p w14:paraId="2785F5FA">
            <w:pPr>
              <w:shd w:val="clear"/>
              <w:tabs>
                <w:tab w:val="left" w:pos="1980"/>
              </w:tabs>
              <w:rPr>
                <w:rFonts w:ascii="仿宋" w:hAnsi="仿宋" w:eastAsia="仿宋" w:cs="仿宋"/>
                <w:color w:val="auto"/>
                <w:highlight w:val="none"/>
              </w:rPr>
            </w:pPr>
          </w:p>
          <w:p w14:paraId="5CC0E01B">
            <w:pPr>
              <w:shd w:val="clear"/>
              <w:tabs>
                <w:tab w:val="left" w:pos="1980"/>
              </w:tabs>
              <w:ind w:firstLine="5250" w:firstLineChars="2500"/>
              <w:rPr>
                <w:rFonts w:ascii="仿宋" w:hAnsi="仿宋" w:eastAsia="仿宋" w:cs="仿宋"/>
                <w:color w:val="auto"/>
                <w:highlight w:val="none"/>
              </w:rPr>
            </w:pPr>
            <w:r>
              <w:rPr>
                <w:rFonts w:hint="eastAsia" w:ascii="仿宋" w:hAnsi="仿宋" w:eastAsia="仿宋" w:cs="仿宋"/>
                <w:color w:val="auto"/>
                <w:highlight w:val="none"/>
              </w:rPr>
              <w:t>项目经理（签字）：</w:t>
            </w:r>
          </w:p>
          <w:p w14:paraId="10585F25">
            <w:pPr>
              <w:shd w:val="clear"/>
              <w:tabs>
                <w:tab w:val="left" w:pos="1980"/>
              </w:tabs>
              <w:ind w:firstLine="5460" w:firstLineChars="2600"/>
              <w:rPr>
                <w:rFonts w:ascii="仿宋" w:hAnsi="仿宋" w:eastAsia="仿宋" w:cs="仿宋"/>
                <w:color w:val="auto"/>
                <w:highlight w:val="none"/>
              </w:rPr>
            </w:pPr>
            <w:r>
              <w:rPr>
                <w:rFonts w:hint="eastAsia" w:ascii="仿宋" w:hAnsi="仿宋" w:eastAsia="仿宋" w:cs="仿宋"/>
                <w:color w:val="auto"/>
                <w:highlight w:val="none"/>
              </w:rPr>
              <w:t>施工单位（章）</w:t>
            </w:r>
          </w:p>
          <w:p w14:paraId="44D41A0C">
            <w:pPr>
              <w:shd w:val="clear"/>
              <w:tabs>
                <w:tab w:val="left" w:pos="1980"/>
              </w:tabs>
              <w:ind w:firstLine="5460" w:firstLineChars="2600"/>
              <w:rPr>
                <w:rFonts w:ascii="仿宋" w:hAnsi="仿宋" w:eastAsia="仿宋" w:cs="仿宋"/>
                <w:color w:val="auto"/>
                <w:highlight w:val="none"/>
              </w:rPr>
            </w:pPr>
            <w:r>
              <w:rPr>
                <w:rFonts w:hint="eastAsia" w:ascii="仿宋" w:hAnsi="仿宋" w:eastAsia="仿宋" w:cs="仿宋"/>
                <w:color w:val="auto"/>
                <w:highlight w:val="none"/>
              </w:rPr>
              <w:t>日期：  年 月    日</w:t>
            </w:r>
          </w:p>
        </w:tc>
      </w:tr>
      <w:tr w14:paraId="5A02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70" w:type="pct"/>
            <w:vMerge w:val="continue"/>
            <w:tcBorders>
              <w:top w:val="single" w:color="auto" w:sz="4" w:space="0"/>
              <w:left w:val="single" w:color="auto" w:sz="4" w:space="0"/>
              <w:bottom w:val="single" w:color="auto" w:sz="4" w:space="0"/>
              <w:right w:val="single" w:color="auto" w:sz="4" w:space="0"/>
            </w:tcBorders>
            <w:vAlign w:val="center"/>
          </w:tcPr>
          <w:p w14:paraId="45F166B4">
            <w:pPr>
              <w:widowControl/>
              <w:shd w:val="clear"/>
              <w:jc w:val="left"/>
              <w:rPr>
                <w:rFonts w:ascii="仿宋" w:hAnsi="仿宋" w:eastAsia="仿宋" w:cs="仿宋"/>
                <w:color w:val="auto"/>
                <w:highlight w:val="none"/>
              </w:rPr>
            </w:pPr>
          </w:p>
        </w:tc>
        <w:tc>
          <w:tcPr>
            <w:tcW w:w="4729" w:type="pct"/>
            <w:gridSpan w:val="7"/>
            <w:tcBorders>
              <w:top w:val="single" w:color="auto" w:sz="4" w:space="0"/>
              <w:left w:val="single" w:color="auto" w:sz="4" w:space="0"/>
              <w:bottom w:val="single" w:color="auto" w:sz="4" w:space="0"/>
              <w:right w:val="single" w:color="auto" w:sz="4" w:space="0"/>
            </w:tcBorders>
          </w:tcPr>
          <w:p w14:paraId="7B06FC5F">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附件资料：□联系单依据□申报费用造价书□照片□其他(请注明)：</w:t>
            </w:r>
          </w:p>
        </w:tc>
      </w:tr>
      <w:tr w14:paraId="2F43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214BE216">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监理单位意见：</w:t>
            </w:r>
          </w:p>
          <w:p w14:paraId="2CB5E1E8">
            <w:pPr>
              <w:shd w:val="clear"/>
              <w:tabs>
                <w:tab w:val="left" w:pos="1980"/>
              </w:tabs>
              <w:rPr>
                <w:rFonts w:ascii="仿宋" w:hAnsi="仿宋" w:eastAsia="仿宋" w:cs="仿宋"/>
                <w:color w:val="auto"/>
                <w:highlight w:val="none"/>
              </w:rPr>
            </w:pPr>
          </w:p>
          <w:p w14:paraId="6C00F56E">
            <w:pPr>
              <w:shd w:val="clear"/>
              <w:tabs>
                <w:tab w:val="left" w:pos="1980"/>
              </w:tabs>
              <w:rPr>
                <w:rFonts w:ascii="仿宋" w:hAnsi="仿宋" w:eastAsia="仿宋" w:cs="仿宋"/>
                <w:color w:val="auto"/>
                <w:highlight w:val="none"/>
              </w:rPr>
            </w:pPr>
          </w:p>
          <w:p w14:paraId="37EA07EC">
            <w:pPr>
              <w:shd w:val="clear"/>
              <w:tabs>
                <w:tab w:val="left" w:pos="1980"/>
              </w:tabs>
              <w:ind w:firstLine="5985" w:firstLineChars="2850"/>
              <w:rPr>
                <w:rFonts w:ascii="仿宋" w:hAnsi="仿宋" w:eastAsia="仿宋" w:cs="仿宋"/>
                <w:color w:val="auto"/>
                <w:highlight w:val="none"/>
              </w:rPr>
            </w:pPr>
            <w:r>
              <w:rPr>
                <w:rFonts w:hint="eastAsia" w:ascii="仿宋" w:hAnsi="仿宋" w:eastAsia="仿宋" w:cs="仿宋"/>
                <w:color w:val="auto"/>
                <w:highlight w:val="none"/>
              </w:rPr>
              <w:t>签字：</w:t>
            </w:r>
          </w:p>
          <w:p w14:paraId="21221765">
            <w:pPr>
              <w:shd w:val="clear"/>
              <w:tabs>
                <w:tab w:val="left" w:pos="1980"/>
              </w:tabs>
              <w:ind w:firstLine="5460" w:firstLineChars="2600"/>
              <w:rPr>
                <w:rFonts w:ascii="仿宋" w:hAnsi="仿宋" w:eastAsia="仿宋" w:cs="仿宋"/>
                <w:color w:val="auto"/>
                <w:highlight w:val="none"/>
              </w:rPr>
            </w:pPr>
            <w:r>
              <w:rPr>
                <w:rFonts w:hint="eastAsia" w:ascii="仿宋" w:hAnsi="仿宋" w:eastAsia="仿宋" w:cs="仿宋"/>
                <w:color w:val="auto"/>
                <w:highlight w:val="none"/>
              </w:rPr>
              <w:t>监理单位（章）</w:t>
            </w:r>
          </w:p>
          <w:p w14:paraId="0F32F77D">
            <w:pPr>
              <w:shd w:val="clear"/>
              <w:tabs>
                <w:tab w:val="left" w:pos="1980"/>
              </w:tabs>
              <w:ind w:firstLine="6090" w:firstLineChars="2900"/>
              <w:rPr>
                <w:rFonts w:ascii="仿宋" w:hAnsi="仿宋" w:eastAsia="仿宋" w:cs="仿宋"/>
                <w:color w:val="auto"/>
                <w:highlight w:val="none"/>
              </w:rPr>
            </w:pPr>
            <w:r>
              <w:rPr>
                <w:rFonts w:hint="eastAsia" w:ascii="仿宋" w:hAnsi="仿宋" w:eastAsia="仿宋" w:cs="仿宋"/>
                <w:color w:val="auto"/>
                <w:highlight w:val="none"/>
              </w:rPr>
              <w:t>日期：</w:t>
            </w:r>
          </w:p>
        </w:tc>
      </w:tr>
      <w:tr w14:paraId="7010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0A6BEA90">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建设单位意见:</w:t>
            </w:r>
          </w:p>
          <w:p w14:paraId="0E2F7618">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(项目工程管理岗)</w:t>
            </w:r>
          </w:p>
          <w:p w14:paraId="0A0FEAFB">
            <w:pPr>
              <w:shd w:val="clear"/>
              <w:tabs>
                <w:tab w:val="left" w:pos="1980"/>
              </w:tabs>
              <w:ind w:firstLine="5775" w:firstLineChars="2750"/>
              <w:rPr>
                <w:rFonts w:ascii="仿宋" w:hAnsi="仿宋" w:eastAsia="仿宋" w:cs="仿宋"/>
                <w:color w:val="auto"/>
                <w:highlight w:val="none"/>
              </w:rPr>
            </w:pPr>
            <w:r>
              <w:rPr>
                <w:rFonts w:hint="eastAsia" w:ascii="仿宋" w:hAnsi="仿宋" w:eastAsia="仿宋" w:cs="仿宋"/>
                <w:color w:val="auto"/>
                <w:highlight w:val="none"/>
              </w:rPr>
              <w:t>签字:            日期：</w:t>
            </w:r>
          </w:p>
          <w:p w14:paraId="4775862C">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建设单位意见：</w:t>
            </w:r>
          </w:p>
          <w:p w14:paraId="53BAC7C3">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（项目成本合约岗）</w:t>
            </w:r>
          </w:p>
          <w:p w14:paraId="75F6677D">
            <w:pPr>
              <w:shd w:val="clear"/>
              <w:tabs>
                <w:tab w:val="left" w:pos="1980"/>
              </w:tabs>
              <w:ind w:firstLine="5775" w:firstLineChars="2750"/>
              <w:rPr>
                <w:rFonts w:ascii="仿宋" w:hAnsi="仿宋" w:eastAsia="仿宋" w:cs="仿宋"/>
                <w:color w:val="auto"/>
                <w:highlight w:val="none"/>
              </w:rPr>
            </w:pPr>
            <w:r>
              <w:rPr>
                <w:rFonts w:hint="eastAsia" w:ascii="仿宋" w:hAnsi="仿宋" w:eastAsia="仿宋" w:cs="仿宋"/>
                <w:color w:val="auto"/>
                <w:highlight w:val="none"/>
              </w:rPr>
              <w:t>签字：日期：</w:t>
            </w:r>
          </w:p>
          <w:p w14:paraId="1A9CD698">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建设单位意见：</w:t>
            </w:r>
          </w:p>
          <w:p w14:paraId="7935477F">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（项目总经理）</w:t>
            </w:r>
          </w:p>
          <w:p w14:paraId="4964ABF0">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 xml:space="preserve">                                                       签字：           日期：</w:t>
            </w:r>
          </w:p>
          <w:p w14:paraId="3BFD1FF6">
            <w:pPr>
              <w:shd w:val="clear"/>
              <w:tabs>
                <w:tab w:val="left" w:pos="1980"/>
              </w:tabs>
              <w:rPr>
                <w:rFonts w:ascii="仿宋" w:hAnsi="仿宋" w:eastAsia="仿宋" w:cs="仿宋"/>
                <w:color w:val="auto"/>
                <w:highlight w:val="none"/>
              </w:rPr>
            </w:pPr>
            <w:r>
              <w:rPr>
                <w:rFonts w:hint="eastAsia" w:ascii="仿宋" w:hAnsi="仿宋" w:eastAsia="仿宋" w:cs="仿宋"/>
                <w:color w:val="auto"/>
                <w:highlight w:val="none"/>
              </w:rPr>
              <w:t xml:space="preserve">                                                       建设单位（章）</w:t>
            </w:r>
          </w:p>
        </w:tc>
      </w:tr>
    </w:tbl>
    <w:p w14:paraId="5BC0B917">
      <w:pPr>
        <w:shd w:val="clea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备注：申请单编号遵循“项目代码”+“变更类型编码”+“流水号”。</w:t>
      </w:r>
    </w:p>
    <w:p w14:paraId="598856A1">
      <w:pPr>
        <w:shd w:val="clear"/>
        <w:rPr>
          <w:rFonts w:ascii="仿宋" w:hAnsi="仿宋" w:eastAsia="仿宋" w:cs="仿宋"/>
          <w:color w:val="auto"/>
          <w:sz w:val="18"/>
          <w:szCs w:val="18"/>
          <w:highlight w:val="none"/>
        </w:rPr>
      </w:pPr>
    </w:p>
    <w:p w14:paraId="1E5D12B7">
      <w:pPr>
        <w:pStyle w:val="9"/>
        <w:shd w:val="clear"/>
        <w:ind w:firstLine="200"/>
        <w:rPr>
          <w:rFonts w:ascii="仿宋" w:hAnsi="仿宋" w:eastAsia="仿宋" w:cs="仿宋"/>
          <w:color w:val="auto"/>
          <w:highlight w:val="none"/>
        </w:rPr>
      </w:pPr>
    </w:p>
    <w:p w14:paraId="1B0A196F">
      <w:pPr>
        <w:pStyle w:val="9"/>
        <w:shd w:val="clear"/>
        <w:ind w:firstLine="200"/>
        <w:rPr>
          <w:rFonts w:ascii="仿宋" w:hAnsi="仿宋" w:eastAsia="仿宋" w:cs="仿宋"/>
          <w:color w:val="auto"/>
          <w:highlight w:val="none"/>
        </w:rPr>
      </w:pPr>
    </w:p>
    <w:p w14:paraId="2FF00F45">
      <w:pPr>
        <w:shd w:val="clear"/>
        <w:tabs>
          <w:tab w:val="left" w:pos="-1500"/>
          <w:tab w:val="left" w:pos="780"/>
        </w:tabs>
        <w:jc w:val="left"/>
        <w:rPr>
          <w:rFonts w:ascii="仿宋" w:hAnsi="仿宋" w:eastAsia="仿宋" w:cs="仿宋"/>
          <w:color w:val="auto"/>
          <w:sz w:val="24"/>
          <w:highlight w:val="none"/>
        </w:rPr>
      </w:pPr>
      <w:r>
        <w:rPr>
          <w:rFonts w:hint="eastAsia" w:ascii="仿宋" w:hAnsi="仿宋" w:eastAsia="仿宋" w:cs="仿宋"/>
          <w:color w:val="auto"/>
          <w:highlight w:val="none"/>
        </w:rPr>
        <w:t>附表7-2</w:t>
      </w:r>
      <w:r>
        <w:rPr>
          <w:rFonts w:hint="eastAsia" w:ascii="仿宋" w:hAnsi="仿宋" w:eastAsia="仿宋" w:cs="仿宋"/>
          <w:color w:val="auto"/>
          <w:highlight w:val="none"/>
        </w:rPr>
        <w:drawing>
          <wp:inline distT="0" distB="0" distL="114300" distR="114300">
            <wp:extent cx="5267325" cy="7626985"/>
            <wp:effectExtent l="0" t="0" r="9525" b="1206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9"/>
                    <a:stretch>
                      <a:fillRect/>
                    </a:stretch>
                  </pic:blipFill>
                  <pic:spPr>
                    <a:xfrm>
                      <a:off x="0" y="0"/>
                      <a:ext cx="5267325" cy="7626985"/>
                    </a:xfrm>
                    <a:prstGeom prst="rect">
                      <a:avLst/>
                    </a:prstGeom>
                  </pic:spPr>
                </pic:pic>
              </a:graphicData>
            </a:graphic>
          </wp:inline>
        </w:drawing>
      </w:r>
    </w:p>
    <w:p w14:paraId="32030E66">
      <w:pPr>
        <w:shd w:val="clear"/>
        <w:tabs>
          <w:tab w:val="left" w:pos="-1500"/>
          <w:tab w:val="left" w:pos="780"/>
        </w:tabs>
        <w:spacing w:before="158"/>
        <w:ind w:firstLine="480"/>
        <w:jc w:val="left"/>
        <w:rPr>
          <w:rFonts w:ascii="仿宋" w:hAnsi="仿宋" w:eastAsia="仿宋" w:cs="仿宋"/>
          <w:color w:val="auto"/>
          <w:highlight w:val="none"/>
        </w:rPr>
      </w:pPr>
    </w:p>
    <w:p w14:paraId="346AEDF8">
      <w:pPr>
        <w:shd w:val="clear"/>
        <w:tabs>
          <w:tab w:val="left" w:pos="-1500"/>
          <w:tab w:val="left" w:pos="780"/>
        </w:tabs>
        <w:spacing w:before="158"/>
        <w:jc w:val="left"/>
        <w:rPr>
          <w:rFonts w:ascii="仿宋" w:hAnsi="仿宋" w:eastAsia="仿宋" w:cs="仿宋"/>
          <w:color w:val="auto"/>
          <w:highlight w:val="none"/>
        </w:rPr>
      </w:pPr>
    </w:p>
    <w:p w14:paraId="69B3EF40">
      <w:pPr>
        <w:shd w:val="clear"/>
        <w:tabs>
          <w:tab w:val="left" w:pos="-1500"/>
          <w:tab w:val="left" w:pos="780"/>
        </w:tabs>
        <w:spacing w:before="158"/>
        <w:jc w:val="left"/>
        <w:rPr>
          <w:rFonts w:ascii="仿宋" w:hAnsi="仿宋" w:eastAsia="仿宋" w:cs="仿宋"/>
          <w:color w:val="auto"/>
          <w:highlight w:val="none"/>
        </w:rPr>
      </w:pPr>
      <w:r>
        <w:rPr>
          <w:rFonts w:hint="eastAsia" w:ascii="仿宋" w:hAnsi="仿宋" w:eastAsia="仿宋" w:cs="仿宋"/>
          <w:color w:val="auto"/>
          <w:highlight w:val="none"/>
        </w:rPr>
        <w:t>附表7-3</w:t>
      </w:r>
      <w:r>
        <w:rPr>
          <w:rFonts w:hint="eastAsia" w:ascii="仿宋" w:hAnsi="仿宋" w:eastAsia="仿宋" w:cs="仿宋"/>
          <w:color w:val="auto"/>
          <w:highlight w:val="none"/>
        </w:rPr>
        <w:drawing>
          <wp:inline distT="0" distB="0" distL="114300" distR="114300">
            <wp:extent cx="5410835" cy="7359650"/>
            <wp:effectExtent l="0" t="0" r="18415" b="12700"/>
            <wp:docPr id="2"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4"/>
                    <pic:cNvPicPr>
                      <a:picLocks noChangeAspect="1"/>
                    </pic:cNvPicPr>
                  </pic:nvPicPr>
                  <pic:blipFill>
                    <a:blip r:embed="rId10"/>
                    <a:stretch>
                      <a:fillRect/>
                    </a:stretch>
                  </pic:blipFill>
                  <pic:spPr>
                    <a:xfrm>
                      <a:off x="0" y="0"/>
                      <a:ext cx="5410835" cy="7359650"/>
                    </a:xfrm>
                    <a:prstGeom prst="rect">
                      <a:avLst/>
                    </a:prstGeom>
                    <a:noFill/>
                    <a:ln>
                      <a:noFill/>
                    </a:ln>
                  </pic:spPr>
                </pic:pic>
              </a:graphicData>
            </a:graphic>
          </wp:inline>
        </w:drawing>
      </w:r>
    </w:p>
    <w:p w14:paraId="0E052A3C">
      <w:pPr>
        <w:widowControl/>
        <w:shd w:val="clear"/>
        <w:spacing w:afterAutospacing="1"/>
        <w:jc w:val="left"/>
        <w:rPr>
          <w:rFonts w:ascii="仿宋" w:hAnsi="仿宋" w:eastAsia="仿宋" w:cs="仿宋"/>
          <w:color w:val="auto"/>
          <w:kern w:val="0"/>
          <w:highlight w:val="none"/>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7" w:charSpace="0"/>
        </w:sectPr>
      </w:pPr>
    </w:p>
    <w:p w14:paraId="5E5AE1ED">
      <w:pPr>
        <w:shd w:val="clear"/>
        <w:tabs>
          <w:tab w:val="left" w:pos="-1500"/>
          <w:tab w:val="left" w:pos="780"/>
        </w:tabs>
        <w:spacing w:before="158"/>
        <w:ind w:firstLine="480"/>
        <w:jc w:val="left"/>
        <w:rPr>
          <w:rFonts w:ascii="仿宋" w:hAnsi="仿宋" w:eastAsia="仿宋" w:cs="仿宋"/>
          <w:color w:val="auto"/>
          <w:highlight w:val="none"/>
        </w:rPr>
      </w:pPr>
    </w:p>
    <w:p w14:paraId="77E92DE6">
      <w:pPr>
        <w:shd w:val="clear"/>
        <w:tabs>
          <w:tab w:val="left" w:pos="-1500"/>
          <w:tab w:val="left" w:pos="780"/>
        </w:tabs>
        <w:spacing w:before="158"/>
        <w:jc w:val="left"/>
        <w:rPr>
          <w:rFonts w:ascii="仿宋" w:hAnsi="仿宋" w:eastAsia="仿宋" w:cs="仿宋"/>
          <w:color w:val="auto"/>
          <w:highlight w:val="none"/>
        </w:rPr>
      </w:pPr>
      <w:r>
        <w:rPr>
          <w:rFonts w:hint="eastAsia" w:ascii="仿宋" w:hAnsi="仿宋" w:eastAsia="仿宋" w:cs="仿宋"/>
          <w:color w:val="auto"/>
          <w:highlight w:val="none"/>
        </w:rPr>
        <w:t>附表7-4</w:t>
      </w:r>
      <w:r>
        <w:rPr>
          <w:rFonts w:hint="eastAsia" w:ascii="仿宋" w:hAnsi="仿宋" w:eastAsia="仿宋" w:cs="仿宋"/>
          <w:color w:val="auto"/>
          <w:highlight w:val="none"/>
        </w:rPr>
        <w:drawing>
          <wp:inline distT="0" distB="0" distL="114300" distR="114300">
            <wp:extent cx="5472430" cy="1999615"/>
            <wp:effectExtent l="0" t="0" r="13970"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472430" cy="1999615"/>
                    </a:xfrm>
                    <a:prstGeom prst="rect">
                      <a:avLst/>
                    </a:prstGeom>
                    <a:noFill/>
                    <a:ln>
                      <a:noFill/>
                    </a:ln>
                  </pic:spPr>
                </pic:pic>
              </a:graphicData>
            </a:graphic>
          </wp:inline>
        </w:drawing>
      </w:r>
    </w:p>
    <w:p w14:paraId="02E30806">
      <w:pPr>
        <w:shd w:val="clear"/>
        <w:tabs>
          <w:tab w:val="left" w:pos="-1500"/>
          <w:tab w:val="left" w:pos="780"/>
        </w:tabs>
        <w:spacing w:before="158"/>
        <w:ind w:firstLine="480"/>
        <w:rPr>
          <w:rFonts w:ascii="仿宋" w:hAnsi="仿宋" w:eastAsia="仿宋" w:cs="仿宋"/>
          <w:color w:val="auto"/>
          <w:highlight w:val="none"/>
        </w:rPr>
      </w:pPr>
    </w:p>
    <w:p w14:paraId="5803C768">
      <w:pPr>
        <w:shd w:val="clear"/>
        <w:tabs>
          <w:tab w:val="left" w:pos="-1500"/>
          <w:tab w:val="left" w:pos="780"/>
        </w:tabs>
        <w:spacing w:before="158"/>
        <w:ind w:firstLine="480"/>
        <w:rPr>
          <w:rFonts w:ascii="仿宋" w:hAnsi="仿宋" w:eastAsia="仿宋" w:cs="仿宋"/>
          <w:color w:val="auto"/>
          <w:highlight w:val="none"/>
        </w:rPr>
      </w:pPr>
    </w:p>
    <w:p w14:paraId="74023FFE">
      <w:pPr>
        <w:shd w:val="clear"/>
        <w:tabs>
          <w:tab w:val="left" w:pos="-1500"/>
          <w:tab w:val="left" w:pos="780"/>
        </w:tabs>
        <w:spacing w:before="158"/>
        <w:ind w:firstLine="480"/>
        <w:rPr>
          <w:rFonts w:ascii="仿宋" w:hAnsi="仿宋" w:eastAsia="仿宋" w:cs="仿宋"/>
          <w:color w:val="auto"/>
          <w:highlight w:val="none"/>
        </w:rPr>
      </w:pPr>
    </w:p>
    <w:p w14:paraId="04C6D009">
      <w:pPr>
        <w:shd w:val="clear"/>
        <w:tabs>
          <w:tab w:val="left" w:pos="-1500"/>
          <w:tab w:val="left" w:pos="780"/>
        </w:tabs>
        <w:spacing w:before="158"/>
        <w:ind w:firstLine="480"/>
        <w:rPr>
          <w:rFonts w:ascii="仿宋" w:hAnsi="仿宋" w:eastAsia="仿宋" w:cs="仿宋"/>
          <w:color w:val="auto"/>
          <w:highlight w:val="none"/>
        </w:rPr>
      </w:pPr>
    </w:p>
    <w:p w14:paraId="4C79386B">
      <w:pPr>
        <w:shd w:val="clear"/>
        <w:tabs>
          <w:tab w:val="left" w:pos="-1500"/>
          <w:tab w:val="left" w:pos="780"/>
        </w:tabs>
        <w:spacing w:before="158"/>
        <w:ind w:firstLine="480"/>
        <w:rPr>
          <w:rFonts w:ascii="仿宋" w:hAnsi="仿宋" w:eastAsia="仿宋" w:cs="仿宋"/>
          <w:color w:val="auto"/>
          <w:highlight w:val="none"/>
        </w:rPr>
      </w:pPr>
    </w:p>
    <w:p w14:paraId="2FDE5921">
      <w:pPr>
        <w:shd w:val="clear"/>
        <w:tabs>
          <w:tab w:val="left" w:pos="-1500"/>
          <w:tab w:val="left" w:pos="780"/>
        </w:tabs>
        <w:spacing w:before="158"/>
        <w:ind w:firstLine="480"/>
        <w:rPr>
          <w:rFonts w:ascii="仿宋" w:hAnsi="仿宋" w:eastAsia="仿宋" w:cs="仿宋"/>
          <w:color w:val="auto"/>
          <w:highlight w:val="none"/>
        </w:rPr>
      </w:pPr>
    </w:p>
    <w:p w14:paraId="7A848A9B">
      <w:pPr>
        <w:shd w:val="clear"/>
        <w:tabs>
          <w:tab w:val="left" w:pos="-1500"/>
          <w:tab w:val="left" w:pos="780"/>
        </w:tabs>
        <w:spacing w:before="158"/>
        <w:ind w:firstLine="480"/>
        <w:rPr>
          <w:rFonts w:ascii="仿宋" w:hAnsi="仿宋" w:eastAsia="仿宋" w:cs="仿宋"/>
          <w:color w:val="auto"/>
          <w:highlight w:val="none"/>
        </w:rPr>
      </w:pPr>
    </w:p>
    <w:p w14:paraId="501F8A86">
      <w:pPr>
        <w:shd w:val="clear"/>
        <w:tabs>
          <w:tab w:val="left" w:pos="-1500"/>
          <w:tab w:val="left" w:pos="780"/>
        </w:tabs>
        <w:spacing w:before="158"/>
        <w:ind w:firstLine="480"/>
        <w:rPr>
          <w:rFonts w:ascii="仿宋" w:hAnsi="仿宋" w:eastAsia="仿宋" w:cs="仿宋"/>
          <w:color w:val="auto"/>
          <w:highlight w:val="none"/>
        </w:rPr>
      </w:pPr>
    </w:p>
    <w:p w14:paraId="7A54AACC">
      <w:pPr>
        <w:shd w:val="clear"/>
        <w:tabs>
          <w:tab w:val="left" w:pos="-1500"/>
          <w:tab w:val="left" w:pos="780"/>
        </w:tabs>
        <w:spacing w:before="158"/>
        <w:ind w:firstLine="480"/>
        <w:rPr>
          <w:rFonts w:ascii="仿宋" w:hAnsi="仿宋" w:eastAsia="仿宋" w:cs="仿宋"/>
          <w:color w:val="auto"/>
          <w:highlight w:val="none"/>
        </w:rPr>
      </w:pPr>
    </w:p>
    <w:p w14:paraId="51C7C67F">
      <w:pPr>
        <w:shd w:val="clear"/>
        <w:tabs>
          <w:tab w:val="left" w:pos="-1500"/>
          <w:tab w:val="left" w:pos="780"/>
        </w:tabs>
        <w:spacing w:before="158"/>
        <w:ind w:firstLine="480"/>
        <w:rPr>
          <w:rFonts w:ascii="仿宋" w:hAnsi="仿宋" w:eastAsia="仿宋" w:cs="仿宋"/>
          <w:color w:val="auto"/>
          <w:highlight w:val="none"/>
        </w:rPr>
      </w:pPr>
    </w:p>
    <w:p w14:paraId="438E4F39">
      <w:pPr>
        <w:shd w:val="clear"/>
        <w:tabs>
          <w:tab w:val="left" w:pos="-1500"/>
          <w:tab w:val="left" w:pos="780"/>
        </w:tabs>
        <w:spacing w:before="158"/>
        <w:ind w:firstLine="480"/>
        <w:rPr>
          <w:rFonts w:ascii="仿宋" w:hAnsi="仿宋" w:eastAsia="仿宋" w:cs="仿宋"/>
          <w:color w:val="auto"/>
          <w:highlight w:val="none"/>
        </w:rPr>
      </w:pPr>
    </w:p>
    <w:p w14:paraId="3115FB55">
      <w:pPr>
        <w:shd w:val="clear"/>
        <w:tabs>
          <w:tab w:val="left" w:pos="-1500"/>
          <w:tab w:val="left" w:pos="780"/>
        </w:tabs>
        <w:spacing w:before="158"/>
        <w:ind w:firstLine="480"/>
        <w:rPr>
          <w:rFonts w:ascii="仿宋" w:hAnsi="仿宋" w:eastAsia="仿宋" w:cs="仿宋"/>
          <w:color w:val="auto"/>
          <w:highlight w:val="none"/>
        </w:rPr>
      </w:pPr>
    </w:p>
    <w:p w14:paraId="17AA7AF4">
      <w:pPr>
        <w:shd w:val="clear"/>
        <w:tabs>
          <w:tab w:val="left" w:pos="-1500"/>
          <w:tab w:val="left" w:pos="780"/>
        </w:tabs>
        <w:spacing w:before="158"/>
        <w:ind w:firstLine="480"/>
        <w:rPr>
          <w:rFonts w:ascii="仿宋" w:hAnsi="仿宋" w:eastAsia="仿宋" w:cs="仿宋"/>
          <w:color w:val="auto"/>
          <w:highlight w:val="none"/>
        </w:rPr>
      </w:pPr>
    </w:p>
    <w:p w14:paraId="28E23D8D">
      <w:pPr>
        <w:shd w:val="clear"/>
        <w:tabs>
          <w:tab w:val="left" w:pos="-1500"/>
          <w:tab w:val="left" w:pos="780"/>
        </w:tabs>
        <w:spacing w:before="158"/>
        <w:ind w:firstLine="480"/>
        <w:rPr>
          <w:rFonts w:ascii="仿宋" w:hAnsi="仿宋" w:eastAsia="仿宋" w:cs="仿宋"/>
          <w:color w:val="auto"/>
          <w:highlight w:val="none"/>
        </w:rPr>
      </w:pPr>
    </w:p>
    <w:p w14:paraId="79E52AC4">
      <w:pPr>
        <w:shd w:val="clear"/>
        <w:tabs>
          <w:tab w:val="left" w:pos="-1500"/>
          <w:tab w:val="left" w:pos="780"/>
        </w:tabs>
        <w:spacing w:before="158"/>
        <w:ind w:firstLine="480"/>
        <w:rPr>
          <w:rFonts w:ascii="仿宋" w:hAnsi="仿宋" w:eastAsia="仿宋" w:cs="仿宋"/>
          <w:color w:val="auto"/>
          <w:highlight w:val="none"/>
        </w:rPr>
      </w:pPr>
    </w:p>
    <w:p w14:paraId="73530DA8">
      <w:pPr>
        <w:shd w:val="clear"/>
        <w:tabs>
          <w:tab w:val="left" w:pos="-1500"/>
          <w:tab w:val="left" w:pos="780"/>
        </w:tabs>
        <w:spacing w:before="158"/>
        <w:ind w:firstLine="480"/>
        <w:rPr>
          <w:rFonts w:ascii="仿宋" w:hAnsi="仿宋" w:eastAsia="仿宋" w:cs="仿宋"/>
          <w:color w:val="auto"/>
          <w:highlight w:val="none"/>
        </w:rPr>
      </w:pPr>
    </w:p>
    <w:p w14:paraId="2BA36543">
      <w:pPr>
        <w:shd w:val="clear"/>
        <w:tabs>
          <w:tab w:val="left" w:pos="-1500"/>
          <w:tab w:val="left" w:pos="780"/>
        </w:tabs>
        <w:spacing w:before="158"/>
        <w:ind w:firstLine="480"/>
        <w:rPr>
          <w:rFonts w:ascii="仿宋" w:hAnsi="仿宋" w:eastAsia="仿宋" w:cs="仿宋"/>
          <w:color w:val="auto"/>
          <w:highlight w:val="none"/>
        </w:rPr>
      </w:pPr>
    </w:p>
    <w:p w14:paraId="016438F9">
      <w:pPr>
        <w:shd w:val="clear"/>
        <w:tabs>
          <w:tab w:val="left" w:pos="-1500"/>
          <w:tab w:val="left" w:pos="780"/>
        </w:tabs>
        <w:spacing w:before="158"/>
        <w:ind w:firstLine="480"/>
        <w:rPr>
          <w:rFonts w:ascii="仿宋" w:hAnsi="仿宋" w:eastAsia="仿宋" w:cs="仿宋"/>
          <w:color w:val="auto"/>
          <w:highlight w:val="none"/>
        </w:rPr>
      </w:pPr>
    </w:p>
    <w:p w14:paraId="04287B27">
      <w:pPr>
        <w:pStyle w:val="9"/>
        <w:shd w:val="clear"/>
        <w:ind w:firstLine="0"/>
        <w:rPr>
          <w:rFonts w:ascii="仿宋" w:hAnsi="仿宋" w:eastAsia="仿宋" w:cs="仿宋"/>
          <w:color w:val="auto"/>
          <w:highlight w:val="none"/>
        </w:rPr>
      </w:pPr>
    </w:p>
    <w:p w14:paraId="704719F7">
      <w:pPr>
        <w:pStyle w:val="3"/>
        <w:numPr>
          <w:ilvl w:val="1"/>
          <w:numId w:val="0"/>
        </w:numPr>
        <w:shd w:val="clear"/>
        <w:spacing w:after="0"/>
        <w:rPr>
          <w:rFonts w:ascii="仿宋" w:hAnsi="仿宋" w:eastAsia="仿宋" w:cs="仿宋"/>
          <w:color w:val="auto"/>
          <w:sz w:val="24"/>
          <w:highlight w:val="none"/>
        </w:rPr>
      </w:pP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woUserID w:val="2"/>
        </w:rPr>
        <w:t>九</w:t>
      </w:r>
      <w:r>
        <w:rPr>
          <w:rFonts w:hint="eastAsia" w:ascii="仿宋" w:hAnsi="仿宋" w:eastAsia="仿宋" w:cs="仿宋"/>
          <w:color w:val="auto"/>
          <w:sz w:val="24"/>
          <w:highlight w:val="none"/>
        </w:rPr>
        <w:t>：履约保函</w:t>
      </w:r>
      <w:bookmarkEnd w:id="291"/>
      <w:bookmarkEnd w:id="292"/>
    </w:p>
    <w:p w14:paraId="4307905D">
      <w:pPr>
        <w:shd w:val="clear"/>
        <w:ind w:firstLine="3092" w:firstLineChars="700"/>
        <w:rPr>
          <w:rFonts w:hint="eastAsia" w:ascii="仿宋" w:hAnsi="仿宋" w:eastAsia="仿宋"/>
          <w:b/>
          <w:color w:val="auto"/>
          <w:sz w:val="44"/>
          <w:szCs w:val="44"/>
          <w:highlight w:val="none"/>
          <w:lang w:eastAsia="zh-CN"/>
        </w:rPr>
      </w:pPr>
      <w:bookmarkStart w:id="306" w:name="_Toc262224845"/>
      <w:bookmarkStart w:id="307" w:name="_Toc251077993"/>
      <w:bookmarkStart w:id="308" w:name="_Toc269280992"/>
      <w:bookmarkStart w:id="309" w:name="_Toc269390490"/>
      <w:bookmarkStart w:id="310" w:name="_Toc269281338"/>
      <w:bookmarkStart w:id="311" w:name="_Toc243738741"/>
      <w:bookmarkStart w:id="312" w:name="_Toc141263323"/>
      <w:bookmarkStart w:id="313" w:name="_Toc252864060"/>
      <w:bookmarkStart w:id="314" w:name="_Toc243738971"/>
      <w:bookmarkStart w:id="315" w:name="_Toc234234246"/>
      <w:r>
        <w:rPr>
          <w:rFonts w:hint="eastAsia" w:ascii="仿宋" w:hAnsi="仿宋" w:eastAsia="仿宋"/>
          <w:b/>
          <w:color w:val="auto"/>
          <w:sz w:val="44"/>
          <w:szCs w:val="44"/>
          <w:highlight w:val="none"/>
          <w:lang w:eastAsia="zh-CN"/>
        </w:rPr>
        <w:t>履约保函</w:t>
      </w:r>
    </w:p>
    <w:p w14:paraId="620A3C9D">
      <w:pPr>
        <w:shd w:val="clear"/>
        <w:spacing w:line="360" w:lineRule="auto"/>
        <w:rPr>
          <w:rFonts w:ascii="仿宋" w:hAnsi="仿宋" w:eastAsia="仿宋"/>
          <w:b/>
          <w:color w:val="auto"/>
          <w:highlight w:val="none"/>
          <w:lang w:eastAsia="zh-CN"/>
        </w:rPr>
      </w:pPr>
      <w:r>
        <w:rPr>
          <w:rFonts w:ascii="仿宋" w:hAnsi="仿宋" w:eastAsia="仿宋"/>
          <w:b/>
          <w:color w:val="auto"/>
          <w:highlight w:val="none"/>
          <w:lang w:eastAsia="zh-CN"/>
        </w:rPr>
        <w:t xml:space="preserve">                                            编号：</w:t>
      </w:r>
    </w:p>
    <w:p w14:paraId="7EBF2690">
      <w:pPr>
        <w:shd w:val="clear"/>
        <w:spacing w:line="360" w:lineRule="auto"/>
        <w:rPr>
          <w:rFonts w:ascii="仿宋" w:hAnsi="仿宋" w:eastAsia="仿宋"/>
          <w:b/>
          <w:color w:val="auto"/>
          <w:highlight w:val="none"/>
          <w:lang w:eastAsia="zh-CN"/>
        </w:rPr>
      </w:pPr>
    </w:p>
    <w:p w14:paraId="6C6FF5ED">
      <w:pPr>
        <w:shd w:val="clear"/>
        <w:spacing w:line="360" w:lineRule="auto"/>
        <w:rPr>
          <w:rFonts w:ascii="仿宋" w:hAnsi="仿宋" w:eastAsia="仿宋"/>
          <w:color w:val="auto"/>
          <w:highlight w:val="none"/>
          <w:lang w:eastAsia="zh-CN"/>
        </w:rPr>
      </w:pPr>
      <w:r>
        <w:rPr>
          <w:rFonts w:hint="eastAsia" w:ascii="仿宋" w:hAnsi="仿宋" w:eastAsia="仿宋"/>
          <w:color w:val="auto"/>
          <w:highlight w:val="none"/>
          <w:lang w:eastAsia="zh-CN"/>
        </w:rPr>
        <w:t xml:space="preserve"> 致：              （发包人全称） </w:t>
      </w:r>
      <w:r>
        <w:rPr>
          <w:rFonts w:ascii="仿宋" w:hAnsi="仿宋" w:eastAsia="仿宋"/>
          <w:color w:val="auto"/>
          <w:highlight w:val="none"/>
          <w:lang w:eastAsia="zh-CN"/>
        </w:rPr>
        <w:t>：</w:t>
      </w:r>
    </w:p>
    <w:p w14:paraId="4E065A0D">
      <w:pPr>
        <w:shd w:val="clear"/>
        <w:spacing w:line="360" w:lineRule="auto"/>
        <w:rPr>
          <w:rFonts w:ascii="仿宋" w:hAnsi="仿宋" w:eastAsia="仿宋"/>
          <w:color w:val="auto"/>
          <w:highlight w:val="none"/>
          <w:lang w:eastAsia="zh-CN"/>
        </w:rPr>
      </w:pPr>
      <w:r>
        <w:rPr>
          <w:rFonts w:ascii="仿宋" w:hAnsi="仿宋" w:eastAsia="仿宋"/>
          <w:color w:val="auto"/>
          <w:highlight w:val="none"/>
          <w:lang w:eastAsia="zh-CN"/>
        </w:rPr>
        <w:t>　　根据贵方与</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（以下简称“承包人”）于    年 月 日在</w:t>
      </w:r>
      <w:r>
        <w:rPr>
          <w:rFonts w:ascii="仿宋" w:hAnsi="仿宋" w:eastAsia="仿宋"/>
          <w:color w:val="auto"/>
          <w:highlight w:val="none"/>
          <w:u w:val="single"/>
          <w:lang w:eastAsia="zh-CN"/>
        </w:rPr>
        <w:t>广州市</w:t>
      </w:r>
      <w:r>
        <w:rPr>
          <w:rFonts w:ascii="仿宋" w:hAnsi="仿宋" w:eastAsia="仿宋"/>
          <w:color w:val="auto"/>
          <w:highlight w:val="none"/>
          <w:lang w:eastAsia="zh-CN"/>
        </w:rPr>
        <w:t>签署的编号为</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的</w:t>
      </w:r>
      <w:r>
        <w:rPr>
          <w:rFonts w:ascii="仿宋" w:hAnsi="仿宋" w:eastAsia="仿宋"/>
          <w:color w:val="auto"/>
          <w:highlight w:val="none"/>
          <w:u w:val="single"/>
          <w:lang w:eastAsia="zh-CN"/>
        </w:rPr>
        <w:t>《                            合同》</w:t>
      </w:r>
      <w:r>
        <w:rPr>
          <w:rFonts w:ascii="仿宋" w:hAnsi="仿宋" w:eastAsia="仿宋"/>
          <w:color w:val="auto"/>
          <w:highlight w:val="none"/>
          <w:lang w:eastAsia="zh-CN"/>
        </w:rPr>
        <w:t>（以下简称“合同”），本行同意开立以贵方为受益人的不可撤销履约保函。</w:t>
      </w:r>
    </w:p>
    <w:p w14:paraId="34E11C97">
      <w:pPr>
        <w:shd w:val="clear"/>
        <w:spacing w:line="360" w:lineRule="auto"/>
        <w:ind w:firstLine="420"/>
        <w:rPr>
          <w:rFonts w:ascii="仿宋" w:hAnsi="仿宋" w:eastAsia="仿宋"/>
          <w:color w:val="auto"/>
          <w:highlight w:val="none"/>
          <w:lang w:eastAsia="zh-CN"/>
        </w:rPr>
      </w:pPr>
      <w:r>
        <w:rPr>
          <w:rFonts w:ascii="仿宋" w:hAnsi="仿宋" w:eastAsia="仿宋"/>
          <w:color w:val="auto"/>
          <w:highlight w:val="none"/>
          <w:lang w:eastAsia="zh-CN"/>
        </w:rPr>
        <w:t>本行的保证范围是承包人未按照合同的约定履行义务，应承担的违约金或给贵方造成的经济损失。本行保证的金额是合同约定总价款的</w:t>
      </w:r>
      <w:r>
        <w:rPr>
          <w:rFonts w:hint="eastAsia" w:ascii="仿宋" w:hAnsi="仿宋" w:eastAsia="仿宋"/>
          <w:color w:val="auto"/>
          <w:highlight w:val="none"/>
          <w:lang w:eastAsia="zh-CN"/>
        </w:rPr>
        <w:t>10</w:t>
      </w:r>
      <w:r>
        <w:rPr>
          <w:rFonts w:ascii="仿宋" w:hAnsi="仿宋" w:eastAsia="仿宋"/>
          <w:color w:val="auto"/>
          <w:highlight w:val="none"/>
          <w:lang w:eastAsia="zh-CN"/>
        </w:rPr>
        <w:t>%，数额最高不超过人民币</w:t>
      </w:r>
      <w:r>
        <w:rPr>
          <w:rFonts w:hint="eastAsia" w:ascii="仿宋" w:hAnsi="仿宋" w:eastAsia="仿宋"/>
          <w:color w:val="auto"/>
          <w:highlight w:val="none"/>
          <w:u w:val="single"/>
          <w:lang w:val="en-US" w:eastAsia="zh-CN"/>
        </w:rPr>
        <w:t xml:space="preserve">   </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元（大写：</w:t>
      </w:r>
      <w:r>
        <w:rPr>
          <w:rFonts w:ascii="仿宋" w:hAnsi="仿宋" w:eastAsia="仿宋"/>
          <w:color w:val="auto"/>
          <w:highlight w:val="none"/>
          <w:u w:val="single"/>
          <w:lang w:eastAsia="zh-CN"/>
        </w:rPr>
        <w:t xml:space="preserve">              </w:t>
      </w:r>
      <w:r>
        <w:rPr>
          <w:rFonts w:ascii="仿宋" w:hAnsi="仿宋" w:eastAsia="仿宋"/>
          <w:color w:val="auto"/>
          <w:highlight w:val="none"/>
          <w:lang w:eastAsia="zh-CN"/>
        </w:rPr>
        <w:t>）。</w:t>
      </w:r>
    </w:p>
    <w:p w14:paraId="1C56507C">
      <w:pPr>
        <w:shd w:val="clear"/>
        <w:spacing w:line="360" w:lineRule="auto"/>
        <w:ind w:firstLine="420"/>
        <w:rPr>
          <w:rFonts w:ascii="仿宋" w:hAnsi="仿宋" w:eastAsia="仿宋"/>
          <w:color w:val="auto"/>
          <w:highlight w:val="none"/>
          <w:lang w:eastAsia="zh-CN"/>
        </w:rPr>
      </w:pPr>
      <w:r>
        <w:rPr>
          <w:rFonts w:ascii="仿宋" w:hAnsi="仿宋" w:eastAsia="仿宋"/>
          <w:color w:val="auto"/>
          <w:highlight w:val="none"/>
          <w:lang w:eastAsia="zh-CN"/>
        </w:rPr>
        <w:t>在贵方书面提出要求索赔通知时，本行不挑剔、不争辩、也不要求贵方出具承包人的违约证明或说明背景、理由，并保证在收到贵方索赔通知书5个工作日内无条件支付。贵方单次索赔或者累计索赔总额以上述最高担保金额为限。</w:t>
      </w:r>
    </w:p>
    <w:p w14:paraId="54403E5C">
      <w:pPr>
        <w:shd w:val="clear"/>
        <w:spacing w:line="360" w:lineRule="auto"/>
        <w:rPr>
          <w:rFonts w:ascii="仿宋" w:hAnsi="仿宋" w:eastAsia="仿宋"/>
          <w:color w:val="auto"/>
          <w:highlight w:val="none"/>
          <w:lang w:eastAsia="zh-CN"/>
        </w:rPr>
      </w:pPr>
      <w:r>
        <w:rPr>
          <w:rFonts w:ascii="仿宋" w:hAnsi="仿宋" w:eastAsia="仿宋"/>
          <w:color w:val="auto"/>
          <w:highlight w:val="none"/>
          <w:lang w:eastAsia="zh-CN"/>
        </w:rPr>
        <w:t>　　本行放弃贵方应先向承包人要求赔偿上述金额后之后再向本行提出要求的权利。</w:t>
      </w:r>
    </w:p>
    <w:p w14:paraId="3A3D9B62">
      <w:pPr>
        <w:shd w:val="clear"/>
        <w:spacing w:line="360" w:lineRule="auto"/>
        <w:rPr>
          <w:rFonts w:ascii="仿宋" w:hAnsi="仿宋" w:eastAsia="仿宋"/>
          <w:color w:val="auto"/>
          <w:highlight w:val="none"/>
          <w:lang w:eastAsia="zh-CN"/>
        </w:rPr>
      </w:pPr>
      <w:r>
        <w:rPr>
          <w:rFonts w:ascii="仿宋" w:hAnsi="仿宋" w:eastAsia="仿宋"/>
          <w:color w:val="auto"/>
          <w:highlight w:val="none"/>
          <w:lang w:eastAsia="zh-CN"/>
        </w:rPr>
        <w:t>　　本行进一步同意在贵方和承包人之间的合同条件、合同项下的工程或合同文件发生变化、补充或修改后，本行承担本保函的责任也不改变，有关上述变化、补充和修改也无须通知本行。</w:t>
      </w:r>
    </w:p>
    <w:p w14:paraId="75861AAA">
      <w:pPr>
        <w:shd w:val="clear"/>
        <w:spacing w:line="360" w:lineRule="auto"/>
        <w:ind w:firstLine="420"/>
        <w:rPr>
          <w:rFonts w:ascii="仿宋" w:hAnsi="仿宋" w:eastAsia="仿宋"/>
          <w:color w:val="auto"/>
          <w:highlight w:val="none"/>
          <w:lang w:eastAsia="zh-CN"/>
        </w:rPr>
      </w:pPr>
      <w:r>
        <w:rPr>
          <w:rFonts w:ascii="仿宋" w:hAnsi="仿宋" w:eastAsia="仿宋"/>
          <w:color w:val="auto"/>
          <w:highlight w:val="none"/>
          <w:lang w:eastAsia="zh-CN"/>
        </w:rPr>
        <w:t>本履约保函自开立之日起直至上述最高担保金额支付完毕或承包人交付合同项下工程且验收合格后30天内一直有效。</w:t>
      </w:r>
    </w:p>
    <w:p w14:paraId="4504422B">
      <w:pPr>
        <w:shd w:val="clear"/>
        <w:spacing w:line="360" w:lineRule="auto"/>
        <w:ind w:firstLine="420"/>
        <w:rPr>
          <w:rFonts w:ascii="仿宋" w:hAnsi="仿宋" w:eastAsia="仿宋"/>
          <w:color w:val="auto"/>
          <w:highlight w:val="none"/>
          <w:lang w:eastAsia="zh-CN"/>
        </w:rPr>
      </w:pPr>
    </w:p>
    <w:p w14:paraId="7C0B85E3">
      <w:pPr>
        <w:shd w:val="clear"/>
        <w:spacing w:line="360" w:lineRule="auto"/>
        <w:rPr>
          <w:rFonts w:ascii="仿宋" w:hAnsi="仿宋" w:eastAsia="仿宋"/>
          <w:color w:val="auto"/>
          <w:highlight w:val="none"/>
          <w:lang w:eastAsia="zh-CN"/>
        </w:rPr>
      </w:pPr>
      <w:r>
        <w:rPr>
          <w:rFonts w:ascii="仿宋" w:hAnsi="仿宋" w:eastAsia="仿宋"/>
          <w:color w:val="auto"/>
          <w:highlight w:val="none"/>
          <w:lang w:eastAsia="zh-CN"/>
        </w:rPr>
        <w:t>　　                               保证人：</w:t>
      </w:r>
      <w:r>
        <w:rPr>
          <w:rFonts w:hint="eastAsia" w:ascii="仿宋" w:hAnsi="仿宋" w:eastAsia="仿宋"/>
          <w:color w:val="auto"/>
          <w:highlight w:val="none"/>
          <w:lang w:eastAsia="zh-CN"/>
        </w:rPr>
        <w:t>（</w:t>
      </w:r>
      <w:r>
        <w:rPr>
          <w:rFonts w:ascii="仿宋" w:hAnsi="仿宋" w:eastAsia="仿宋"/>
          <w:color w:val="auto"/>
          <w:highlight w:val="none"/>
          <w:lang w:eastAsia="zh-CN"/>
        </w:rPr>
        <w:t>银行盖章</w:t>
      </w:r>
      <w:r>
        <w:rPr>
          <w:rFonts w:hint="eastAsia" w:ascii="仿宋" w:hAnsi="仿宋" w:eastAsia="仿宋"/>
          <w:color w:val="auto"/>
          <w:highlight w:val="none"/>
          <w:lang w:eastAsia="zh-CN"/>
        </w:rPr>
        <w:t>）</w:t>
      </w:r>
    </w:p>
    <w:p w14:paraId="56C1EA51">
      <w:pPr>
        <w:shd w:val="clear"/>
        <w:spacing w:line="360" w:lineRule="auto"/>
        <w:rPr>
          <w:rFonts w:ascii="仿宋" w:hAnsi="仿宋" w:eastAsia="仿宋"/>
          <w:color w:val="auto"/>
          <w:highlight w:val="none"/>
          <w:lang w:eastAsia="zh-CN"/>
        </w:rPr>
      </w:pPr>
      <w:r>
        <w:rPr>
          <w:rFonts w:ascii="仿宋" w:hAnsi="仿宋" w:eastAsia="仿宋"/>
          <w:color w:val="auto"/>
          <w:highlight w:val="none"/>
          <w:lang w:eastAsia="zh-CN"/>
        </w:rPr>
        <w:t xml:space="preserve">　　                               法定代表人（盖章）： </w:t>
      </w:r>
    </w:p>
    <w:p w14:paraId="3C67D175">
      <w:pPr>
        <w:shd w:val="clear"/>
        <w:spacing w:line="360" w:lineRule="auto"/>
        <w:rPr>
          <w:rFonts w:ascii="仿宋" w:hAnsi="仿宋" w:eastAsia="仿宋"/>
          <w:color w:val="auto"/>
          <w:highlight w:val="none"/>
          <w:lang w:eastAsia="zh-CN"/>
        </w:rPr>
      </w:pPr>
      <w:r>
        <w:rPr>
          <w:rFonts w:ascii="仿宋" w:hAnsi="仿宋" w:eastAsia="仿宋"/>
          <w:color w:val="auto"/>
          <w:highlight w:val="none"/>
          <w:lang w:eastAsia="zh-CN"/>
        </w:rPr>
        <w:t>　　　　                           日期： 202</w:t>
      </w:r>
      <w:r>
        <w:rPr>
          <w:rFonts w:hint="eastAsia" w:ascii="仿宋" w:hAnsi="仿宋" w:eastAsia="仿宋"/>
          <w:color w:val="auto"/>
          <w:highlight w:val="none"/>
          <w:lang w:eastAsia="zh-CN"/>
        </w:rPr>
        <w:t>5</w:t>
      </w:r>
      <w:r>
        <w:rPr>
          <w:rFonts w:ascii="仿宋" w:hAnsi="仿宋" w:eastAsia="仿宋"/>
          <w:color w:val="auto"/>
          <w:highlight w:val="none"/>
          <w:lang w:eastAsia="zh-CN"/>
        </w:rPr>
        <w:t xml:space="preserve"> 年    月    日</w:t>
      </w:r>
    </w:p>
    <w:bookmarkEnd w:id="306"/>
    <w:bookmarkEnd w:id="307"/>
    <w:bookmarkEnd w:id="308"/>
    <w:bookmarkEnd w:id="309"/>
    <w:bookmarkEnd w:id="310"/>
    <w:bookmarkEnd w:id="311"/>
    <w:bookmarkEnd w:id="312"/>
    <w:bookmarkEnd w:id="313"/>
    <w:bookmarkEnd w:id="314"/>
    <w:bookmarkEnd w:id="315"/>
    <w:p w14:paraId="7FE7FEF3">
      <w:pPr>
        <w:pStyle w:val="9"/>
        <w:shd w:val="clear"/>
        <w:ind w:firstLine="200"/>
        <w:rPr>
          <w:rFonts w:ascii="仿宋" w:hAnsi="仿宋" w:eastAsia="仿宋" w:cs="仿宋"/>
          <w:color w:val="auto"/>
          <w:highlight w:val="none"/>
        </w:rPr>
      </w:pPr>
    </w:p>
    <w:p w14:paraId="62228FE8">
      <w:pPr>
        <w:pStyle w:val="9"/>
        <w:shd w:val="clear"/>
        <w:ind w:firstLine="200"/>
        <w:rPr>
          <w:rFonts w:ascii="仿宋" w:hAnsi="仿宋" w:eastAsia="仿宋" w:cs="仿宋"/>
          <w:color w:val="auto"/>
          <w:highlight w:val="none"/>
        </w:rPr>
      </w:pPr>
    </w:p>
    <w:p w14:paraId="1C14AEEA">
      <w:pPr>
        <w:pStyle w:val="9"/>
        <w:shd w:val="clear"/>
        <w:ind w:firstLine="200"/>
        <w:rPr>
          <w:rFonts w:ascii="仿宋" w:hAnsi="仿宋" w:eastAsia="仿宋" w:cs="仿宋"/>
          <w:color w:val="auto"/>
          <w:highlight w:val="none"/>
        </w:rPr>
      </w:pPr>
    </w:p>
    <w:p w14:paraId="7459B9E0">
      <w:pPr>
        <w:pStyle w:val="9"/>
        <w:shd w:val="clear"/>
        <w:ind w:firstLine="200"/>
        <w:rPr>
          <w:rFonts w:ascii="仿宋" w:hAnsi="仿宋" w:eastAsia="仿宋" w:cs="仿宋"/>
          <w:color w:val="auto"/>
          <w:highlight w:val="none"/>
        </w:rPr>
      </w:pPr>
    </w:p>
    <w:bookmarkEnd w:id="269"/>
    <w:bookmarkEnd w:id="270"/>
    <w:p w14:paraId="51B881D1">
      <w:pPr>
        <w:shd w:val="clear"/>
        <w:rPr>
          <w:rFonts w:ascii="仿宋" w:hAnsi="仿宋" w:eastAsia="仿宋" w:cs="仿宋"/>
          <w:color w:val="auto"/>
          <w:highlight w:val="none"/>
        </w:rPr>
      </w:pPr>
    </w:p>
    <w:p w14:paraId="24758D87">
      <w:pPr>
        <w:shd w:val="clear"/>
        <w:rPr>
          <w:rFonts w:ascii="仿宋" w:hAnsi="仿宋" w:eastAsia="仿宋" w:cs="仿宋"/>
          <w:color w:val="auto"/>
          <w:highlight w:val="none"/>
        </w:rPr>
      </w:pPr>
    </w:p>
    <w:p w14:paraId="6D9FCAC3">
      <w:pPr>
        <w:shd w:val="clear"/>
        <w:rPr>
          <w:rFonts w:hint="eastAsia" w:ascii="仿宋" w:hAnsi="仿宋" w:eastAsia="仿宋" w:cs="仿宋"/>
          <w:b/>
          <w:bCs/>
          <w:color w:val="auto"/>
          <w:sz w:val="24"/>
          <w:szCs w:val="24"/>
          <w:highlight w:val="none"/>
          <w:lang w:eastAsia="zh"/>
          <w:woUserID w:val="2"/>
        </w:rPr>
      </w:pPr>
      <w:r>
        <w:rPr>
          <w:rFonts w:hint="eastAsia" w:ascii="仿宋" w:hAnsi="仿宋" w:eastAsia="仿宋" w:cs="仿宋"/>
          <w:b/>
          <w:bCs/>
          <w:color w:val="auto"/>
          <w:sz w:val="24"/>
          <w:szCs w:val="24"/>
          <w:highlight w:val="none"/>
          <w:woUserID w:val="2"/>
        </w:rPr>
        <w:t>附件</w:t>
      </w:r>
      <w:r>
        <w:rPr>
          <w:rFonts w:hint="eastAsia" w:ascii="仿宋" w:hAnsi="仿宋" w:eastAsia="仿宋" w:cs="仿宋"/>
          <w:b/>
          <w:bCs/>
          <w:color w:val="auto"/>
          <w:sz w:val="24"/>
          <w:szCs w:val="24"/>
          <w:highlight w:val="none"/>
          <w:lang w:val="en-US" w:eastAsia="zh-CN"/>
          <w:woUserID w:val="2"/>
        </w:rPr>
        <w:t>十</w:t>
      </w:r>
      <w:r>
        <w:rPr>
          <w:rFonts w:hint="eastAsia" w:ascii="仿宋" w:hAnsi="仿宋" w:eastAsia="仿宋" w:cs="仿宋"/>
          <w:b/>
          <w:bCs/>
          <w:color w:val="auto"/>
          <w:sz w:val="24"/>
          <w:szCs w:val="24"/>
          <w:highlight w:val="none"/>
          <w:woUserID w:val="2"/>
        </w:rPr>
        <w:t>：</w:t>
      </w:r>
      <w:r>
        <w:rPr>
          <w:rFonts w:hint="eastAsia" w:ascii="仿宋" w:hAnsi="仿宋" w:eastAsia="仿宋" w:cs="仿宋"/>
          <w:b/>
          <w:bCs/>
          <w:color w:val="auto"/>
          <w:sz w:val="24"/>
          <w:szCs w:val="24"/>
          <w:highlight w:val="none"/>
          <w:lang w:eastAsia="zh"/>
          <w:woUserID w:val="2"/>
        </w:rPr>
        <w:t>中标通知书</w:t>
      </w:r>
    </w:p>
    <w:p w14:paraId="6CA37DB0">
      <w:pPr>
        <w:shd w:val="clear"/>
        <w:rPr>
          <w:rFonts w:hint="eastAsia" w:ascii="仿宋" w:hAnsi="仿宋" w:eastAsia="仿宋" w:cs="仿宋"/>
          <w:b/>
          <w:bCs/>
          <w:color w:val="auto"/>
          <w:sz w:val="24"/>
          <w:szCs w:val="24"/>
          <w:highlight w:val="none"/>
          <w:lang w:eastAsia="zh"/>
          <w:woUserID w:val="2"/>
        </w:rPr>
      </w:pPr>
      <w:r>
        <w:rPr>
          <w:rFonts w:hint="eastAsia" w:ascii="仿宋" w:hAnsi="仿宋" w:eastAsia="仿宋" w:cs="仿宋"/>
          <w:b/>
          <w:bCs/>
          <w:color w:val="auto"/>
          <w:sz w:val="24"/>
          <w:szCs w:val="24"/>
          <w:highlight w:val="none"/>
          <w:lang w:eastAsia="zh"/>
          <w:woUserID w:val="2"/>
        </w:rPr>
        <w:br w:type="page"/>
      </w:r>
    </w:p>
    <w:p w14:paraId="281BCB88">
      <w:pPr>
        <w:shd w:val="clear"/>
        <w:rPr>
          <w:rFonts w:hint="default" w:ascii="仿宋" w:hAnsi="仿宋" w:eastAsia="仿宋" w:cs="仿宋"/>
          <w:b/>
          <w:bCs/>
          <w:color w:val="auto"/>
          <w:sz w:val="24"/>
          <w:szCs w:val="24"/>
          <w:highlight w:val="none"/>
          <w:lang w:val="en-US" w:eastAsia="zh-CN"/>
          <w:woUserID w:val="2"/>
        </w:rPr>
      </w:pPr>
      <w:r>
        <w:rPr>
          <w:rFonts w:hint="eastAsia" w:ascii="仿宋" w:hAnsi="仿宋" w:eastAsia="仿宋" w:cs="仿宋"/>
          <w:b/>
          <w:bCs/>
          <w:color w:val="auto"/>
          <w:sz w:val="24"/>
          <w:szCs w:val="24"/>
          <w:highlight w:val="none"/>
          <w:lang w:val="en-US" w:eastAsia="zh-CN"/>
          <w:woUserID w:val="2"/>
        </w:rPr>
        <w:t>附件十一：展陈物料、设备及数字内容策划及制作工程量清单</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6A4E">
    <w:pPr>
      <w:pStyle w:val="15"/>
      <w:framePr w:wrap="around" w:vAnchor="text" w:hAnchor="margin" w:xAlign="center" w:y="1"/>
      <w:rPr>
        <w:rStyle w:val="27"/>
      </w:rPr>
    </w:pPr>
    <w:r>
      <w:fldChar w:fldCharType="begin"/>
    </w:r>
    <w:r>
      <w:rPr>
        <w:rStyle w:val="27"/>
      </w:rPr>
      <w:instrText xml:space="preserve">PAGE  </w:instrText>
    </w:r>
    <w:r>
      <w:fldChar w:fldCharType="end"/>
    </w:r>
  </w:p>
  <w:p w14:paraId="4E2BEDA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CFE5">
    <w:pPr>
      <w:pStyle w:val="15"/>
      <w:jc w:val="center"/>
    </w:pPr>
    <w:r>
      <w:fldChar w:fldCharType="begin"/>
    </w:r>
    <w:r>
      <w:instrText xml:space="preserve"> PAGE   \* MERGEFORMAT </w:instrText>
    </w:r>
    <w:r>
      <w:fldChar w:fldCharType="separate"/>
    </w:r>
    <w:r>
      <w:rPr>
        <w:lang w:val="zh-CN"/>
      </w:rPr>
      <w:t>1</w:t>
    </w:r>
    <w:r>
      <w:fldChar w:fldCharType="end"/>
    </w:r>
  </w:p>
  <w:p w14:paraId="3C94D38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C01B7">
    <w:pPr>
      <w:pStyle w:val="15"/>
      <w:jc w:val="center"/>
    </w:pPr>
    <w:r>
      <w:fldChar w:fldCharType="begin"/>
    </w:r>
    <w:r>
      <w:instrText xml:space="preserve"> PAGE   \* MERGEFORMAT </w:instrText>
    </w:r>
    <w:r>
      <w:fldChar w:fldCharType="separate"/>
    </w:r>
    <w:r>
      <w:rPr>
        <w:lang w:val="zh-CN"/>
      </w:rPr>
      <w:t>6</w:t>
    </w:r>
    <w:r>
      <w:fldChar w:fldCharType="end"/>
    </w:r>
  </w:p>
  <w:p w14:paraId="1A4838D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97F4">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172085" cy="27813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172085" cy="278130"/>
                      </a:xfrm>
                      <a:prstGeom prst="rect">
                        <a:avLst/>
                      </a:prstGeom>
                      <a:noFill/>
                      <a:ln w="9525">
                        <a:noFill/>
                      </a:ln>
                      <a:effectLst/>
                    </wps:spPr>
                    <wps:txbx>
                      <w:txbxContent>
                        <w:p w14:paraId="2DCFFA56">
                          <w:pPr>
                            <w:pStyle w:val="15"/>
                            <w:jc w:val="both"/>
                            <w:rPr>
                              <w:rStyle w:val="27"/>
                            </w:rPr>
                          </w:pPr>
                          <w:r>
                            <w:fldChar w:fldCharType="begin"/>
                          </w:r>
                          <w:r>
                            <w:rPr>
                              <w:rStyle w:val="27"/>
                            </w:rPr>
                            <w:instrText xml:space="preserve">PAGE  </w:instrText>
                          </w:r>
                          <w:r>
                            <w:fldChar w:fldCharType="separate"/>
                          </w:r>
                          <w:r>
                            <w:rPr>
                              <w:rStyle w:val="27"/>
                            </w:rPr>
                            <w:t>97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13.55pt;height:21.9pt;width:13.55pt;mso-position-horizontal:center;mso-position-horizontal-relative:margin;mso-wrap-style:none;z-index:251659264;mso-width-relative:page;mso-height-relative:page;" filled="f" stroked="f" coordsize="21600,21600" o:gfxdata="UEsDBAoAAAAAAIdO4kAAAAAAAAAAAAAAAAAEAAAAZHJzL1BLAwQUAAAACACHTuJARoaZJtIAAAAG&#10;AQAADwAAAGRycy9kb3ducmV2LnhtbE2PMU/DMBCFdyT+g3WV2FonHZoqxOlQqQsbBSGxufE1jrDP&#10;ke2myb/nYIHp6fSe3vuuOczeiQljGgIpKDcFCKQumIF6Be9vp/UeRMqajHaBUMGCCQ7t40OjaxPu&#10;9IrTOfeCSyjVWoHNeaylTJ1Fr9MmjEjsXUP0OvMZe2mivnO5d3JbFDvp9UC8YPWIR4vd1/nmFVTz&#10;R8Ax4RE/r1MX7bDs3cui1NOqLJ5BZJzzXxh+8BkdWma6hBuZJJwCfiQrWG+rEgTbv3rh2K4C2Tby&#10;P377DVBLAwQUAAAACACHTuJAASDJGNgBAACmAwAADgAAAGRycy9lMm9Eb2MueG1srVPNjtMwEL4j&#10;8Q6W7zRpoGyJ6q5A1SIkBEgLD+A6TmPJf/K4TfoC8AacuHDnufocO3bS7mr3sgcuydgz/vx934xX&#10;14PR5CADKGcZnc9KSqQVrlF2x+iP7zevlpRA5Lbh2lnJ6FECvV6/fLHqfS0r1zndyEAQxELde0a7&#10;GH1dFCA6aTjMnJcWk60Lhkdchl3RBN4jutFFVZZvi96FxgcnJADubsYknRDDcwBd2yohN07sjbRx&#10;RA1S84iSoFMe6DqzbVsp4te2BRmJZhSVxvzFSzDepm+xXvF6F7jvlJgo8OdQeKTJcGXx0gvUhkdO&#10;9kE9gTJKBAeujTPhTDEKyY6ginn5yJvbjnuZtaDV4C+mw/+DFV8O3wJRDaNvqjkllhts+en3r9Of&#10;f6e/P0naRIt6DzVW3nqsjcMHN+DgnPcBN5PyoQ0m/VETwTwafLwYLIdIRDp0VZXLBSUCU9XVcv46&#10;N6C4P+wDxI/SGZICRgP2L9vKD58hIhEsPZeku6y7UVrnHmpLekbfLapFPnDJ4AltU63M0zDBJEEj&#10;8RTFYTtMKreuOaLIHieCUYsPgBL9yaLhaXjOQTgH2ylI+ODf7yPyyTQT6giFnNMC25fZT6OW5uPh&#10;OlfdP6/1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aGmSbSAAAABgEAAA8AAAAAAAAAAQAgAAAA&#10;IgAAAGRycy9kb3ducmV2LnhtbFBLAQIUABQAAAAIAIdO4kABIMkY2AEAAKYDAAAOAAAAAAAAAAEA&#10;IAAAACEBAABkcnMvZTJvRG9jLnhtbFBLBQYAAAAABgAGAFkBAABrBQAAAAA=&#10;">
              <v:fill on="f" focussize="0,0"/>
              <v:stroke on="f"/>
              <v:imagedata o:title=""/>
              <o:lock v:ext="edit" aspectratio="f"/>
              <v:textbox inset="0mm,0mm,0mm,0mm" style="mso-fit-shape-to-text:t;">
                <w:txbxContent>
                  <w:p w14:paraId="2DCFFA56">
                    <w:pPr>
                      <w:pStyle w:val="15"/>
                      <w:jc w:val="both"/>
                      <w:rPr>
                        <w:rStyle w:val="27"/>
                      </w:rPr>
                    </w:pPr>
                    <w:r>
                      <w:fldChar w:fldCharType="begin"/>
                    </w:r>
                    <w:r>
                      <w:rPr>
                        <w:rStyle w:val="27"/>
                      </w:rPr>
                      <w:instrText xml:space="preserve">PAGE  </w:instrText>
                    </w:r>
                    <w:r>
                      <w:fldChar w:fldCharType="separate"/>
                    </w:r>
                    <w:r>
                      <w:rPr>
                        <w:rStyle w:val="27"/>
                      </w:rPr>
                      <w:t>97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6D80C">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7CB34"/>
    <w:multiLevelType w:val="singleLevel"/>
    <w:tmpl w:val="AC47CB34"/>
    <w:lvl w:ilvl="0" w:tentative="0">
      <w:start w:val="4"/>
      <w:numFmt w:val="decimal"/>
      <w:suff w:val="nothing"/>
      <w:lvlText w:val="（%1）"/>
      <w:lvlJc w:val="left"/>
    </w:lvl>
  </w:abstractNum>
  <w:abstractNum w:abstractNumId="1">
    <w:nsid w:val="D7FA2F01"/>
    <w:multiLevelType w:val="singleLevel"/>
    <w:tmpl w:val="D7FA2F01"/>
    <w:lvl w:ilvl="0" w:tentative="0">
      <w:start w:val="1"/>
      <w:numFmt w:val="decimal"/>
      <w:suff w:val="nothing"/>
      <w:lvlText w:val="（%1）"/>
      <w:lvlJc w:val="left"/>
    </w:lvl>
  </w:abstractNum>
  <w:abstractNum w:abstractNumId="2">
    <w:nsid w:val="0000000E"/>
    <w:multiLevelType w:val="singleLevel"/>
    <w:tmpl w:val="0000000E"/>
    <w:lvl w:ilvl="0" w:tentative="0">
      <w:start w:val="3"/>
      <w:numFmt w:val="decimal"/>
      <w:suff w:val="nothing"/>
      <w:lvlText w:val="%1、"/>
      <w:lvlJc w:val="left"/>
    </w:lvl>
  </w:abstractNum>
  <w:abstractNum w:abstractNumId="3">
    <w:nsid w:val="00000011"/>
    <w:multiLevelType w:val="multilevel"/>
    <w:tmpl w:val="00000011"/>
    <w:lvl w:ilvl="0" w:tentative="0">
      <w:start w:val="1"/>
      <w:numFmt w:val="decimal"/>
      <w:suff w:val="space"/>
      <w:lvlText w:val="%1、"/>
      <w:lvlJc w:val="left"/>
      <w:pPr>
        <w:ind w:left="420" w:hanging="420"/>
      </w:pPr>
      <w:rPr>
        <w:rFonts w:hint="default"/>
        <w:b/>
        <w:sz w:val="2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02F728C"/>
    <w:multiLevelType w:val="singleLevel"/>
    <w:tmpl w:val="002F728C"/>
    <w:lvl w:ilvl="0" w:tentative="0">
      <w:start w:val="1"/>
      <w:numFmt w:val="decimal"/>
      <w:suff w:val="nothing"/>
      <w:lvlText w:val="%1）"/>
      <w:lvlJc w:val="left"/>
    </w:lvl>
  </w:abstractNum>
  <w:abstractNum w:abstractNumId="5">
    <w:nsid w:val="3028E7ED"/>
    <w:multiLevelType w:val="singleLevel"/>
    <w:tmpl w:val="3028E7ED"/>
    <w:lvl w:ilvl="0" w:tentative="0">
      <w:start w:val="1"/>
      <w:numFmt w:val="decimal"/>
      <w:suff w:val="nothing"/>
      <w:lvlText w:val="（%1）"/>
      <w:lvlJc w:val="left"/>
    </w:lvl>
  </w:abstractNum>
  <w:abstractNum w:abstractNumId="6">
    <w:nsid w:val="47E0042E"/>
    <w:multiLevelType w:val="singleLevel"/>
    <w:tmpl w:val="47E0042E"/>
    <w:lvl w:ilvl="0" w:tentative="0">
      <w:start w:val="1"/>
      <w:numFmt w:val="chineseCounting"/>
      <w:suff w:val="space"/>
      <w:lvlText w:val="（%1）"/>
      <w:lvlJc w:val="left"/>
      <w:rPr>
        <w:rFonts w:hint="eastAsia"/>
      </w:rPr>
    </w:lvl>
  </w:abstractNum>
  <w:abstractNum w:abstractNumId="7">
    <w:nsid w:val="57A622C4"/>
    <w:multiLevelType w:val="singleLevel"/>
    <w:tmpl w:val="57A622C4"/>
    <w:lvl w:ilvl="0" w:tentative="0">
      <w:start w:val="1"/>
      <w:numFmt w:val="decimal"/>
      <w:suff w:val="nothing"/>
      <w:lvlText w:val="（%1）"/>
      <w:lvlJc w:val="left"/>
    </w:lvl>
  </w:abstractNum>
  <w:num w:numId="1">
    <w:abstractNumId w:val="5"/>
  </w:num>
  <w:num w:numId="2">
    <w:abstractNumId w:val="4"/>
  </w:num>
  <w:num w:numId="3">
    <w:abstractNumId w:val="2"/>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DU3MzAwMDI3YzhkOGIyM2IzMjM2MTM3ZjY3ZTQifQ=="/>
  </w:docVars>
  <w:rsids>
    <w:rsidRoot w:val="005909C4"/>
    <w:rsid w:val="00011347"/>
    <w:rsid w:val="00013E76"/>
    <w:rsid w:val="00023AEB"/>
    <w:rsid w:val="00025B2F"/>
    <w:rsid w:val="0004057F"/>
    <w:rsid w:val="000451CD"/>
    <w:rsid w:val="00047872"/>
    <w:rsid w:val="00061723"/>
    <w:rsid w:val="00081ED3"/>
    <w:rsid w:val="00084AE8"/>
    <w:rsid w:val="00090024"/>
    <w:rsid w:val="000915C8"/>
    <w:rsid w:val="0009481B"/>
    <w:rsid w:val="000B51E1"/>
    <w:rsid w:val="000C0989"/>
    <w:rsid w:val="000D04F6"/>
    <w:rsid w:val="000D4FF6"/>
    <w:rsid w:val="000D790B"/>
    <w:rsid w:val="000D7F16"/>
    <w:rsid w:val="000E1103"/>
    <w:rsid w:val="000F095F"/>
    <w:rsid w:val="00104CD3"/>
    <w:rsid w:val="0011068D"/>
    <w:rsid w:val="00114320"/>
    <w:rsid w:val="001269B3"/>
    <w:rsid w:val="001300CE"/>
    <w:rsid w:val="00136366"/>
    <w:rsid w:val="0013782A"/>
    <w:rsid w:val="001420A7"/>
    <w:rsid w:val="00144A74"/>
    <w:rsid w:val="00152618"/>
    <w:rsid w:val="001529B3"/>
    <w:rsid w:val="00166847"/>
    <w:rsid w:val="001726C0"/>
    <w:rsid w:val="001742E6"/>
    <w:rsid w:val="0017581C"/>
    <w:rsid w:val="00176527"/>
    <w:rsid w:val="001938CD"/>
    <w:rsid w:val="001A22BB"/>
    <w:rsid w:val="001A428E"/>
    <w:rsid w:val="001B0182"/>
    <w:rsid w:val="001B0723"/>
    <w:rsid w:val="001B63D8"/>
    <w:rsid w:val="001B77DC"/>
    <w:rsid w:val="001D0D1E"/>
    <w:rsid w:val="001E3258"/>
    <w:rsid w:val="001F768C"/>
    <w:rsid w:val="00202046"/>
    <w:rsid w:val="002049CC"/>
    <w:rsid w:val="00235AA3"/>
    <w:rsid w:val="00237847"/>
    <w:rsid w:val="00257D1C"/>
    <w:rsid w:val="00260BBF"/>
    <w:rsid w:val="00270B65"/>
    <w:rsid w:val="00277A8F"/>
    <w:rsid w:val="00283D80"/>
    <w:rsid w:val="0028509A"/>
    <w:rsid w:val="0029007F"/>
    <w:rsid w:val="00291FB3"/>
    <w:rsid w:val="00297295"/>
    <w:rsid w:val="002B1A9D"/>
    <w:rsid w:val="002C6B8E"/>
    <w:rsid w:val="002D50FA"/>
    <w:rsid w:val="002D599F"/>
    <w:rsid w:val="002F486E"/>
    <w:rsid w:val="00314803"/>
    <w:rsid w:val="0032035D"/>
    <w:rsid w:val="00340868"/>
    <w:rsid w:val="00340E5F"/>
    <w:rsid w:val="00342B8D"/>
    <w:rsid w:val="00350F21"/>
    <w:rsid w:val="00352DFE"/>
    <w:rsid w:val="00370319"/>
    <w:rsid w:val="00372D2F"/>
    <w:rsid w:val="00376811"/>
    <w:rsid w:val="0038435C"/>
    <w:rsid w:val="00391570"/>
    <w:rsid w:val="00394B62"/>
    <w:rsid w:val="003A07FD"/>
    <w:rsid w:val="003D1235"/>
    <w:rsid w:val="003D2FE1"/>
    <w:rsid w:val="003D5088"/>
    <w:rsid w:val="003E5CA4"/>
    <w:rsid w:val="003F041B"/>
    <w:rsid w:val="003F0B22"/>
    <w:rsid w:val="003F1C40"/>
    <w:rsid w:val="00401125"/>
    <w:rsid w:val="004042A0"/>
    <w:rsid w:val="00412C38"/>
    <w:rsid w:val="004145FF"/>
    <w:rsid w:val="00416DDE"/>
    <w:rsid w:val="0042087A"/>
    <w:rsid w:val="0042766B"/>
    <w:rsid w:val="00427EA7"/>
    <w:rsid w:val="0044472D"/>
    <w:rsid w:val="00450556"/>
    <w:rsid w:val="00466E35"/>
    <w:rsid w:val="00473E14"/>
    <w:rsid w:val="004849BB"/>
    <w:rsid w:val="00485828"/>
    <w:rsid w:val="00486783"/>
    <w:rsid w:val="00493D3B"/>
    <w:rsid w:val="004A1D19"/>
    <w:rsid w:val="004A290B"/>
    <w:rsid w:val="004C25BD"/>
    <w:rsid w:val="004C2FB0"/>
    <w:rsid w:val="004C4B54"/>
    <w:rsid w:val="004C7E7C"/>
    <w:rsid w:val="004D17CB"/>
    <w:rsid w:val="004D73FC"/>
    <w:rsid w:val="004E6D11"/>
    <w:rsid w:val="004F433D"/>
    <w:rsid w:val="00503C71"/>
    <w:rsid w:val="005151D5"/>
    <w:rsid w:val="00540788"/>
    <w:rsid w:val="0055526C"/>
    <w:rsid w:val="005610EB"/>
    <w:rsid w:val="00564CF9"/>
    <w:rsid w:val="00565483"/>
    <w:rsid w:val="005714C6"/>
    <w:rsid w:val="0058282F"/>
    <w:rsid w:val="005909C4"/>
    <w:rsid w:val="00590B1A"/>
    <w:rsid w:val="00592DA9"/>
    <w:rsid w:val="005B11A7"/>
    <w:rsid w:val="005B237B"/>
    <w:rsid w:val="005D6C0F"/>
    <w:rsid w:val="005D7D60"/>
    <w:rsid w:val="005F2058"/>
    <w:rsid w:val="005F21E7"/>
    <w:rsid w:val="00602AC4"/>
    <w:rsid w:val="0061226B"/>
    <w:rsid w:val="00613BB8"/>
    <w:rsid w:val="00617EC2"/>
    <w:rsid w:val="006248E6"/>
    <w:rsid w:val="006253CC"/>
    <w:rsid w:val="0062559E"/>
    <w:rsid w:val="006256DC"/>
    <w:rsid w:val="00626121"/>
    <w:rsid w:val="0063310C"/>
    <w:rsid w:val="0064160F"/>
    <w:rsid w:val="00656311"/>
    <w:rsid w:val="00665079"/>
    <w:rsid w:val="0067226C"/>
    <w:rsid w:val="00684857"/>
    <w:rsid w:val="006923BE"/>
    <w:rsid w:val="006A0318"/>
    <w:rsid w:val="006A5C47"/>
    <w:rsid w:val="006B06D7"/>
    <w:rsid w:val="006D6A17"/>
    <w:rsid w:val="006E3E7A"/>
    <w:rsid w:val="006F5A49"/>
    <w:rsid w:val="006F5E86"/>
    <w:rsid w:val="006F7372"/>
    <w:rsid w:val="00732975"/>
    <w:rsid w:val="007333F2"/>
    <w:rsid w:val="00750AF5"/>
    <w:rsid w:val="0075380C"/>
    <w:rsid w:val="007560A2"/>
    <w:rsid w:val="0076053A"/>
    <w:rsid w:val="00772B30"/>
    <w:rsid w:val="007848AF"/>
    <w:rsid w:val="007917E7"/>
    <w:rsid w:val="007A0765"/>
    <w:rsid w:val="007A15D4"/>
    <w:rsid w:val="007B2602"/>
    <w:rsid w:val="007B3193"/>
    <w:rsid w:val="007D280C"/>
    <w:rsid w:val="007E047B"/>
    <w:rsid w:val="008058E0"/>
    <w:rsid w:val="00810163"/>
    <w:rsid w:val="00825984"/>
    <w:rsid w:val="00843A2D"/>
    <w:rsid w:val="00850143"/>
    <w:rsid w:val="00854CEB"/>
    <w:rsid w:val="0085671F"/>
    <w:rsid w:val="008A02DB"/>
    <w:rsid w:val="008A0F92"/>
    <w:rsid w:val="008A3A47"/>
    <w:rsid w:val="008A4F6A"/>
    <w:rsid w:val="008B6F9C"/>
    <w:rsid w:val="008E075D"/>
    <w:rsid w:val="008E1E8A"/>
    <w:rsid w:val="008E2A86"/>
    <w:rsid w:val="008E6BA1"/>
    <w:rsid w:val="008F77CD"/>
    <w:rsid w:val="00903C44"/>
    <w:rsid w:val="00904C07"/>
    <w:rsid w:val="009165F4"/>
    <w:rsid w:val="009213B3"/>
    <w:rsid w:val="00921FC5"/>
    <w:rsid w:val="009262F6"/>
    <w:rsid w:val="00930D25"/>
    <w:rsid w:val="009357BF"/>
    <w:rsid w:val="00954E31"/>
    <w:rsid w:val="00960C7C"/>
    <w:rsid w:val="00981A00"/>
    <w:rsid w:val="00992003"/>
    <w:rsid w:val="009956C8"/>
    <w:rsid w:val="009A3D4C"/>
    <w:rsid w:val="009B55CB"/>
    <w:rsid w:val="009D3BDC"/>
    <w:rsid w:val="009D4EAA"/>
    <w:rsid w:val="009D54E5"/>
    <w:rsid w:val="009E1993"/>
    <w:rsid w:val="009F1659"/>
    <w:rsid w:val="00A04104"/>
    <w:rsid w:val="00A12758"/>
    <w:rsid w:val="00A214F8"/>
    <w:rsid w:val="00A25964"/>
    <w:rsid w:val="00A2612E"/>
    <w:rsid w:val="00A26143"/>
    <w:rsid w:val="00A30473"/>
    <w:rsid w:val="00A50BFB"/>
    <w:rsid w:val="00A67E7C"/>
    <w:rsid w:val="00A7165C"/>
    <w:rsid w:val="00A72DA3"/>
    <w:rsid w:val="00A85D2A"/>
    <w:rsid w:val="00A90A57"/>
    <w:rsid w:val="00A91022"/>
    <w:rsid w:val="00A96841"/>
    <w:rsid w:val="00AA1981"/>
    <w:rsid w:val="00AA34A1"/>
    <w:rsid w:val="00AA4866"/>
    <w:rsid w:val="00AA79B5"/>
    <w:rsid w:val="00AB139B"/>
    <w:rsid w:val="00AB41B4"/>
    <w:rsid w:val="00AC769C"/>
    <w:rsid w:val="00AC7DE5"/>
    <w:rsid w:val="00AE47A8"/>
    <w:rsid w:val="00AF3821"/>
    <w:rsid w:val="00AF6A11"/>
    <w:rsid w:val="00B046EC"/>
    <w:rsid w:val="00B0786E"/>
    <w:rsid w:val="00B10A94"/>
    <w:rsid w:val="00B1700A"/>
    <w:rsid w:val="00B171FD"/>
    <w:rsid w:val="00B21934"/>
    <w:rsid w:val="00B21C49"/>
    <w:rsid w:val="00B26E76"/>
    <w:rsid w:val="00B2718F"/>
    <w:rsid w:val="00B441CE"/>
    <w:rsid w:val="00B54ECE"/>
    <w:rsid w:val="00B6008D"/>
    <w:rsid w:val="00B65B34"/>
    <w:rsid w:val="00B81760"/>
    <w:rsid w:val="00B823A4"/>
    <w:rsid w:val="00B90870"/>
    <w:rsid w:val="00B90978"/>
    <w:rsid w:val="00BA443D"/>
    <w:rsid w:val="00BB0288"/>
    <w:rsid w:val="00BC01BF"/>
    <w:rsid w:val="00BC47D7"/>
    <w:rsid w:val="00BE7BA7"/>
    <w:rsid w:val="00BF3E33"/>
    <w:rsid w:val="00BF650B"/>
    <w:rsid w:val="00C02055"/>
    <w:rsid w:val="00C07C9C"/>
    <w:rsid w:val="00C32109"/>
    <w:rsid w:val="00C332DF"/>
    <w:rsid w:val="00C504F9"/>
    <w:rsid w:val="00C5308C"/>
    <w:rsid w:val="00C6040B"/>
    <w:rsid w:val="00C65508"/>
    <w:rsid w:val="00C70868"/>
    <w:rsid w:val="00C72050"/>
    <w:rsid w:val="00C74A69"/>
    <w:rsid w:val="00C85B2C"/>
    <w:rsid w:val="00C925EE"/>
    <w:rsid w:val="00CB66DF"/>
    <w:rsid w:val="00CB748A"/>
    <w:rsid w:val="00CB7873"/>
    <w:rsid w:val="00CC536E"/>
    <w:rsid w:val="00CC5637"/>
    <w:rsid w:val="00CF40DC"/>
    <w:rsid w:val="00D11DF3"/>
    <w:rsid w:val="00D15DAA"/>
    <w:rsid w:val="00D24926"/>
    <w:rsid w:val="00D44BC2"/>
    <w:rsid w:val="00D55F47"/>
    <w:rsid w:val="00D57988"/>
    <w:rsid w:val="00D61BB8"/>
    <w:rsid w:val="00D64E99"/>
    <w:rsid w:val="00D84AF0"/>
    <w:rsid w:val="00D90D8E"/>
    <w:rsid w:val="00DA6C21"/>
    <w:rsid w:val="00DB1E0B"/>
    <w:rsid w:val="00DB691D"/>
    <w:rsid w:val="00DC32CE"/>
    <w:rsid w:val="00DE6CFC"/>
    <w:rsid w:val="00DE7748"/>
    <w:rsid w:val="00DF04E7"/>
    <w:rsid w:val="00DF6BE4"/>
    <w:rsid w:val="00E06A95"/>
    <w:rsid w:val="00E07B85"/>
    <w:rsid w:val="00E137C9"/>
    <w:rsid w:val="00E14F59"/>
    <w:rsid w:val="00E31D2C"/>
    <w:rsid w:val="00E442FD"/>
    <w:rsid w:val="00E70947"/>
    <w:rsid w:val="00E73F0D"/>
    <w:rsid w:val="00E802C0"/>
    <w:rsid w:val="00E82F46"/>
    <w:rsid w:val="00E83233"/>
    <w:rsid w:val="00E90F78"/>
    <w:rsid w:val="00E92D64"/>
    <w:rsid w:val="00EA197B"/>
    <w:rsid w:val="00EA6C15"/>
    <w:rsid w:val="00EB52EA"/>
    <w:rsid w:val="00EC5E56"/>
    <w:rsid w:val="00EC6D1B"/>
    <w:rsid w:val="00EE25DF"/>
    <w:rsid w:val="00EE4D79"/>
    <w:rsid w:val="00EF18B5"/>
    <w:rsid w:val="00EF75CE"/>
    <w:rsid w:val="00F17969"/>
    <w:rsid w:val="00F24978"/>
    <w:rsid w:val="00F50A50"/>
    <w:rsid w:val="00F568F3"/>
    <w:rsid w:val="00F56FA8"/>
    <w:rsid w:val="00F602C2"/>
    <w:rsid w:val="00F62993"/>
    <w:rsid w:val="00F875C1"/>
    <w:rsid w:val="00FA10E8"/>
    <w:rsid w:val="00FA7E64"/>
    <w:rsid w:val="00FD3985"/>
    <w:rsid w:val="00FF34EE"/>
    <w:rsid w:val="011C1AB3"/>
    <w:rsid w:val="01394A30"/>
    <w:rsid w:val="015C7D03"/>
    <w:rsid w:val="018A58CB"/>
    <w:rsid w:val="01944054"/>
    <w:rsid w:val="019D55FE"/>
    <w:rsid w:val="02022076"/>
    <w:rsid w:val="021E4FB8"/>
    <w:rsid w:val="02330E0C"/>
    <w:rsid w:val="02944B2E"/>
    <w:rsid w:val="02964D59"/>
    <w:rsid w:val="02C80179"/>
    <w:rsid w:val="03060F81"/>
    <w:rsid w:val="03662CAF"/>
    <w:rsid w:val="039F4938"/>
    <w:rsid w:val="03D4614D"/>
    <w:rsid w:val="043164D2"/>
    <w:rsid w:val="05731D50"/>
    <w:rsid w:val="05F03A97"/>
    <w:rsid w:val="05FC2F69"/>
    <w:rsid w:val="06D27AF8"/>
    <w:rsid w:val="06F12ADA"/>
    <w:rsid w:val="07314B59"/>
    <w:rsid w:val="07905B50"/>
    <w:rsid w:val="085043A5"/>
    <w:rsid w:val="08504A1F"/>
    <w:rsid w:val="08784A41"/>
    <w:rsid w:val="089C759D"/>
    <w:rsid w:val="08FD2989"/>
    <w:rsid w:val="09216B15"/>
    <w:rsid w:val="094D1913"/>
    <w:rsid w:val="099A0675"/>
    <w:rsid w:val="09A46931"/>
    <w:rsid w:val="09AD3BFF"/>
    <w:rsid w:val="0A741969"/>
    <w:rsid w:val="0AD448D2"/>
    <w:rsid w:val="0AE305A4"/>
    <w:rsid w:val="0B090E44"/>
    <w:rsid w:val="0B1B2728"/>
    <w:rsid w:val="0B5F0311"/>
    <w:rsid w:val="0B6E6141"/>
    <w:rsid w:val="0BCBB85B"/>
    <w:rsid w:val="0C49746F"/>
    <w:rsid w:val="0C517711"/>
    <w:rsid w:val="0C6210AB"/>
    <w:rsid w:val="0C776A4C"/>
    <w:rsid w:val="0C9C460A"/>
    <w:rsid w:val="0D632806"/>
    <w:rsid w:val="0DDE7470"/>
    <w:rsid w:val="0E541A88"/>
    <w:rsid w:val="0EE77F98"/>
    <w:rsid w:val="0F4E60EF"/>
    <w:rsid w:val="0FD20FCA"/>
    <w:rsid w:val="0FE22BC8"/>
    <w:rsid w:val="101F1ADF"/>
    <w:rsid w:val="10AE0101"/>
    <w:rsid w:val="10B262A5"/>
    <w:rsid w:val="10C04E65"/>
    <w:rsid w:val="110B1119"/>
    <w:rsid w:val="11EF53B0"/>
    <w:rsid w:val="12385D22"/>
    <w:rsid w:val="125F3D22"/>
    <w:rsid w:val="12B04DF0"/>
    <w:rsid w:val="12B058B8"/>
    <w:rsid w:val="12D01628"/>
    <w:rsid w:val="12FD414F"/>
    <w:rsid w:val="130A6CBC"/>
    <w:rsid w:val="132628B8"/>
    <w:rsid w:val="133964A4"/>
    <w:rsid w:val="13E2653D"/>
    <w:rsid w:val="14357918"/>
    <w:rsid w:val="1457788F"/>
    <w:rsid w:val="14987219"/>
    <w:rsid w:val="14C2571A"/>
    <w:rsid w:val="14EC2A7B"/>
    <w:rsid w:val="152C2AC9"/>
    <w:rsid w:val="153C277C"/>
    <w:rsid w:val="1551577A"/>
    <w:rsid w:val="156264EB"/>
    <w:rsid w:val="15A152F9"/>
    <w:rsid w:val="15B914BE"/>
    <w:rsid w:val="163770DD"/>
    <w:rsid w:val="164B6F7F"/>
    <w:rsid w:val="16AE750E"/>
    <w:rsid w:val="16BC7087"/>
    <w:rsid w:val="171F0A6C"/>
    <w:rsid w:val="17E112C3"/>
    <w:rsid w:val="17E65438"/>
    <w:rsid w:val="186870BA"/>
    <w:rsid w:val="187B7E6D"/>
    <w:rsid w:val="18AA5631"/>
    <w:rsid w:val="193F1319"/>
    <w:rsid w:val="197A43BF"/>
    <w:rsid w:val="19C35DB1"/>
    <w:rsid w:val="19C534C4"/>
    <w:rsid w:val="19ED4F15"/>
    <w:rsid w:val="1A1826B0"/>
    <w:rsid w:val="1A846C80"/>
    <w:rsid w:val="1A943BE0"/>
    <w:rsid w:val="1AB772D9"/>
    <w:rsid w:val="1B83540D"/>
    <w:rsid w:val="1B8A49B3"/>
    <w:rsid w:val="1B944352"/>
    <w:rsid w:val="1BFD6021"/>
    <w:rsid w:val="1C200ACE"/>
    <w:rsid w:val="1CB50E39"/>
    <w:rsid w:val="1CE4012E"/>
    <w:rsid w:val="1D0C3788"/>
    <w:rsid w:val="1D217B32"/>
    <w:rsid w:val="1DAD34AC"/>
    <w:rsid w:val="1E193E07"/>
    <w:rsid w:val="1E7031A6"/>
    <w:rsid w:val="1ED47ED0"/>
    <w:rsid w:val="1F380DFE"/>
    <w:rsid w:val="1F560CBA"/>
    <w:rsid w:val="1F877CE7"/>
    <w:rsid w:val="1FBB5AB6"/>
    <w:rsid w:val="1FC72DB9"/>
    <w:rsid w:val="1FC87597"/>
    <w:rsid w:val="200D38FE"/>
    <w:rsid w:val="208004DF"/>
    <w:rsid w:val="20A650ED"/>
    <w:rsid w:val="20E876B9"/>
    <w:rsid w:val="21443565"/>
    <w:rsid w:val="216C2FFE"/>
    <w:rsid w:val="21876D2B"/>
    <w:rsid w:val="21902F95"/>
    <w:rsid w:val="22267A7B"/>
    <w:rsid w:val="224F3AF6"/>
    <w:rsid w:val="22A8695A"/>
    <w:rsid w:val="233824F0"/>
    <w:rsid w:val="233F60BE"/>
    <w:rsid w:val="23A31CB8"/>
    <w:rsid w:val="243B6457"/>
    <w:rsid w:val="244F677A"/>
    <w:rsid w:val="24561911"/>
    <w:rsid w:val="246D6C5B"/>
    <w:rsid w:val="249C557D"/>
    <w:rsid w:val="24AD4F63"/>
    <w:rsid w:val="24DF7C16"/>
    <w:rsid w:val="253A4D8F"/>
    <w:rsid w:val="25863FAB"/>
    <w:rsid w:val="25AE488C"/>
    <w:rsid w:val="25B85CB3"/>
    <w:rsid w:val="26D46B1D"/>
    <w:rsid w:val="26EA363F"/>
    <w:rsid w:val="271D6947"/>
    <w:rsid w:val="273C0C5D"/>
    <w:rsid w:val="273C471C"/>
    <w:rsid w:val="278E3192"/>
    <w:rsid w:val="27FB29C1"/>
    <w:rsid w:val="28335115"/>
    <w:rsid w:val="284652A5"/>
    <w:rsid w:val="28551EE0"/>
    <w:rsid w:val="287C2FB3"/>
    <w:rsid w:val="28BE03A0"/>
    <w:rsid w:val="29031FB8"/>
    <w:rsid w:val="29301C25"/>
    <w:rsid w:val="29E92ECC"/>
    <w:rsid w:val="2A5F37FD"/>
    <w:rsid w:val="2AA300C0"/>
    <w:rsid w:val="2ADE3F89"/>
    <w:rsid w:val="2AEC43C3"/>
    <w:rsid w:val="2AEF3A6B"/>
    <w:rsid w:val="2B54003D"/>
    <w:rsid w:val="2BC863D1"/>
    <w:rsid w:val="2BCE19B5"/>
    <w:rsid w:val="2BE041B6"/>
    <w:rsid w:val="2C074853"/>
    <w:rsid w:val="2C27296A"/>
    <w:rsid w:val="2C5979C3"/>
    <w:rsid w:val="2C5D75B5"/>
    <w:rsid w:val="2C9F3BFB"/>
    <w:rsid w:val="2CAB07D7"/>
    <w:rsid w:val="2D032FFD"/>
    <w:rsid w:val="2D1D2582"/>
    <w:rsid w:val="2D3F380F"/>
    <w:rsid w:val="2D5B1D46"/>
    <w:rsid w:val="2D767832"/>
    <w:rsid w:val="2DDD029D"/>
    <w:rsid w:val="2DFF85C5"/>
    <w:rsid w:val="2F6E5F3A"/>
    <w:rsid w:val="2F7D786F"/>
    <w:rsid w:val="2FBB1F0B"/>
    <w:rsid w:val="2FF97A42"/>
    <w:rsid w:val="3011133D"/>
    <w:rsid w:val="30365839"/>
    <w:rsid w:val="31003D80"/>
    <w:rsid w:val="310440E3"/>
    <w:rsid w:val="313F6DA4"/>
    <w:rsid w:val="315D3273"/>
    <w:rsid w:val="3194717C"/>
    <w:rsid w:val="31AB618F"/>
    <w:rsid w:val="31B57B1B"/>
    <w:rsid w:val="31FA6595"/>
    <w:rsid w:val="32194E00"/>
    <w:rsid w:val="322D6537"/>
    <w:rsid w:val="326D4B4E"/>
    <w:rsid w:val="332724C9"/>
    <w:rsid w:val="33EE30FE"/>
    <w:rsid w:val="346040E6"/>
    <w:rsid w:val="347156CC"/>
    <w:rsid w:val="34940091"/>
    <w:rsid w:val="34D32B0A"/>
    <w:rsid w:val="34D6669B"/>
    <w:rsid w:val="3514374C"/>
    <w:rsid w:val="35177103"/>
    <w:rsid w:val="35600711"/>
    <w:rsid w:val="35611EC4"/>
    <w:rsid w:val="357E5CE1"/>
    <w:rsid w:val="359C49C0"/>
    <w:rsid w:val="362D24BD"/>
    <w:rsid w:val="363C1CD2"/>
    <w:rsid w:val="36401AD9"/>
    <w:rsid w:val="3648146F"/>
    <w:rsid w:val="364F252C"/>
    <w:rsid w:val="36681030"/>
    <w:rsid w:val="368B78F1"/>
    <w:rsid w:val="375D4352"/>
    <w:rsid w:val="37A054C8"/>
    <w:rsid w:val="37C83333"/>
    <w:rsid w:val="386175CD"/>
    <w:rsid w:val="38835502"/>
    <w:rsid w:val="38ED7091"/>
    <w:rsid w:val="391334D5"/>
    <w:rsid w:val="397228F1"/>
    <w:rsid w:val="398A7705"/>
    <w:rsid w:val="399B7695"/>
    <w:rsid w:val="3A0F2E83"/>
    <w:rsid w:val="3A2E26D9"/>
    <w:rsid w:val="3A7F3DEE"/>
    <w:rsid w:val="3A8723CC"/>
    <w:rsid w:val="3AD93C94"/>
    <w:rsid w:val="3AE17ED5"/>
    <w:rsid w:val="3B7E00CF"/>
    <w:rsid w:val="3BF4682F"/>
    <w:rsid w:val="3C02543A"/>
    <w:rsid w:val="3C3C2D43"/>
    <w:rsid w:val="3C3E0747"/>
    <w:rsid w:val="3C475388"/>
    <w:rsid w:val="3C674EB4"/>
    <w:rsid w:val="3C9459FD"/>
    <w:rsid w:val="3CB90837"/>
    <w:rsid w:val="3DE44A38"/>
    <w:rsid w:val="3E732E2B"/>
    <w:rsid w:val="3E761EF9"/>
    <w:rsid w:val="3EE15E23"/>
    <w:rsid w:val="3EED33C0"/>
    <w:rsid w:val="3F2A5A21"/>
    <w:rsid w:val="3F885D4B"/>
    <w:rsid w:val="3FA119E3"/>
    <w:rsid w:val="3FB2368A"/>
    <w:rsid w:val="401272A7"/>
    <w:rsid w:val="404641B6"/>
    <w:rsid w:val="405130A3"/>
    <w:rsid w:val="407331C0"/>
    <w:rsid w:val="407864AD"/>
    <w:rsid w:val="40B27A77"/>
    <w:rsid w:val="40B55B74"/>
    <w:rsid w:val="40F736DC"/>
    <w:rsid w:val="413B5CBF"/>
    <w:rsid w:val="415937E3"/>
    <w:rsid w:val="4163302D"/>
    <w:rsid w:val="41B33AA7"/>
    <w:rsid w:val="41EA7608"/>
    <w:rsid w:val="426B495C"/>
    <w:rsid w:val="429C453B"/>
    <w:rsid w:val="42E3216A"/>
    <w:rsid w:val="43042C72"/>
    <w:rsid w:val="432B0899"/>
    <w:rsid w:val="438A6496"/>
    <w:rsid w:val="43BC3C19"/>
    <w:rsid w:val="43E3619A"/>
    <w:rsid w:val="442668A4"/>
    <w:rsid w:val="44425308"/>
    <w:rsid w:val="44EC2EDD"/>
    <w:rsid w:val="44FC5765"/>
    <w:rsid w:val="450B40EE"/>
    <w:rsid w:val="45181E73"/>
    <w:rsid w:val="4568626D"/>
    <w:rsid w:val="45687280"/>
    <w:rsid w:val="45724475"/>
    <w:rsid w:val="45A66D36"/>
    <w:rsid w:val="45FD29E4"/>
    <w:rsid w:val="460264AE"/>
    <w:rsid w:val="460E7281"/>
    <w:rsid w:val="46291BB1"/>
    <w:rsid w:val="464F276C"/>
    <w:rsid w:val="467A455C"/>
    <w:rsid w:val="46844BE7"/>
    <w:rsid w:val="46C359DC"/>
    <w:rsid w:val="47471532"/>
    <w:rsid w:val="47C337F0"/>
    <w:rsid w:val="47F14788"/>
    <w:rsid w:val="483F42E6"/>
    <w:rsid w:val="487E46E3"/>
    <w:rsid w:val="48816489"/>
    <w:rsid w:val="48A54274"/>
    <w:rsid w:val="48D057E8"/>
    <w:rsid w:val="48FD17B3"/>
    <w:rsid w:val="49472F87"/>
    <w:rsid w:val="49EE77D9"/>
    <w:rsid w:val="4A7F6FBA"/>
    <w:rsid w:val="4AB80C07"/>
    <w:rsid w:val="4B7B4D3D"/>
    <w:rsid w:val="4BA52BB9"/>
    <w:rsid w:val="4BB5782C"/>
    <w:rsid w:val="4C4E4FE0"/>
    <w:rsid w:val="4C7133B1"/>
    <w:rsid w:val="4CBC3B05"/>
    <w:rsid w:val="4D327854"/>
    <w:rsid w:val="4D490D30"/>
    <w:rsid w:val="4D561A2B"/>
    <w:rsid w:val="4D56760C"/>
    <w:rsid w:val="4DB6739E"/>
    <w:rsid w:val="4DEA4CF4"/>
    <w:rsid w:val="4E2420C1"/>
    <w:rsid w:val="4EC76DE4"/>
    <w:rsid w:val="4EFB5199"/>
    <w:rsid w:val="4EFBAFF0"/>
    <w:rsid w:val="4F555854"/>
    <w:rsid w:val="4F563CC4"/>
    <w:rsid w:val="4F870321"/>
    <w:rsid w:val="4FB1699E"/>
    <w:rsid w:val="4FE76881"/>
    <w:rsid w:val="4FEC0D7C"/>
    <w:rsid w:val="50AD4624"/>
    <w:rsid w:val="50BB169C"/>
    <w:rsid w:val="50DC3C89"/>
    <w:rsid w:val="510A0812"/>
    <w:rsid w:val="512E5041"/>
    <w:rsid w:val="52297F74"/>
    <w:rsid w:val="52630BD1"/>
    <w:rsid w:val="526B48B5"/>
    <w:rsid w:val="52812D58"/>
    <w:rsid w:val="52C00A54"/>
    <w:rsid w:val="52E31E5C"/>
    <w:rsid w:val="52F12681"/>
    <w:rsid w:val="530028C4"/>
    <w:rsid w:val="53547DC2"/>
    <w:rsid w:val="53F242EF"/>
    <w:rsid w:val="53FF0DCE"/>
    <w:rsid w:val="543A0058"/>
    <w:rsid w:val="54413194"/>
    <w:rsid w:val="547138FC"/>
    <w:rsid w:val="54DA7578"/>
    <w:rsid w:val="54F27A47"/>
    <w:rsid w:val="55394FB4"/>
    <w:rsid w:val="554D701A"/>
    <w:rsid w:val="555F1386"/>
    <w:rsid w:val="55635C77"/>
    <w:rsid w:val="559B2D78"/>
    <w:rsid w:val="55AC6D33"/>
    <w:rsid w:val="55F0714E"/>
    <w:rsid w:val="55FEB10B"/>
    <w:rsid w:val="56503B63"/>
    <w:rsid w:val="566762A9"/>
    <w:rsid w:val="5688385D"/>
    <w:rsid w:val="56AE0CBE"/>
    <w:rsid w:val="56C65BD3"/>
    <w:rsid w:val="56D55E16"/>
    <w:rsid w:val="57372EE5"/>
    <w:rsid w:val="58740605"/>
    <w:rsid w:val="58B773CC"/>
    <w:rsid w:val="58B8154D"/>
    <w:rsid w:val="591D45AB"/>
    <w:rsid w:val="59602541"/>
    <w:rsid w:val="59696362"/>
    <w:rsid w:val="598E2D32"/>
    <w:rsid w:val="599C2D8A"/>
    <w:rsid w:val="59D44C40"/>
    <w:rsid w:val="5A065E77"/>
    <w:rsid w:val="5A0D771F"/>
    <w:rsid w:val="5A2B6EED"/>
    <w:rsid w:val="5A4C3568"/>
    <w:rsid w:val="5A5705AA"/>
    <w:rsid w:val="5A866282"/>
    <w:rsid w:val="5ABF4DA6"/>
    <w:rsid w:val="5B196E44"/>
    <w:rsid w:val="5B733C26"/>
    <w:rsid w:val="5B75027F"/>
    <w:rsid w:val="5B7D3AD4"/>
    <w:rsid w:val="5BF57851"/>
    <w:rsid w:val="5C4718D6"/>
    <w:rsid w:val="5C613CC7"/>
    <w:rsid w:val="5CB90581"/>
    <w:rsid w:val="5CC631E7"/>
    <w:rsid w:val="5CFE6A03"/>
    <w:rsid w:val="5D171F6E"/>
    <w:rsid w:val="5D2218C9"/>
    <w:rsid w:val="5D29413C"/>
    <w:rsid w:val="5D602736"/>
    <w:rsid w:val="5DBA5079"/>
    <w:rsid w:val="5DD002F2"/>
    <w:rsid w:val="5E0E107A"/>
    <w:rsid w:val="5E4E2168"/>
    <w:rsid w:val="5EC944B2"/>
    <w:rsid w:val="5EF46E89"/>
    <w:rsid w:val="5F4F6A1D"/>
    <w:rsid w:val="5FBBF7CA"/>
    <w:rsid w:val="5FD64226"/>
    <w:rsid w:val="5FD7C356"/>
    <w:rsid w:val="600C4A73"/>
    <w:rsid w:val="602F5AC8"/>
    <w:rsid w:val="608521B9"/>
    <w:rsid w:val="60BF3DBF"/>
    <w:rsid w:val="60EC6236"/>
    <w:rsid w:val="613C502D"/>
    <w:rsid w:val="61BD7BD2"/>
    <w:rsid w:val="621A4F61"/>
    <w:rsid w:val="6254681B"/>
    <w:rsid w:val="62CE28B4"/>
    <w:rsid w:val="632D2AC8"/>
    <w:rsid w:val="63464323"/>
    <w:rsid w:val="634F07DE"/>
    <w:rsid w:val="635B754C"/>
    <w:rsid w:val="63754818"/>
    <w:rsid w:val="639D2E82"/>
    <w:rsid w:val="63A926C6"/>
    <w:rsid w:val="63E06743"/>
    <w:rsid w:val="64002891"/>
    <w:rsid w:val="641152CD"/>
    <w:rsid w:val="64A543D7"/>
    <w:rsid w:val="64F05A7F"/>
    <w:rsid w:val="64F81A3A"/>
    <w:rsid w:val="65401246"/>
    <w:rsid w:val="654E0972"/>
    <w:rsid w:val="65867FF9"/>
    <w:rsid w:val="659F63A2"/>
    <w:rsid w:val="65B732B6"/>
    <w:rsid w:val="65C50EF1"/>
    <w:rsid w:val="65FF5EA4"/>
    <w:rsid w:val="665C20B0"/>
    <w:rsid w:val="66661747"/>
    <w:rsid w:val="66794933"/>
    <w:rsid w:val="66C35C8B"/>
    <w:rsid w:val="66D82167"/>
    <w:rsid w:val="6713164B"/>
    <w:rsid w:val="679A2E90"/>
    <w:rsid w:val="67AB0982"/>
    <w:rsid w:val="67C76014"/>
    <w:rsid w:val="67EB7247"/>
    <w:rsid w:val="67ED6B35"/>
    <w:rsid w:val="67FEFACD"/>
    <w:rsid w:val="6840299A"/>
    <w:rsid w:val="687E381C"/>
    <w:rsid w:val="68DF0C54"/>
    <w:rsid w:val="69342E70"/>
    <w:rsid w:val="695449D8"/>
    <w:rsid w:val="69690064"/>
    <w:rsid w:val="696D4C19"/>
    <w:rsid w:val="697A00D4"/>
    <w:rsid w:val="69A55B1C"/>
    <w:rsid w:val="69C91CC4"/>
    <w:rsid w:val="6A2E78BF"/>
    <w:rsid w:val="6A4700E5"/>
    <w:rsid w:val="6A4707B2"/>
    <w:rsid w:val="6A9E1167"/>
    <w:rsid w:val="6AD45140"/>
    <w:rsid w:val="6AE90B46"/>
    <w:rsid w:val="6B741C4A"/>
    <w:rsid w:val="6B781E27"/>
    <w:rsid w:val="6B943942"/>
    <w:rsid w:val="6BDB3A77"/>
    <w:rsid w:val="6BEFB760"/>
    <w:rsid w:val="6C557727"/>
    <w:rsid w:val="6C77022D"/>
    <w:rsid w:val="6CDE73D6"/>
    <w:rsid w:val="6CFD0E54"/>
    <w:rsid w:val="6D2E2789"/>
    <w:rsid w:val="6D324491"/>
    <w:rsid w:val="6D6D6B77"/>
    <w:rsid w:val="6DAE04BD"/>
    <w:rsid w:val="6DE8594C"/>
    <w:rsid w:val="6DFE389D"/>
    <w:rsid w:val="6E5E5257"/>
    <w:rsid w:val="6F410095"/>
    <w:rsid w:val="6F8367B7"/>
    <w:rsid w:val="6F8E1DC9"/>
    <w:rsid w:val="6FB410EE"/>
    <w:rsid w:val="701D5084"/>
    <w:rsid w:val="70C44AD9"/>
    <w:rsid w:val="70DE6CE2"/>
    <w:rsid w:val="71877BA9"/>
    <w:rsid w:val="719D21B7"/>
    <w:rsid w:val="722D7FEE"/>
    <w:rsid w:val="736F13C5"/>
    <w:rsid w:val="73D24A37"/>
    <w:rsid w:val="73D31D47"/>
    <w:rsid w:val="73DA1CD3"/>
    <w:rsid w:val="73FA710C"/>
    <w:rsid w:val="74363F40"/>
    <w:rsid w:val="74493830"/>
    <w:rsid w:val="74562319"/>
    <w:rsid w:val="74745759"/>
    <w:rsid w:val="74C62534"/>
    <w:rsid w:val="74CF7F6C"/>
    <w:rsid w:val="75137DDD"/>
    <w:rsid w:val="7547779E"/>
    <w:rsid w:val="75CA1ADA"/>
    <w:rsid w:val="75CD2682"/>
    <w:rsid w:val="75DC28F3"/>
    <w:rsid w:val="76050AC1"/>
    <w:rsid w:val="76182718"/>
    <w:rsid w:val="76194524"/>
    <w:rsid w:val="76303671"/>
    <w:rsid w:val="76740CC5"/>
    <w:rsid w:val="769C77F1"/>
    <w:rsid w:val="76D47B37"/>
    <w:rsid w:val="76DE0C1D"/>
    <w:rsid w:val="76F8372F"/>
    <w:rsid w:val="773659A0"/>
    <w:rsid w:val="77507449"/>
    <w:rsid w:val="77592EBD"/>
    <w:rsid w:val="776D38FC"/>
    <w:rsid w:val="7776B554"/>
    <w:rsid w:val="778E2902"/>
    <w:rsid w:val="77A03EB8"/>
    <w:rsid w:val="77DD2319"/>
    <w:rsid w:val="78713799"/>
    <w:rsid w:val="78793A13"/>
    <w:rsid w:val="78882890"/>
    <w:rsid w:val="789A6D6E"/>
    <w:rsid w:val="79091A11"/>
    <w:rsid w:val="79780F3A"/>
    <w:rsid w:val="7A287CE2"/>
    <w:rsid w:val="7AC57DCC"/>
    <w:rsid w:val="7BF06CB9"/>
    <w:rsid w:val="7C026108"/>
    <w:rsid w:val="7C1B7AA8"/>
    <w:rsid w:val="7C5E58E4"/>
    <w:rsid w:val="7CCB6A38"/>
    <w:rsid w:val="7CDA65D0"/>
    <w:rsid w:val="7CEF9D53"/>
    <w:rsid w:val="7D234752"/>
    <w:rsid w:val="7D3BB76B"/>
    <w:rsid w:val="7D4333F6"/>
    <w:rsid w:val="7D547203"/>
    <w:rsid w:val="7D7F2935"/>
    <w:rsid w:val="7DA13330"/>
    <w:rsid w:val="7DB743AE"/>
    <w:rsid w:val="7DBD122E"/>
    <w:rsid w:val="7DF44ED8"/>
    <w:rsid w:val="7E48530E"/>
    <w:rsid w:val="7EB33002"/>
    <w:rsid w:val="7EC108AA"/>
    <w:rsid w:val="7EE781B4"/>
    <w:rsid w:val="7EF430E5"/>
    <w:rsid w:val="7EF50D14"/>
    <w:rsid w:val="7F223B49"/>
    <w:rsid w:val="7F27612E"/>
    <w:rsid w:val="7F3B5439"/>
    <w:rsid w:val="7F48189C"/>
    <w:rsid w:val="7F58B601"/>
    <w:rsid w:val="7FDB3EAF"/>
    <w:rsid w:val="7FEB99F0"/>
    <w:rsid w:val="7FF56A5D"/>
    <w:rsid w:val="7FFD43BD"/>
    <w:rsid w:val="972F3AA6"/>
    <w:rsid w:val="A2CF11F5"/>
    <w:rsid w:val="ADF6973D"/>
    <w:rsid w:val="AEFF16BA"/>
    <w:rsid w:val="B6BDD576"/>
    <w:rsid w:val="B6F30FA4"/>
    <w:rsid w:val="BDEB6ACA"/>
    <w:rsid w:val="BF6FA8F0"/>
    <w:rsid w:val="BFBBAB56"/>
    <w:rsid w:val="DBBF94A5"/>
    <w:rsid w:val="DCC94606"/>
    <w:rsid w:val="F3BF9ED2"/>
    <w:rsid w:val="F5DF83A3"/>
    <w:rsid w:val="F9DACDC7"/>
    <w:rsid w:val="FD3B0BDE"/>
    <w:rsid w:val="FEF40667"/>
    <w:rsid w:val="FFBFBAFF"/>
    <w:rsid w:val="FFD95436"/>
    <w:rsid w:val="FFFBC3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5"/>
    <w:link w:val="35"/>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lang w:val="en-US" w:eastAsia="zh-CN" w:bidi="ar-SA"/>
    </w:rPr>
  </w:style>
  <w:style w:type="paragraph" w:styleId="6">
    <w:name w:val="Normal Indent"/>
    <w:basedOn w:val="1"/>
    <w:qFormat/>
    <w:uiPriority w:val="0"/>
    <w:pPr>
      <w:ind w:firstLine="420" w:firstLineChars="200"/>
    </w:pPr>
    <w:rPr>
      <w:sz w:val="24"/>
      <w:szCs w:val="24"/>
    </w:rPr>
  </w:style>
  <w:style w:type="paragraph" w:styleId="7">
    <w:name w:val="Document Map"/>
    <w:basedOn w:val="1"/>
    <w:link w:val="36"/>
    <w:qFormat/>
    <w:uiPriority w:val="0"/>
    <w:pPr>
      <w:shd w:val="clear" w:color="auto" w:fill="000080"/>
    </w:pPr>
    <w:rPr>
      <w:kern w:val="0"/>
      <w:sz w:val="20"/>
    </w:rPr>
  </w:style>
  <w:style w:type="paragraph" w:styleId="8">
    <w:name w:val="annotation text"/>
    <w:basedOn w:val="1"/>
    <w:link w:val="37"/>
    <w:qFormat/>
    <w:uiPriority w:val="0"/>
    <w:pPr>
      <w:jc w:val="left"/>
    </w:pPr>
    <w:rPr>
      <w:kern w:val="0"/>
      <w:sz w:val="20"/>
    </w:rPr>
  </w:style>
  <w:style w:type="paragraph" w:styleId="9">
    <w:name w:val="Body Text"/>
    <w:basedOn w:val="1"/>
    <w:link w:val="30"/>
    <w:qFormat/>
    <w:uiPriority w:val="0"/>
    <w:pPr>
      <w:spacing w:after="120"/>
    </w:pPr>
    <w:rPr>
      <w:rFonts w:ascii="Times New Roman" w:hAnsi="Times New Roman"/>
      <w:kern w:val="0"/>
      <w:sz w:val="20"/>
    </w:rPr>
  </w:style>
  <w:style w:type="paragraph" w:styleId="10">
    <w:name w:val="Body Text Indent"/>
    <w:basedOn w:val="1"/>
    <w:link w:val="32"/>
    <w:qFormat/>
    <w:uiPriority w:val="0"/>
    <w:pPr>
      <w:ind w:firstLine="560" w:firstLineChars="200"/>
    </w:pPr>
    <w:rPr>
      <w:kern w:val="0"/>
      <w:sz w:val="28"/>
      <w:szCs w:val="24"/>
    </w:rPr>
  </w:style>
  <w:style w:type="paragraph" w:styleId="11">
    <w:name w:val="toc 3"/>
    <w:basedOn w:val="1"/>
    <w:next w:val="1"/>
    <w:qFormat/>
    <w:uiPriority w:val="39"/>
    <w:pPr>
      <w:tabs>
        <w:tab w:val="right" w:leader="dot" w:pos="9016"/>
      </w:tabs>
      <w:spacing w:line="360" w:lineRule="auto"/>
      <w:ind w:left="840" w:leftChars="400"/>
    </w:pPr>
    <w:rPr>
      <w:szCs w:val="24"/>
    </w:rPr>
  </w:style>
  <w:style w:type="paragraph" w:styleId="12">
    <w:name w:val="Plain Text"/>
    <w:basedOn w:val="1"/>
    <w:next w:val="1"/>
    <w:link w:val="38"/>
    <w:qFormat/>
    <w:uiPriority w:val="99"/>
    <w:rPr>
      <w:rFonts w:ascii="宋体" w:hAnsi="Courier New"/>
      <w:kern w:val="0"/>
      <w:sz w:val="20"/>
    </w:rPr>
  </w:style>
  <w:style w:type="paragraph" w:styleId="13">
    <w:name w:val="Date"/>
    <w:basedOn w:val="1"/>
    <w:next w:val="1"/>
    <w:link w:val="39"/>
    <w:qFormat/>
    <w:uiPriority w:val="0"/>
    <w:pPr>
      <w:ind w:left="100" w:leftChars="2500"/>
    </w:pPr>
    <w:rPr>
      <w:kern w:val="0"/>
      <w:sz w:val="20"/>
      <w:szCs w:val="24"/>
    </w:rPr>
  </w:style>
  <w:style w:type="paragraph" w:styleId="14">
    <w:name w:val="Balloon Text"/>
    <w:basedOn w:val="1"/>
    <w:link w:val="40"/>
    <w:qFormat/>
    <w:uiPriority w:val="0"/>
    <w:rPr>
      <w:kern w:val="0"/>
      <w:sz w:val="18"/>
      <w:szCs w:val="18"/>
    </w:rPr>
  </w:style>
  <w:style w:type="paragraph" w:styleId="15">
    <w:name w:val="footer"/>
    <w:basedOn w:val="1"/>
    <w:link w:val="41"/>
    <w:qFormat/>
    <w:uiPriority w:val="0"/>
    <w:pPr>
      <w:tabs>
        <w:tab w:val="center" w:pos="4153"/>
        <w:tab w:val="right" w:pos="8306"/>
      </w:tabs>
      <w:snapToGrid w:val="0"/>
      <w:jc w:val="left"/>
    </w:pPr>
    <w:rPr>
      <w:kern w:val="0"/>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spacing w:before="120" w:after="120"/>
      <w:jc w:val="left"/>
    </w:pPr>
    <w:rPr>
      <w:b/>
      <w:bCs/>
      <w:caps/>
      <w:sz w:val="20"/>
    </w:rPr>
  </w:style>
  <w:style w:type="paragraph" w:styleId="18">
    <w:name w:val="toc 2"/>
    <w:basedOn w:val="1"/>
    <w:next w:val="1"/>
    <w:qFormat/>
    <w:uiPriority w:val="39"/>
    <w:pPr>
      <w:ind w:left="420" w:leftChars="200"/>
    </w:pPr>
    <w:rPr>
      <w:szCs w:val="24"/>
    </w:rPr>
  </w:style>
  <w:style w:type="paragraph" w:styleId="19">
    <w:name w:val="Normal (Web)"/>
    <w:basedOn w:val="1"/>
    <w:qFormat/>
    <w:uiPriority w:val="0"/>
    <w:rPr>
      <w:sz w:val="24"/>
    </w:rPr>
  </w:style>
  <w:style w:type="paragraph" w:styleId="20">
    <w:name w:val="annotation subject"/>
    <w:basedOn w:val="8"/>
    <w:next w:val="8"/>
    <w:link w:val="43"/>
    <w:qFormat/>
    <w:uiPriority w:val="0"/>
  </w:style>
  <w:style w:type="paragraph" w:styleId="21">
    <w:name w:val="Body Text First Indent"/>
    <w:basedOn w:val="9"/>
    <w:next w:val="22"/>
    <w:link w:val="31"/>
    <w:qFormat/>
    <w:uiPriority w:val="0"/>
    <w:pPr>
      <w:ind w:firstLine="420" w:firstLineChars="100"/>
    </w:pPr>
    <w:rPr>
      <w:rFonts w:ascii="Calibri" w:hAnsi="Calibri"/>
    </w:rPr>
  </w:style>
  <w:style w:type="paragraph" w:styleId="22">
    <w:name w:val="Body Text First Indent 2"/>
    <w:basedOn w:val="10"/>
    <w:qFormat/>
    <w:uiPriority w:val="0"/>
    <w:pPr>
      <w:spacing w:line="420" w:lineRule="exact"/>
      <w:ind w:firstLine="420"/>
      <w:jc w:val="left"/>
    </w:pPr>
    <w:rPr>
      <w:rFonts w:ascii="宋体" w:hAnsi="宋体"/>
      <w:color w:val="000000"/>
      <w:sz w:val="24"/>
      <w:szCs w:val="18"/>
    </w:rPr>
  </w:style>
  <w:style w:type="table" w:styleId="24">
    <w:name w:val="Table Grid"/>
    <w:basedOn w:val="23"/>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qFormat/>
    <w:uiPriority w:val="0"/>
  </w:style>
  <w:style w:type="character" w:styleId="28">
    <w:name w:val="Hyperlink"/>
    <w:qFormat/>
    <w:uiPriority w:val="99"/>
    <w:rPr>
      <w:color w:val="000000"/>
      <w:u w:val="none"/>
    </w:rPr>
  </w:style>
  <w:style w:type="character" w:styleId="29">
    <w:name w:val="annotation reference"/>
    <w:qFormat/>
    <w:uiPriority w:val="0"/>
    <w:rPr>
      <w:sz w:val="21"/>
      <w:szCs w:val="21"/>
    </w:rPr>
  </w:style>
  <w:style w:type="character" w:customStyle="1" w:styleId="30">
    <w:name w:val="正文文本 字符"/>
    <w:link w:val="9"/>
    <w:qFormat/>
    <w:uiPriority w:val="0"/>
    <w:rPr>
      <w:rFonts w:ascii="Times New Roman" w:hAnsi="Times New Roman" w:eastAsia="宋体" w:cs="Times New Roman"/>
      <w:kern w:val="0"/>
      <w:sz w:val="20"/>
      <w:szCs w:val="20"/>
    </w:rPr>
  </w:style>
  <w:style w:type="character" w:customStyle="1" w:styleId="31">
    <w:name w:val="正文首行缩进 字符"/>
    <w:link w:val="21"/>
    <w:qFormat/>
    <w:uiPriority w:val="0"/>
    <w:rPr>
      <w:rFonts w:ascii="Calibri" w:hAnsi="Calibri" w:eastAsia="宋体" w:cs="Times New Roman"/>
      <w:kern w:val="0"/>
      <w:sz w:val="20"/>
      <w:szCs w:val="20"/>
    </w:rPr>
  </w:style>
  <w:style w:type="character" w:customStyle="1" w:styleId="32">
    <w:name w:val="正文文本缩进 字符"/>
    <w:link w:val="10"/>
    <w:qFormat/>
    <w:uiPriority w:val="0"/>
    <w:rPr>
      <w:rFonts w:ascii="Calibri" w:hAnsi="Calibri" w:eastAsia="宋体" w:cs="Times New Roman"/>
      <w:kern w:val="0"/>
      <w:sz w:val="28"/>
      <w:szCs w:val="24"/>
    </w:rPr>
  </w:style>
  <w:style w:type="character" w:customStyle="1" w:styleId="33">
    <w:name w:val="标题 1 字符"/>
    <w:link w:val="2"/>
    <w:qFormat/>
    <w:uiPriority w:val="0"/>
    <w:rPr>
      <w:rFonts w:ascii="Calibri" w:hAnsi="Calibri" w:eastAsia="宋体" w:cs="Times New Roman"/>
      <w:b/>
      <w:bCs/>
      <w:kern w:val="44"/>
      <w:sz w:val="44"/>
      <w:szCs w:val="44"/>
    </w:rPr>
  </w:style>
  <w:style w:type="character" w:customStyle="1" w:styleId="34">
    <w:name w:val="标题 2 字符"/>
    <w:link w:val="3"/>
    <w:qFormat/>
    <w:uiPriority w:val="9"/>
    <w:rPr>
      <w:rFonts w:ascii="Calibri Light" w:hAnsi="Calibri Light" w:eastAsia="宋体" w:cs="Times New Roman"/>
      <w:b/>
      <w:bCs/>
      <w:kern w:val="2"/>
      <w:sz w:val="32"/>
      <w:szCs w:val="32"/>
    </w:rPr>
  </w:style>
  <w:style w:type="character" w:customStyle="1" w:styleId="35">
    <w:name w:val="标题 3 字符"/>
    <w:link w:val="4"/>
    <w:qFormat/>
    <w:uiPriority w:val="0"/>
    <w:rPr>
      <w:rFonts w:ascii="黑体" w:hAnsi="宋体" w:eastAsia="黑体" w:cs="Times New Roman"/>
      <w:bCs/>
      <w:sz w:val="28"/>
      <w:szCs w:val="28"/>
    </w:rPr>
  </w:style>
  <w:style w:type="character" w:customStyle="1" w:styleId="36">
    <w:name w:val="文档结构图 字符"/>
    <w:link w:val="7"/>
    <w:qFormat/>
    <w:uiPriority w:val="0"/>
    <w:rPr>
      <w:rFonts w:ascii="Calibri" w:hAnsi="Calibri" w:eastAsia="宋体" w:cs="Times New Roman"/>
      <w:szCs w:val="20"/>
      <w:shd w:val="clear" w:color="auto" w:fill="000080"/>
    </w:rPr>
  </w:style>
  <w:style w:type="character" w:customStyle="1" w:styleId="37">
    <w:name w:val="批注文字 字符1"/>
    <w:link w:val="8"/>
    <w:qFormat/>
    <w:uiPriority w:val="0"/>
    <w:rPr>
      <w:rFonts w:ascii="Calibri" w:hAnsi="Calibri"/>
    </w:rPr>
  </w:style>
  <w:style w:type="character" w:customStyle="1" w:styleId="38">
    <w:name w:val="纯文本 字符"/>
    <w:link w:val="12"/>
    <w:qFormat/>
    <w:uiPriority w:val="0"/>
    <w:rPr>
      <w:rFonts w:ascii="宋体" w:hAnsi="Courier New" w:eastAsia="宋体" w:cs="Times New Roman"/>
      <w:kern w:val="0"/>
      <w:sz w:val="20"/>
      <w:szCs w:val="20"/>
    </w:rPr>
  </w:style>
  <w:style w:type="character" w:customStyle="1" w:styleId="39">
    <w:name w:val="日期 字符"/>
    <w:link w:val="13"/>
    <w:qFormat/>
    <w:uiPriority w:val="0"/>
    <w:rPr>
      <w:rFonts w:ascii="Calibri" w:hAnsi="Calibri" w:eastAsia="宋体" w:cs="Times New Roman"/>
      <w:kern w:val="0"/>
      <w:sz w:val="20"/>
      <w:szCs w:val="24"/>
    </w:rPr>
  </w:style>
  <w:style w:type="character" w:customStyle="1" w:styleId="40">
    <w:name w:val="批注框文本 字符"/>
    <w:link w:val="14"/>
    <w:qFormat/>
    <w:uiPriority w:val="0"/>
    <w:rPr>
      <w:rFonts w:ascii="Calibri" w:hAnsi="Calibri"/>
      <w:sz w:val="18"/>
      <w:szCs w:val="18"/>
    </w:rPr>
  </w:style>
  <w:style w:type="character" w:customStyle="1" w:styleId="41">
    <w:name w:val="页脚 字符"/>
    <w:link w:val="15"/>
    <w:qFormat/>
    <w:uiPriority w:val="0"/>
    <w:rPr>
      <w:rFonts w:ascii="Calibri" w:hAnsi="Calibri" w:eastAsia="宋体" w:cs="Times New Roman"/>
      <w:kern w:val="0"/>
      <w:sz w:val="18"/>
      <w:szCs w:val="18"/>
    </w:rPr>
  </w:style>
  <w:style w:type="character" w:customStyle="1" w:styleId="42">
    <w:name w:val="页眉 字符"/>
    <w:link w:val="16"/>
    <w:qFormat/>
    <w:uiPriority w:val="0"/>
    <w:rPr>
      <w:rFonts w:ascii="Calibri" w:hAnsi="Calibri" w:eastAsia="宋体" w:cs="Times New Roman"/>
      <w:kern w:val="0"/>
      <w:sz w:val="18"/>
      <w:szCs w:val="18"/>
    </w:rPr>
  </w:style>
  <w:style w:type="character" w:customStyle="1" w:styleId="43">
    <w:name w:val="批注主题 字符"/>
    <w:link w:val="20"/>
    <w:qFormat/>
    <w:uiPriority w:val="0"/>
  </w:style>
  <w:style w:type="character" w:customStyle="1" w:styleId="44">
    <w:name w:val="批注框文本 Char1"/>
    <w:semiHidden/>
    <w:qFormat/>
    <w:uiPriority w:val="99"/>
    <w:rPr>
      <w:rFonts w:ascii="Calibri" w:hAnsi="Calibri" w:eastAsia="宋体" w:cs="Times New Roman"/>
      <w:sz w:val="18"/>
      <w:szCs w:val="18"/>
    </w:rPr>
  </w:style>
  <w:style w:type="character" w:customStyle="1" w:styleId="45">
    <w:name w:val="批注文字 Char1"/>
    <w:semiHidden/>
    <w:qFormat/>
    <w:uiPriority w:val="99"/>
    <w:rPr>
      <w:rFonts w:ascii="Calibri" w:hAnsi="Calibri" w:eastAsia="宋体" w:cs="Times New Roman"/>
      <w:szCs w:val="20"/>
    </w:rPr>
  </w:style>
  <w:style w:type="character" w:customStyle="1" w:styleId="46">
    <w:name w:val="批注主题 Char1"/>
    <w:semiHidden/>
    <w:qFormat/>
    <w:uiPriority w:val="99"/>
    <w:rPr>
      <w:rFonts w:ascii="Calibri" w:hAnsi="Calibri" w:eastAsia="宋体" w:cs="Times New Roman"/>
      <w:b/>
      <w:bCs/>
      <w:szCs w:val="20"/>
    </w:rPr>
  </w:style>
  <w:style w:type="paragraph" w:styleId="47">
    <w:name w:val="List Paragraph"/>
    <w:basedOn w:val="1"/>
    <w:qFormat/>
    <w:uiPriority w:val="34"/>
    <w:rPr>
      <w:sz w:val="20"/>
    </w:rPr>
  </w:style>
  <w:style w:type="paragraph" w:customStyle="1" w:styleId="48">
    <w:name w:val="_Style 45"/>
    <w:qFormat/>
    <w:uiPriority w:val="0"/>
    <w:rPr>
      <w:rFonts w:ascii="Calibri" w:hAnsi="Calibri" w:eastAsia="宋体" w:cs="Times New Roman"/>
      <w:kern w:val="2"/>
      <w:sz w:val="21"/>
      <w:lang w:val="en-US" w:eastAsia="zh-CN" w:bidi="ar-SA"/>
    </w:rPr>
  </w:style>
  <w:style w:type="paragraph" w:customStyle="1" w:styleId="49">
    <w:name w:val="文二"/>
    <w:basedOn w:val="1"/>
    <w:qFormat/>
    <w:uiPriority w:val="0"/>
    <w:pPr>
      <w:jc w:val="left"/>
    </w:pPr>
    <w:rPr>
      <w:rFonts w:ascii="宋体" w:hAnsi="宋体"/>
      <w:szCs w:val="21"/>
    </w:rPr>
  </w:style>
  <w:style w:type="character" w:customStyle="1" w:styleId="50">
    <w:name w:val="批注文字 字符"/>
    <w:qFormat/>
    <w:uiPriority w:val="0"/>
    <w:rPr>
      <w:rFonts w:ascii="Calibri" w:hAnsi="Calibri"/>
    </w:rPr>
  </w:style>
  <w:style w:type="character" w:customStyle="1" w:styleId="51">
    <w:name w:val="纯文本 Char"/>
    <w:qFormat/>
    <w:uiPriority w:val="99"/>
    <w:rPr>
      <w:rFonts w:ascii="宋体" w:hAnsi="Courier New"/>
      <w:kern w:val="2"/>
      <w:sz w:val="21"/>
      <w:szCs w:val="22"/>
    </w:rPr>
  </w:style>
  <w:style w:type="character" w:customStyle="1" w:styleId="52">
    <w:name w:val="页脚 Char"/>
    <w:qFormat/>
    <w:uiPriority w:val="0"/>
    <w:rPr>
      <w:rFonts w:ascii="Times New Roman" w:hAnsi="Times New Roman" w:eastAsia="宋体" w:cs="Times New Roman"/>
      <w:sz w:val="18"/>
      <w:szCs w:val="18"/>
    </w:rPr>
  </w:style>
  <w:style w:type="paragraph" w:customStyle="1" w:styleId="53">
    <w:name w:val="000 空行"/>
    <w:basedOn w:val="1"/>
    <w:qFormat/>
    <w:uiPriority w:val="0"/>
    <w:rPr>
      <w:rFonts w:ascii="宋体" w:hAnsi="宋体"/>
      <w:szCs w:val="22"/>
    </w:rPr>
  </w:style>
  <w:style w:type="paragraph" w:customStyle="1" w:styleId="54">
    <w:name w:val="Default"/>
    <w:qFormat/>
    <w:uiPriority w:val="99"/>
    <w:pPr>
      <w:widowControl w:val="0"/>
      <w:autoSpaceDE w:val="0"/>
      <w:autoSpaceDN w:val="0"/>
      <w:spacing w:after="200" w:line="276" w:lineRule="auto"/>
    </w:pPr>
    <w:rPr>
      <w:rFonts w:ascii="Times New Roman" w:hAnsi="Times New Roman" w:eastAsia="宋体" w:cs="Times New Roman"/>
      <w:color w:val="000000"/>
      <w:sz w:val="24"/>
      <w:szCs w:val="24"/>
      <w:lang w:val="en-US" w:eastAsia="zh-CN" w:bidi="ar-SA"/>
    </w:rPr>
  </w:style>
  <w:style w:type="character" w:customStyle="1" w:styleId="55">
    <w:name w:val="font1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115</Pages>
  <Words>32301</Words>
  <Characters>33276</Characters>
  <Lines>500</Lines>
  <Paragraphs>140</Paragraphs>
  <TotalTime>35</TotalTime>
  <ScaleCrop>false</ScaleCrop>
  <LinksUpToDate>false</LinksUpToDate>
  <CharactersWithSpaces>34095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2024-03-20T09:17:00Z</dcterms:created>
  <dc:creator>谢有文</dc:creator>
  <cp:lastModifiedBy>尘</cp:lastModifiedBy>
  <cp:lastPrinted>2021-11-24T13:21:00Z</cp:lastPrinted>
  <dcterms:modified xsi:type="dcterms:W3CDTF">2025-12-05T04:28:53Z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5DFB690BDF2840758B4A456A8613590C_13</vt:lpwstr>
  </property>
  <property fmtid="{D5CDD505-2E9C-101B-9397-08002B2CF9AE}" pid="4" name="KSOTemplateDocerSaveRecord">
    <vt:lpwstr>eyJoZGlkIjoiNzAyMTIxMTU3NTBmNjUwYTMxZjU4NjA0ZDdjYjg5YmUiLCJ1c2VySWQiOiIzMTc4NzE0MTEifQ==</vt:lpwstr>
  </property>
</Properties>
</file>