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A94A0">
      <w:pPr>
        <w:rPr>
          <w:rFonts w:hint="eastAsia" w:ascii="宋体" w:hAnsi="宋体" w:eastAsia="宋体" w:cs="宋体"/>
          <w:b/>
          <w:color w:val="auto"/>
          <w:sz w:val="36"/>
          <w:szCs w:val="32"/>
          <w:highlight w:val="none"/>
          <w:lang w:eastAsia="zh-CN"/>
        </w:rPr>
      </w:pPr>
      <w:r>
        <w:rPr>
          <w:rFonts w:hint="eastAsia" w:ascii="宋体" w:hAnsi="宋体" w:eastAsia="宋体" w:cs="宋体"/>
          <w:b/>
          <w:color w:val="auto"/>
          <w:sz w:val="36"/>
          <w:szCs w:val="32"/>
          <w:highlight w:val="none"/>
          <w:lang w:eastAsia="zh-CN"/>
        </w:rPr>
        <w:drawing>
          <wp:anchor distT="0" distB="0" distL="114300" distR="114300" simplePos="0" relativeHeight="251660288" behindDoc="0" locked="0" layoutInCell="1" allowOverlap="1">
            <wp:simplePos x="0" y="0"/>
            <wp:positionH relativeFrom="column">
              <wp:posOffset>-909955</wp:posOffset>
            </wp:positionH>
            <wp:positionV relativeFrom="paragraph">
              <wp:posOffset>-854075</wp:posOffset>
            </wp:positionV>
            <wp:extent cx="7357745" cy="10403205"/>
            <wp:effectExtent l="0" t="0" r="3175" b="5715"/>
            <wp:wrapNone/>
            <wp:docPr id="12" name="图片 12" descr="招标文件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招标文件_01"/>
                    <pic:cNvPicPr>
                      <a:picLocks noChangeAspect="1"/>
                    </pic:cNvPicPr>
                  </pic:nvPicPr>
                  <pic:blipFill>
                    <a:blip r:embed="rId20"/>
                    <a:stretch>
                      <a:fillRect/>
                    </a:stretch>
                  </pic:blipFill>
                  <pic:spPr>
                    <a:xfrm>
                      <a:off x="0" y="0"/>
                      <a:ext cx="7357745" cy="10403205"/>
                    </a:xfrm>
                    <a:prstGeom prst="rect">
                      <a:avLst/>
                    </a:prstGeom>
                  </pic:spPr>
                </pic:pic>
              </a:graphicData>
            </a:graphic>
          </wp:anchor>
        </w:drawing>
      </w:r>
      <w:r>
        <w:rPr>
          <w:rFonts w:hint="eastAsia" w:ascii="宋体" w:hAnsi="宋体" w:cs="宋体"/>
          <w:b/>
          <w:color w:val="auto"/>
          <w:sz w:val="36"/>
          <w:szCs w:val="32"/>
          <w:highlight w:val="none"/>
        </w:rPr>
        <w:br w:type="page"/>
      </w:r>
    </w:p>
    <w:p w14:paraId="0C2D5CE4">
      <w:pPr>
        <w:pStyle w:val="16"/>
        <w:spacing w:line="360" w:lineRule="auto"/>
        <w:jc w:val="center"/>
        <w:rPr>
          <w:rFonts w:ascii="宋体" w:hAnsi="宋体" w:cs="宋体"/>
          <w:b/>
          <w:color w:val="auto"/>
          <w:sz w:val="36"/>
          <w:szCs w:val="32"/>
          <w:highlight w:val="none"/>
        </w:rPr>
      </w:pPr>
      <w:r>
        <w:rPr>
          <w:rFonts w:hint="eastAsia" w:ascii="宋体" w:hAnsi="宋体" w:cs="宋体"/>
          <w:b/>
          <w:color w:val="auto"/>
          <w:sz w:val="36"/>
          <w:szCs w:val="32"/>
          <w:highlight w:val="none"/>
        </w:rPr>
        <w:t>目     录</w:t>
      </w:r>
    </w:p>
    <w:p w14:paraId="4A5E5B2E">
      <w:pPr>
        <w:pStyle w:val="14"/>
        <w:tabs>
          <w:tab w:val="right" w:leader="hyphen" w:pos="9040"/>
        </w:tabs>
      </w:pPr>
      <w:r>
        <w:rPr>
          <w:rFonts w:hint="eastAsia" w:ascii="宋体" w:hAnsi="宋体" w:cs="宋体"/>
          <w:color w:val="auto"/>
          <w:sz w:val="48"/>
          <w:szCs w:val="36"/>
          <w:highlight w:val="none"/>
        </w:rPr>
        <w:fldChar w:fldCharType="begin"/>
      </w:r>
      <w:r>
        <w:rPr>
          <w:rFonts w:hint="eastAsia" w:ascii="宋体" w:hAnsi="宋体" w:cs="宋体"/>
          <w:color w:val="auto"/>
          <w:sz w:val="48"/>
          <w:szCs w:val="36"/>
          <w:highlight w:val="none"/>
        </w:rPr>
        <w:instrText xml:space="preserve"> TOC \o </w:instrText>
      </w:r>
      <w:r>
        <w:rPr>
          <w:rFonts w:hint="eastAsia" w:ascii="宋体" w:hAnsi="宋体" w:cs="宋体"/>
          <w:color w:val="auto"/>
          <w:sz w:val="48"/>
          <w:szCs w:val="36"/>
          <w:highlight w:val="none"/>
        </w:rPr>
        <w:fldChar w:fldCharType="separate"/>
      </w:r>
      <w:bookmarkStart w:id="0" w:name="_Toc152042287"/>
      <w:bookmarkEnd w:id="0"/>
      <w:bookmarkStart w:id="1" w:name="_Toc144974479"/>
      <w:bookmarkEnd w:id="1"/>
      <w:bookmarkStart w:id="2" w:name="_Toc152045511"/>
      <w:bookmarkEnd w:id="2"/>
      <w:bookmarkStart w:id="3" w:name="_Toc247513932"/>
      <w:bookmarkEnd w:id="3"/>
      <w:bookmarkStart w:id="4" w:name="_Toc247527533"/>
      <w:bookmarkEnd w:id="4"/>
      <w:r>
        <w:rPr>
          <w:rFonts w:hint="eastAsia" w:ascii="宋体" w:hAnsi="宋体" w:cs="宋体"/>
          <w:color w:val="auto"/>
        </w:rPr>
        <w:t xml:space="preserve">第一章 </w:t>
      </w:r>
      <w:r>
        <w:rPr>
          <w:rFonts w:hint="eastAsia" w:ascii="宋体" w:hAnsi="宋体" w:cs="宋体"/>
          <w:color w:val="auto"/>
          <w:highlight w:val="none"/>
        </w:rPr>
        <w:t>招标公告（另册）</w:t>
      </w:r>
      <w:r>
        <w:tab/>
      </w:r>
      <w:r>
        <w:fldChar w:fldCharType="begin"/>
      </w:r>
      <w:r>
        <w:instrText xml:space="preserve"> PAGEREF _Toc28568 \h </w:instrText>
      </w:r>
      <w:r>
        <w:fldChar w:fldCharType="separate"/>
      </w:r>
      <w:r>
        <w:t>4</w:t>
      </w:r>
      <w:r>
        <w:fldChar w:fldCharType="end"/>
      </w:r>
    </w:p>
    <w:p w14:paraId="1115E53B">
      <w:pPr>
        <w:pStyle w:val="14"/>
        <w:tabs>
          <w:tab w:val="right" w:leader="hyphen" w:pos="9040"/>
        </w:tabs>
      </w:pPr>
      <w:r>
        <w:rPr>
          <w:rFonts w:hint="eastAsia"/>
          <w:color w:val="auto"/>
          <w:lang w:val="zh-CN"/>
        </w:rPr>
        <w:t xml:space="preserve">第二章 </w:t>
      </w:r>
      <w:r>
        <w:rPr>
          <w:rFonts w:hint="eastAsia"/>
          <w:color w:val="auto"/>
          <w:highlight w:val="none"/>
        </w:rPr>
        <w:t>投标人须知</w:t>
      </w:r>
      <w:r>
        <w:tab/>
      </w:r>
      <w:r>
        <w:fldChar w:fldCharType="begin"/>
      </w:r>
      <w:r>
        <w:instrText xml:space="preserve"> PAGEREF _Toc11945 \h </w:instrText>
      </w:r>
      <w:r>
        <w:fldChar w:fldCharType="separate"/>
      </w:r>
      <w:r>
        <w:t>5</w:t>
      </w:r>
      <w:r>
        <w:fldChar w:fldCharType="end"/>
      </w:r>
    </w:p>
    <w:p w14:paraId="73C55763">
      <w:pPr>
        <w:pStyle w:val="15"/>
        <w:tabs>
          <w:tab w:val="right" w:leader="hyphen" w:pos="9040"/>
        </w:tabs>
      </w:pPr>
      <w:r>
        <w:rPr>
          <w:rFonts w:hint="eastAsia" w:ascii="宋体" w:hAnsi="宋体" w:eastAsia="宋体" w:cs="宋体"/>
          <w:color w:val="auto"/>
          <w:highlight w:val="none"/>
          <w:lang w:val="zh-CN"/>
        </w:rPr>
        <w:t>投标人须知前附表</w:t>
      </w:r>
      <w:r>
        <w:tab/>
      </w:r>
      <w:r>
        <w:fldChar w:fldCharType="begin"/>
      </w:r>
      <w:r>
        <w:instrText xml:space="preserve"> PAGEREF _Toc29177 \h </w:instrText>
      </w:r>
      <w:r>
        <w:fldChar w:fldCharType="separate"/>
      </w:r>
      <w:r>
        <w:t>5</w:t>
      </w:r>
      <w:r>
        <w:fldChar w:fldCharType="end"/>
      </w:r>
    </w:p>
    <w:p w14:paraId="1FAAC23F">
      <w:pPr>
        <w:pStyle w:val="15"/>
        <w:tabs>
          <w:tab w:val="right" w:leader="hyphen" w:pos="9040"/>
        </w:tabs>
      </w:pPr>
      <w:r>
        <w:rPr>
          <w:rFonts w:hint="eastAsia" w:ascii="宋体" w:hAnsi="宋体" w:eastAsia="宋体" w:cs="宋体"/>
          <w:color w:val="auto"/>
          <w:highlight w:val="none"/>
          <w:lang w:val="zh-CN"/>
        </w:rPr>
        <w:t>1. 总则</w:t>
      </w:r>
      <w:r>
        <w:tab/>
      </w:r>
      <w:r>
        <w:fldChar w:fldCharType="begin"/>
      </w:r>
      <w:r>
        <w:instrText xml:space="preserve"> PAGEREF _Toc13234 \h </w:instrText>
      </w:r>
      <w:r>
        <w:fldChar w:fldCharType="separate"/>
      </w:r>
      <w:r>
        <w:t>16</w:t>
      </w:r>
      <w:r>
        <w:fldChar w:fldCharType="end"/>
      </w:r>
    </w:p>
    <w:p w14:paraId="0C88C37B">
      <w:pPr>
        <w:pStyle w:val="10"/>
        <w:tabs>
          <w:tab w:val="right" w:leader="hyphen" w:pos="9040"/>
        </w:tabs>
      </w:pPr>
      <w:r>
        <w:rPr>
          <w:rFonts w:hint="eastAsia" w:ascii="宋体" w:hAnsi="宋体" w:eastAsia="宋体"/>
          <w:color w:val="auto"/>
          <w:szCs w:val="24"/>
          <w:highlight w:val="none"/>
        </w:rPr>
        <w:t>1.1 项目概况</w:t>
      </w:r>
      <w:r>
        <w:tab/>
      </w:r>
      <w:r>
        <w:fldChar w:fldCharType="begin"/>
      </w:r>
      <w:r>
        <w:instrText xml:space="preserve"> PAGEREF _Toc25590 \h </w:instrText>
      </w:r>
      <w:r>
        <w:fldChar w:fldCharType="separate"/>
      </w:r>
      <w:r>
        <w:t>16</w:t>
      </w:r>
      <w:r>
        <w:fldChar w:fldCharType="end"/>
      </w:r>
    </w:p>
    <w:p w14:paraId="4344ED22">
      <w:pPr>
        <w:pStyle w:val="10"/>
        <w:tabs>
          <w:tab w:val="right" w:leader="hyphen" w:pos="9040"/>
        </w:tabs>
      </w:pPr>
      <w:r>
        <w:rPr>
          <w:rFonts w:hint="eastAsia" w:ascii="宋体" w:hAnsi="宋体" w:eastAsia="宋体"/>
          <w:color w:val="auto"/>
          <w:szCs w:val="24"/>
          <w:highlight w:val="none"/>
        </w:rPr>
        <w:t>1.2 项目的资金来源和落实情况</w:t>
      </w:r>
      <w:r>
        <w:tab/>
      </w:r>
      <w:r>
        <w:fldChar w:fldCharType="begin"/>
      </w:r>
      <w:r>
        <w:instrText xml:space="preserve"> PAGEREF _Toc27025 \h </w:instrText>
      </w:r>
      <w:r>
        <w:fldChar w:fldCharType="separate"/>
      </w:r>
      <w:r>
        <w:t>16</w:t>
      </w:r>
      <w:r>
        <w:fldChar w:fldCharType="end"/>
      </w:r>
    </w:p>
    <w:p w14:paraId="41DCBAF2">
      <w:pPr>
        <w:pStyle w:val="10"/>
        <w:tabs>
          <w:tab w:val="right" w:leader="hyphen" w:pos="9040"/>
        </w:tabs>
      </w:pPr>
      <w:r>
        <w:rPr>
          <w:rFonts w:hint="eastAsia" w:ascii="宋体" w:hAnsi="宋体" w:eastAsia="宋体"/>
          <w:color w:val="auto"/>
          <w:szCs w:val="24"/>
          <w:highlight w:val="none"/>
        </w:rPr>
        <w:t>1.3 招标范围、计划工期和质量标准</w:t>
      </w:r>
      <w:r>
        <w:tab/>
      </w:r>
      <w:r>
        <w:fldChar w:fldCharType="begin"/>
      </w:r>
      <w:r>
        <w:instrText xml:space="preserve"> PAGEREF _Toc29052 \h </w:instrText>
      </w:r>
      <w:r>
        <w:fldChar w:fldCharType="separate"/>
      </w:r>
      <w:r>
        <w:t>16</w:t>
      </w:r>
      <w:r>
        <w:fldChar w:fldCharType="end"/>
      </w:r>
    </w:p>
    <w:p w14:paraId="1B4F795E">
      <w:pPr>
        <w:pStyle w:val="10"/>
        <w:tabs>
          <w:tab w:val="right" w:leader="hyphen" w:pos="9040"/>
        </w:tabs>
      </w:pPr>
      <w:r>
        <w:rPr>
          <w:rFonts w:hint="eastAsia" w:ascii="宋体" w:hAnsi="宋体" w:eastAsia="宋体"/>
          <w:color w:val="auto"/>
          <w:szCs w:val="24"/>
          <w:highlight w:val="none"/>
        </w:rPr>
        <w:t>1.4投标人资格要求</w:t>
      </w:r>
      <w:r>
        <w:tab/>
      </w:r>
      <w:r>
        <w:fldChar w:fldCharType="begin"/>
      </w:r>
      <w:r>
        <w:instrText xml:space="preserve"> PAGEREF _Toc15284 \h </w:instrText>
      </w:r>
      <w:r>
        <w:fldChar w:fldCharType="separate"/>
      </w:r>
      <w:r>
        <w:t>16</w:t>
      </w:r>
      <w:r>
        <w:fldChar w:fldCharType="end"/>
      </w:r>
    </w:p>
    <w:p w14:paraId="1C47E90A">
      <w:pPr>
        <w:pStyle w:val="10"/>
        <w:tabs>
          <w:tab w:val="right" w:leader="hyphen" w:pos="9040"/>
        </w:tabs>
      </w:pPr>
      <w:r>
        <w:rPr>
          <w:rFonts w:hint="eastAsia" w:ascii="宋体" w:hAnsi="宋体" w:eastAsia="宋体"/>
          <w:color w:val="auto"/>
          <w:szCs w:val="24"/>
          <w:highlight w:val="none"/>
        </w:rPr>
        <w:t>1.5 费用承担和设计成果补偿</w:t>
      </w:r>
      <w:r>
        <w:tab/>
      </w:r>
      <w:r>
        <w:fldChar w:fldCharType="begin"/>
      </w:r>
      <w:r>
        <w:instrText xml:space="preserve"> PAGEREF _Toc29330 \h </w:instrText>
      </w:r>
      <w:r>
        <w:fldChar w:fldCharType="separate"/>
      </w:r>
      <w:r>
        <w:t>17</w:t>
      </w:r>
      <w:r>
        <w:fldChar w:fldCharType="end"/>
      </w:r>
    </w:p>
    <w:p w14:paraId="08E9C16C">
      <w:pPr>
        <w:pStyle w:val="10"/>
        <w:tabs>
          <w:tab w:val="right" w:leader="hyphen" w:pos="9040"/>
        </w:tabs>
      </w:pPr>
      <w:r>
        <w:rPr>
          <w:rFonts w:hint="eastAsia" w:ascii="宋体" w:hAnsi="宋体" w:eastAsia="宋体"/>
          <w:color w:val="auto"/>
          <w:szCs w:val="24"/>
          <w:highlight w:val="none"/>
        </w:rPr>
        <w:t>1.6 保密</w:t>
      </w:r>
      <w:r>
        <w:tab/>
      </w:r>
      <w:r>
        <w:fldChar w:fldCharType="begin"/>
      </w:r>
      <w:r>
        <w:instrText xml:space="preserve"> PAGEREF _Toc6929 \h </w:instrText>
      </w:r>
      <w:r>
        <w:fldChar w:fldCharType="separate"/>
      </w:r>
      <w:r>
        <w:t>18</w:t>
      </w:r>
      <w:r>
        <w:fldChar w:fldCharType="end"/>
      </w:r>
    </w:p>
    <w:p w14:paraId="7E50236A">
      <w:pPr>
        <w:pStyle w:val="10"/>
        <w:tabs>
          <w:tab w:val="right" w:leader="hyphen" w:pos="9040"/>
        </w:tabs>
      </w:pPr>
      <w:r>
        <w:rPr>
          <w:rFonts w:hint="eastAsia" w:ascii="宋体" w:hAnsi="宋体" w:eastAsia="宋体"/>
          <w:color w:val="auto"/>
          <w:szCs w:val="24"/>
          <w:highlight w:val="none"/>
        </w:rPr>
        <w:t>1.7 语言文字</w:t>
      </w:r>
      <w:r>
        <w:tab/>
      </w:r>
      <w:r>
        <w:fldChar w:fldCharType="begin"/>
      </w:r>
      <w:r>
        <w:instrText xml:space="preserve"> PAGEREF _Toc20794 \h </w:instrText>
      </w:r>
      <w:r>
        <w:fldChar w:fldCharType="separate"/>
      </w:r>
      <w:r>
        <w:t>18</w:t>
      </w:r>
      <w:r>
        <w:fldChar w:fldCharType="end"/>
      </w:r>
    </w:p>
    <w:p w14:paraId="2BA8BC9F">
      <w:pPr>
        <w:pStyle w:val="10"/>
        <w:tabs>
          <w:tab w:val="right" w:leader="hyphen" w:pos="9040"/>
        </w:tabs>
      </w:pPr>
      <w:r>
        <w:rPr>
          <w:rFonts w:hint="eastAsia" w:ascii="宋体" w:hAnsi="宋体" w:eastAsia="宋体"/>
          <w:color w:val="auto"/>
          <w:szCs w:val="24"/>
          <w:highlight w:val="none"/>
        </w:rPr>
        <w:t>1.8 计量单位</w:t>
      </w:r>
      <w:r>
        <w:tab/>
      </w:r>
      <w:r>
        <w:fldChar w:fldCharType="begin"/>
      </w:r>
      <w:r>
        <w:instrText xml:space="preserve"> PAGEREF _Toc6912 \h </w:instrText>
      </w:r>
      <w:r>
        <w:fldChar w:fldCharType="separate"/>
      </w:r>
      <w:r>
        <w:t>18</w:t>
      </w:r>
      <w:r>
        <w:fldChar w:fldCharType="end"/>
      </w:r>
    </w:p>
    <w:p w14:paraId="23E2FD62">
      <w:pPr>
        <w:pStyle w:val="10"/>
        <w:tabs>
          <w:tab w:val="right" w:leader="hyphen" w:pos="9040"/>
        </w:tabs>
      </w:pPr>
      <w:r>
        <w:rPr>
          <w:rFonts w:hint="eastAsia" w:ascii="宋体" w:hAnsi="宋体" w:eastAsia="宋体"/>
          <w:color w:val="auto"/>
          <w:szCs w:val="24"/>
          <w:highlight w:val="none"/>
        </w:rPr>
        <w:t>1.9 踏勘现场</w:t>
      </w:r>
      <w:r>
        <w:tab/>
      </w:r>
      <w:r>
        <w:fldChar w:fldCharType="begin"/>
      </w:r>
      <w:r>
        <w:instrText xml:space="preserve"> PAGEREF _Toc18268 \h </w:instrText>
      </w:r>
      <w:r>
        <w:fldChar w:fldCharType="separate"/>
      </w:r>
      <w:r>
        <w:t>18</w:t>
      </w:r>
      <w:r>
        <w:fldChar w:fldCharType="end"/>
      </w:r>
    </w:p>
    <w:p w14:paraId="0F8E12A4">
      <w:pPr>
        <w:pStyle w:val="10"/>
        <w:tabs>
          <w:tab w:val="right" w:leader="hyphen" w:pos="9040"/>
        </w:tabs>
      </w:pPr>
      <w:r>
        <w:rPr>
          <w:rFonts w:hint="eastAsia" w:ascii="宋体" w:hAnsi="宋体" w:eastAsia="宋体"/>
          <w:color w:val="auto"/>
          <w:szCs w:val="24"/>
          <w:highlight w:val="none"/>
        </w:rPr>
        <w:t>1.10 投标预备会</w:t>
      </w:r>
      <w:r>
        <w:tab/>
      </w:r>
      <w:r>
        <w:fldChar w:fldCharType="begin"/>
      </w:r>
      <w:r>
        <w:instrText xml:space="preserve"> PAGEREF _Toc31216 \h </w:instrText>
      </w:r>
      <w:r>
        <w:fldChar w:fldCharType="separate"/>
      </w:r>
      <w:r>
        <w:t>18</w:t>
      </w:r>
      <w:r>
        <w:fldChar w:fldCharType="end"/>
      </w:r>
    </w:p>
    <w:p w14:paraId="030076D1">
      <w:pPr>
        <w:pStyle w:val="10"/>
        <w:tabs>
          <w:tab w:val="right" w:leader="hyphen" w:pos="9040"/>
        </w:tabs>
      </w:pPr>
      <w:r>
        <w:rPr>
          <w:rFonts w:hint="eastAsia" w:ascii="宋体" w:hAnsi="宋体" w:eastAsia="宋体"/>
          <w:color w:val="auto"/>
          <w:szCs w:val="24"/>
          <w:highlight w:val="none"/>
        </w:rPr>
        <w:t>1.11 分包</w:t>
      </w:r>
      <w:r>
        <w:tab/>
      </w:r>
      <w:r>
        <w:fldChar w:fldCharType="begin"/>
      </w:r>
      <w:r>
        <w:instrText xml:space="preserve"> PAGEREF _Toc32045 \h </w:instrText>
      </w:r>
      <w:r>
        <w:fldChar w:fldCharType="separate"/>
      </w:r>
      <w:r>
        <w:t>18</w:t>
      </w:r>
      <w:r>
        <w:fldChar w:fldCharType="end"/>
      </w:r>
    </w:p>
    <w:p w14:paraId="72A1CB0F">
      <w:pPr>
        <w:pStyle w:val="10"/>
        <w:tabs>
          <w:tab w:val="right" w:leader="hyphen" w:pos="9040"/>
        </w:tabs>
      </w:pPr>
      <w:r>
        <w:rPr>
          <w:rFonts w:hint="eastAsia" w:ascii="宋体" w:hAnsi="宋体" w:eastAsia="宋体"/>
          <w:color w:val="auto"/>
          <w:szCs w:val="24"/>
          <w:highlight w:val="none"/>
        </w:rPr>
        <w:t>1.12 偏离</w:t>
      </w:r>
      <w:r>
        <w:tab/>
      </w:r>
      <w:r>
        <w:fldChar w:fldCharType="begin"/>
      </w:r>
      <w:r>
        <w:instrText xml:space="preserve"> PAGEREF _Toc7355 \h </w:instrText>
      </w:r>
      <w:r>
        <w:fldChar w:fldCharType="separate"/>
      </w:r>
      <w:r>
        <w:t>19</w:t>
      </w:r>
      <w:r>
        <w:fldChar w:fldCharType="end"/>
      </w:r>
    </w:p>
    <w:p w14:paraId="418130A8">
      <w:pPr>
        <w:pStyle w:val="15"/>
        <w:tabs>
          <w:tab w:val="right" w:leader="hyphen" w:pos="9040"/>
        </w:tabs>
      </w:pPr>
      <w:r>
        <w:rPr>
          <w:rFonts w:hint="eastAsia" w:ascii="宋体" w:hAnsi="宋体" w:eastAsia="宋体" w:cs="宋体"/>
          <w:color w:val="auto"/>
          <w:highlight w:val="none"/>
          <w:lang w:val="zh-CN"/>
        </w:rPr>
        <w:t>2. 招标文件</w:t>
      </w:r>
      <w:r>
        <w:tab/>
      </w:r>
      <w:r>
        <w:fldChar w:fldCharType="begin"/>
      </w:r>
      <w:r>
        <w:instrText xml:space="preserve"> PAGEREF _Toc5039 \h </w:instrText>
      </w:r>
      <w:r>
        <w:fldChar w:fldCharType="separate"/>
      </w:r>
      <w:r>
        <w:t>19</w:t>
      </w:r>
      <w:r>
        <w:fldChar w:fldCharType="end"/>
      </w:r>
    </w:p>
    <w:p w14:paraId="7524755E">
      <w:pPr>
        <w:pStyle w:val="10"/>
        <w:tabs>
          <w:tab w:val="right" w:leader="hyphen" w:pos="9040"/>
        </w:tabs>
      </w:pPr>
      <w:r>
        <w:rPr>
          <w:rFonts w:hint="eastAsia" w:ascii="宋体" w:hAnsi="宋体" w:eastAsia="宋体"/>
          <w:color w:val="auto"/>
          <w:szCs w:val="24"/>
          <w:highlight w:val="none"/>
        </w:rPr>
        <w:t>2.1 招标文件的组成</w:t>
      </w:r>
      <w:r>
        <w:tab/>
      </w:r>
      <w:r>
        <w:fldChar w:fldCharType="begin"/>
      </w:r>
      <w:r>
        <w:instrText xml:space="preserve"> PAGEREF _Toc31144 \h </w:instrText>
      </w:r>
      <w:r>
        <w:fldChar w:fldCharType="separate"/>
      </w:r>
      <w:r>
        <w:t>19</w:t>
      </w:r>
      <w:r>
        <w:fldChar w:fldCharType="end"/>
      </w:r>
    </w:p>
    <w:p w14:paraId="37A617E9">
      <w:pPr>
        <w:pStyle w:val="10"/>
        <w:tabs>
          <w:tab w:val="right" w:leader="hyphen" w:pos="9040"/>
        </w:tabs>
      </w:pPr>
      <w:r>
        <w:rPr>
          <w:rFonts w:hint="eastAsia" w:ascii="宋体" w:hAnsi="宋体" w:eastAsia="宋体"/>
          <w:color w:val="auto"/>
          <w:szCs w:val="24"/>
          <w:highlight w:val="none"/>
        </w:rPr>
        <w:t>2.2 招标文件的澄清</w:t>
      </w:r>
      <w:r>
        <w:tab/>
      </w:r>
      <w:r>
        <w:fldChar w:fldCharType="begin"/>
      </w:r>
      <w:r>
        <w:instrText xml:space="preserve"> PAGEREF _Toc17462 \h </w:instrText>
      </w:r>
      <w:r>
        <w:fldChar w:fldCharType="separate"/>
      </w:r>
      <w:r>
        <w:t>19</w:t>
      </w:r>
      <w:r>
        <w:fldChar w:fldCharType="end"/>
      </w:r>
    </w:p>
    <w:p w14:paraId="2A686004">
      <w:pPr>
        <w:pStyle w:val="10"/>
        <w:tabs>
          <w:tab w:val="right" w:leader="hyphen" w:pos="9040"/>
        </w:tabs>
      </w:pPr>
      <w:r>
        <w:rPr>
          <w:rFonts w:hint="eastAsia" w:ascii="宋体" w:hAnsi="宋体" w:eastAsia="宋体"/>
          <w:color w:val="auto"/>
          <w:szCs w:val="24"/>
          <w:highlight w:val="none"/>
        </w:rPr>
        <w:t>2.3 招标文件的修改</w:t>
      </w:r>
      <w:r>
        <w:tab/>
      </w:r>
      <w:r>
        <w:fldChar w:fldCharType="begin"/>
      </w:r>
      <w:r>
        <w:instrText xml:space="preserve"> PAGEREF _Toc6226 \h </w:instrText>
      </w:r>
      <w:r>
        <w:fldChar w:fldCharType="separate"/>
      </w:r>
      <w:r>
        <w:t>20</w:t>
      </w:r>
      <w:r>
        <w:fldChar w:fldCharType="end"/>
      </w:r>
    </w:p>
    <w:p w14:paraId="01E6C13F">
      <w:pPr>
        <w:pStyle w:val="15"/>
        <w:tabs>
          <w:tab w:val="right" w:leader="hyphen" w:pos="9040"/>
        </w:tabs>
      </w:pPr>
      <w:r>
        <w:rPr>
          <w:rFonts w:hint="eastAsia" w:ascii="宋体" w:hAnsi="宋体" w:eastAsia="宋体" w:cs="宋体"/>
          <w:color w:val="auto"/>
          <w:highlight w:val="none"/>
          <w:lang w:val="zh-CN"/>
        </w:rPr>
        <w:t>3. 投标文件</w:t>
      </w:r>
      <w:r>
        <w:tab/>
      </w:r>
      <w:r>
        <w:fldChar w:fldCharType="begin"/>
      </w:r>
      <w:r>
        <w:instrText xml:space="preserve"> PAGEREF _Toc17691 \h </w:instrText>
      </w:r>
      <w:r>
        <w:fldChar w:fldCharType="separate"/>
      </w:r>
      <w:r>
        <w:t>20</w:t>
      </w:r>
      <w:r>
        <w:fldChar w:fldCharType="end"/>
      </w:r>
    </w:p>
    <w:p w14:paraId="1E480E91">
      <w:pPr>
        <w:pStyle w:val="10"/>
        <w:tabs>
          <w:tab w:val="right" w:leader="hyphen" w:pos="9040"/>
        </w:tabs>
      </w:pPr>
      <w:r>
        <w:rPr>
          <w:rFonts w:hint="eastAsia" w:ascii="宋体" w:hAnsi="宋体" w:eastAsia="宋体"/>
          <w:bCs/>
          <w:color w:val="auto"/>
          <w:szCs w:val="24"/>
          <w:highlight w:val="none"/>
        </w:rPr>
        <w:t>3.1 投标文件的组成</w:t>
      </w:r>
      <w:r>
        <w:tab/>
      </w:r>
      <w:r>
        <w:fldChar w:fldCharType="begin"/>
      </w:r>
      <w:r>
        <w:instrText xml:space="preserve"> PAGEREF _Toc13848 \h </w:instrText>
      </w:r>
      <w:r>
        <w:fldChar w:fldCharType="separate"/>
      </w:r>
      <w:r>
        <w:t>20</w:t>
      </w:r>
      <w:r>
        <w:fldChar w:fldCharType="end"/>
      </w:r>
    </w:p>
    <w:p w14:paraId="22CA7E94">
      <w:pPr>
        <w:pStyle w:val="10"/>
        <w:tabs>
          <w:tab w:val="right" w:leader="hyphen" w:pos="9040"/>
        </w:tabs>
      </w:pPr>
      <w:r>
        <w:rPr>
          <w:rFonts w:hint="eastAsia" w:ascii="宋体" w:hAnsi="宋体" w:eastAsia="宋体"/>
          <w:bCs/>
          <w:color w:val="auto"/>
          <w:szCs w:val="24"/>
          <w:highlight w:val="none"/>
        </w:rPr>
        <w:t>3.2 投标报价</w:t>
      </w:r>
      <w:r>
        <w:tab/>
      </w:r>
      <w:r>
        <w:fldChar w:fldCharType="begin"/>
      </w:r>
      <w:r>
        <w:instrText xml:space="preserve"> PAGEREF _Toc25860 \h </w:instrText>
      </w:r>
      <w:r>
        <w:fldChar w:fldCharType="separate"/>
      </w:r>
      <w:r>
        <w:t>21</w:t>
      </w:r>
      <w:r>
        <w:fldChar w:fldCharType="end"/>
      </w:r>
    </w:p>
    <w:p w14:paraId="06830A14">
      <w:pPr>
        <w:pStyle w:val="10"/>
        <w:tabs>
          <w:tab w:val="right" w:leader="hyphen" w:pos="9040"/>
        </w:tabs>
      </w:pPr>
      <w:r>
        <w:rPr>
          <w:rFonts w:hint="eastAsia" w:ascii="宋体" w:hAnsi="宋体" w:eastAsia="宋体"/>
          <w:color w:val="auto"/>
          <w:szCs w:val="24"/>
          <w:highlight w:val="none"/>
        </w:rPr>
        <w:t>3.3 投标有效期</w:t>
      </w:r>
      <w:r>
        <w:tab/>
      </w:r>
      <w:r>
        <w:fldChar w:fldCharType="begin"/>
      </w:r>
      <w:r>
        <w:instrText xml:space="preserve"> PAGEREF _Toc23237 \h </w:instrText>
      </w:r>
      <w:r>
        <w:fldChar w:fldCharType="separate"/>
      </w:r>
      <w:r>
        <w:t>22</w:t>
      </w:r>
      <w:r>
        <w:fldChar w:fldCharType="end"/>
      </w:r>
    </w:p>
    <w:p w14:paraId="126B347B">
      <w:pPr>
        <w:pStyle w:val="10"/>
        <w:tabs>
          <w:tab w:val="right" w:leader="hyphen" w:pos="9040"/>
        </w:tabs>
      </w:pPr>
      <w:r>
        <w:rPr>
          <w:rFonts w:hint="eastAsia" w:ascii="宋体" w:hAnsi="宋体" w:eastAsia="宋体"/>
          <w:color w:val="auto"/>
          <w:szCs w:val="24"/>
          <w:highlight w:val="none"/>
        </w:rPr>
        <w:t>3.4 投标保证金</w:t>
      </w:r>
      <w:r>
        <w:tab/>
      </w:r>
      <w:r>
        <w:fldChar w:fldCharType="begin"/>
      </w:r>
      <w:r>
        <w:instrText xml:space="preserve"> PAGEREF _Toc6503 \h </w:instrText>
      </w:r>
      <w:r>
        <w:fldChar w:fldCharType="separate"/>
      </w:r>
      <w:r>
        <w:t>22</w:t>
      </w:r>
      <w:r>
        <w:fldChar w:fldCharType="end"/>
      </w:r>
    </w:p>
    <w:p w14:paraId="1F61BED8">
      <w:pPr>
        <w:pStyle w:val="10"/>
        <w:tabs>
          <w:tab w:val="right" w:leader="hyphen" w:pos="9040"/>
        </w:tabs>
      </w:pPr>
      <w:r>
        <w:rPr>
          <w:rFonts w:hint="eastAsia" w:ascii="宋体" w:hAnsi="宋体" w:eastAsia="宋体"/>
          <w:color w:val="auto"/>
          <w:szCs w:val="24"/>
          <w:highlight w:val="none"/>
        </w:rPr>
        <w:t>3.5 资格审查资料（适用于未进行资格预审的）</w:t>
      </w:r>
      <w:r>
        <w:tab/>
      </w:r>
      <w:r>
        <w:fldChar w:fldCharType="begin"/>
      </w:r>
      <w:r>
        <w:instrText xml:space="preserve"> PAGEREF _Toc18301 \h </w:instrText>
      </w:r>
      <w:r>
        <w:fldChar w:fldCharType="separate"/>
      </w:r>
      <w:r>
        <w:t>22</w:t>
      </w:r>
      <w:r>
        <w:fldChar w:fldCharType="end"/>
      </w:r>
    </w:p>
    <w:p w14:paraId="0A44C750">
      <w:pPr>
        <w:pStyle w:val="10"/>
        <w:tabs>
          <w:tab w:val="right" w:leader="hyphen" w:pos="9040"/>
        </w:tabs>
      </w:pPr>
      <w:r>
        <w:rPr>
          <w:rFonts w:hint="eastAsia" w:ascii="宋体" w:hAnsi="宋体" w:eastAsia="宋体"/>
          <w:color w:val="auto"/>
          <w:szCs w:val="24"/>
          <w:highlight w:val="none"/>
        </w:rPr>
        <w:t>3.6 备选投标方案</w:t>
      </w:r>
      <w:r>
        <w:tab/>
      </w:r>
      <w:r>
        <w:fldChar w:fldCharType="begin"/>
      </w:r>
      <w:r>
        <w:instrText xml:space="preserve"> PAGEREF _Toc25143 \h </w:instrText>
      </w:r>
      <w:r>
        <w:fldChar w:fldCharType="separate"/>
      </w:r>
      <w:r>
        <w:t>22</w:t>
      </w:r>
      <w:r>
        <w:fldChar w:fldCharType="end"/>
      </w:r>
    </w:p>
    <w:p w14:paraId="146FB3EA">
      <w:pPr>
        <w:pStyle w:val="10"/>
        <w:tabs>
          <w:tab w:val="right" w:leader="hyphen" w:pos="9040"/>
        </w:tabs>
      </w:pPr>
      <w:r>
        <w:rPr>
          <w:rFonts w:hint="eastAsia" w:ascii="宋体" w:hAnsi="宋体" w:eastAsia="宋体"/>
          <w:color w:val="auto"/>
          <w:szCs w:val="24"/>
          <w:highlight w:val="none"/>
        </w:rPr>
        <w:t>3.7 投标文件的编制</w:t>
      </w:r>
      <w:r>
        <w:tab/>
      </w:r>
      <w:r>
        <w:fldChar w:fldCharType="begin"/>
      </w:r>
      <w:r>
        <w:instrText xml:space="preserve"> PAGEREF _Toc14918 \h </w:instrText>
      </w:r>
      <w:r>
        <w:fldChar w:fldCharType="separate"/>
      </w:r>
      <w:r>
        <w:t>23</w:t>
      </w:r>
      <w:r>
        <w:fldChar w:fldCharType="end"/>
      </w:r>
    </w:p>
    <w:p w14:paraId="15F0886E">
      <w:pPr>
        <w:pStyle w:val="15"/>
        <w:tabs>
          <w:tab w:val="right" w:leader="hyphen" w:pos="9040"/>
        </w:tabs>
      </w:pPr>
      <w:r>
        <w:rPr>
          <w:rFonts w:hint="eastAsia" w:ascii="宋体" w:hAnsi="宋体" w:eastAsia="宋体" w:cs="宋体"/>
          <w:color w:val="auto"/>
          <w:highlight w:val="none"/>
          <w:lang w:val="zh-CN"/>
        </w:rPr>
        <w:t>4. 投标</w:t>
      </w:r>
      <w:r>
        <w:tab/>
      </w:r>
      <w:r>
        <w:fldChar w:fldCharType="begin"/>
      </w:r>
      <w:r>
        <w:instrText xml:space="preserve"> PAGEREF _Toc13270 \h </w:instrText>
      </w:r>
      <w:r>
        <w:fldChar w:fldCharType="separate"/>
      </w:r>
      <w:r>
        <w:t>23</w:t>
      </w:r>
      <w:r>
        <w:fldChar w:fldCharType="end"/>
      </w:r>
    </w:p>
    <w:p w14:paraId="253D8DA8">
      <w:pPr>
        <w:pStyle w:val="10"/>
        <w:tabs>
          <w:tab w:val="right" w:leader="hyphen" w:pos="9040"/>
        </w:tabs>
      </w:pPr>
      <w:r>
        <w:rPr>
          <w:rFonts w:hint="eastAsia" w:ascii="宋体" w:hAnsi="宋体" w:eastAsia="宋体"/>
          <w:bCs/>
          <w:color w:val="auto"/>
          <w:szCs w:val="24"/>
          <w:highlight w:val="none"/>
        </w:rPr>
        <w:t>4.1 投标文件的密封和标记</w:t>
      </w:r>
      <w:r>
        <w:tab/>
      </w:r>
      <w:r>
        <w:fldChar w:fldCharType="begin"/>
      </w:r>
      <w:r>
        <w:instrText xml:space="preserve"> PAGEREF _Toc4767 \h </w:instrText>
      </w:r>
      <w:r>
        <w:fldChar w:fldCharType="separate"/>
      </w:r>
      <w:r>
        <w:t>23</w:t>
      </w:r>
      <w:r>
        <w:fldChar w:fldCharType="end"/>
      </w:r>
    </w:p>
    <w:p w14:paraId="14CFFB9C">
      <w:pPr>
        <w:pStyle w:val="10"/>
        <w:tabs>
          <w:tab w:val="right" w:leader="hyphen" w:pos="9040"/>
        </w:tabs>
      </w:pPr>
      <w:r>
        <w:rPr>
          <w:rFonts w:hint="eastAsia" w:ascii="宋体" w:hAnsi="宋体" w:eastAsia="宋体"/>
          <w:bCs/>
          <w:color w:val="auto"/>
          <w:szCs w:val="24"/>
          <w:highlight w:val="none"/>
        </w:rPr>
        <w:t xml:space="preserve">4.2 </w:t>
      </w:r>
      <w:r>
        <w:rPr>
          <w:rFonts w:hint="eastAsia" w:ascii="宋体" w:hAnsi="宋体" w:eastAsia="宋体"/>
          <w:bCs/>
          <w:color w:val="auto"/>
          <w:szCs w:val="24"/>
          <w:highlight w:val="none"/>
          <w:u w:val="single"/>
        </w:rPr>
        <w:t>投标文件的递交、接收、封存</w:t>
      </w:r>
      <w:r>
        <w:tab/>
      </w:r>
      <w:r>
        <w:fldChar w:fldCharType="begin"/>
      </w:r>
      <w:r>
        <w:instrText xml:space="preserve"> PAGEREF _Toc25029 \h </w:instrText>
      </w:r>
      <w:r>
        <w:fldChar w:fldCharType="separate"/>
      </w:r>
      <w:r>
        <w:t>24</w:t>
      </w:r>
      <w:r>
        <w:fldChar w:fldCharType="end"/>
      </w:r>
    </w:p>
    <w:p w14:paraId="5156AC46">
      <w:pPr>
        <w:pStyle w:val="10"/>
        <w:tabs>
          <w:tab w:val="right" w:leader="hyphen" w:pos="9040"/>
        </w:tabs>
      </w:pPr>
      <w:r>
        <w:rPr>
          <w:rFonts w:hint="eastAsia" w:ascii="宋体" w:hAnsi="宋体" w:eastAsia="宋体"/>
          <w:bCs/>
          <w:color w:val="auto"/>
          <w:szCs w:val="24"/>
          <w:highlight w:val="none"/>
        </w:rPr>
        <w:t>4.3 投标文件的修改与撤回</w:t>
      </w:r>
      <w:r>
        <w:tab/>
      </w:r>
      <w:r>
        <w:fldChar w:fldCharType="begin"/>
      </w:r>
      <w:r>
        <w:instrText xml:space="preserve"> PAGEREF _Toc2050 \h </w:instrText>
      </w:r>
      <w:r>
        <w:fldChar w:fldCharType="separate"/>
      </w:r>
      <w:r>
        <w:t>24</w:t>
      </w:r>
      <w:r>
        <w:fldChar w:fldCharType="end"/>
      </w:r>
    </w:p>
    <w:p w14:paraId="1F12CA45">
      <w:pPr>
        <w:pStyle w:val="15"/>
        <w:tabs>
          <w:tab w:val="right" w:leader="hyphen" w:pos="9040"/>
        </w:tabs>
      </w:pPr>
      <w:r>
        <w:rPr>
          <w:rFonts w:hint="eastAsia" w:ascii="宋体" w:hAnsi="宋体" w:eastAsia="宋体" w:cs="宋体"/>
          <w:color w:val="auto"/>
          <w:highlight w:val="none"/>
          <w:lang w:val="zh-CN"/>
        </w:rPr>
        <w:t>5. 开标</w:t>
      </w:r>
      <w:r>
        <w:tab/>
      </w:r>
      <w:r>
        <w:fldChar w:fldCharType="begin"/>
      </w:r>
      <w:r>
        <w:instrText xml:space="preserve"> PAGEREF _Toc6058 \h </w:instrText>
      </w:r>
      <w:r>
        <w:fldChar w:fldCharType="separate"/>
      </w:r>
      <w:r>
        <w:t>24</w:t>
      </w:r>
      <w:r>
        <w:fldChar w:fldCharType="end"/>
      </w:r>
    </w:p>
    <w:p w14:paraId="16E26E3A">
      <w:pPr>
        <w:pStyle w:val="10"/>
        <w:tabs>
          <w:tab w:val="right" w:leader="hyphen" w:pos="9040"/>
        </w:tabs>
      </w:pPr>
      <w:r>
        <w:rPr>
          <w:rFonts w:hint="eastAsia" w:ascii="宋体" w:hAnsi="宋体" w:eastAsia="宋体"/>
          <w:bCs/>
          <w:color w:val="auto"/>
          <w:szCs w:val="24"/>
          <w:highlight w:val="none"/>
        </w:rPr>
        <w:t>5.1 开标时间和地点</w:t>
      </w:r>
      <w:r>
        <w:tab/>
      </w:r>
      <w:r>
        <w:fldChar w:fldCharType="begin"/>
      </w:r>
      <w:r>
        <w:instrText xml:space="preserve"> PAGEREF _Toc26952 \h </w:instrText>
      </w:r>
      <w:r>
        <w:fldChar w:fldCharType="separate"/>
      </w:r>
      <w:r>
        <w:t>24</w:t>
      </w:r>
      <w:r>
        <w:fldChar w:fldCharType="end"/>
      </w:r>
    </w:p>
    <w:p w14:paraId="7C812D52">
      <w:pPr>
        <w:pStyle w:val="10"/>
        <w:tabs>
          <w:tab w:val="right" w:leader="hyphen" w:pos="9040"/>
        </w:tabs>
      </w:pPr>
      <w:r>
        <w:rPr>
          <w:rFonts w:hint="eastAsia" w:ascii="宋体" w:hAnsi="宋体" w:eastAsia="宋体"/>
          <w:bCs/>
          <w:color w:val="auto"/>
          <w:szCs w:val="24"/>
          <w:highlight w:val="none"/>
        </w:rPr>
        <w:t>5.2 开标程序</w:t>
      </w:r>
      <w:r>
        <w:tab/>
      </w:r>
      <w:r>
        <w:fldChar w:fldCharType="begin"/>
      </w:r>
      <w:r>
        <w:instrText xml:space="preserve"> PAGEREF _Toc7069 \h </w:instrText>
      </w:r>
      <w:r>
        <w:fldChar w:fldCharType="separate"/>
      </w:r>
      <w:r>
        <w:t>24</w:t>
      </w:r>
      <w:r>
        <w:fldChar w:fldCharType="end"/>
      </w:r>
    </w:p>
    <w:p w14:paraId="41179DAC">
      <w:pPr>
        <w:pStyle w:val="10"/>
        <w:tabs>
          <w:tab w:val="right" w:leader="hyphen" w:pos="9040"/>
        </w:tabs>
      </w:pPr>
      <w:r>
        <w:rPr>
          <w:rFonts w:ascii="宋体" w:hAnsi="宋体" w:eastAsia="宋体"/>
          <w:bCs/>
          <w:color w:val="auto"/>
          <w:szCs w:val="24"/>
          <w:highlight w:val="none"/>
        </w:rPr>
        <w:t xml:space="preserve">5.3 </w:t>
      </w:r>
      <w:r>
        <w:rPr>
          <w:rFonts w:hint="eastAsia" w:ascii="宋体" w:hAnsi="宋体" w:eastAsia="宋体"/>
          <w:bCs/>
          <w:color w:val="auto"/>
          <w:szCs w:val="24"/>
          <w:highlight w:val="none"/>
        </w:rPr>
        <w:t>开标异议</w:t>
      </w:r>
      <w:r>
        <w:tab/>
      </w:r>
      <w:r>
        <w:fldChar w:fldCharType="begin"/>
      </w:r>
      <w:r>
        <w:instrText xml:space="preserve"> PAGEREF _Toc21567 \h </w:instrText>
      </w:r>
      <w:r>
        <w:fldChar w:fldCharType="separate"/>
      </w:r>
      <w:r>
        <w:t>25</w:t>
      </w:r>
      <w:r>
        <w:fldChar w:fldCharType="end"/>
      </w:r>
    </w:p>
    <w:p w14:paraId="36BA83B0">
      <w:pPr>
        <w:pStyle w:val="15"/>
        <w:tabs>
          <w:tab w:val="right" w:leader="hyphen" w:pos="9040"/>
        </w:tabs>
      </w:pPr>
      <w:r>
        <w:rPr>
          <w:rFonts w:hint="eastAsia" w:ascii="宋体" w:hAnsi="宋体" w:eastAsia="宋体" w:cs="宋体"/>
          <w:color w:val="auto"/>
          <w:highlight w:val="none"/>
          <w:lang w:val="zh-CN"/>
        </w:rPr>
        <w:t>6. 评标、</w:t>
      </w:r>
      <w:r>
        <w:rPr>
          <w:rFonts w:hint="eastAsia" w:ascii="宋体" w:hAnsi="宋体" w:eastAsia="宋体" w:cs="宋体"/>
          <w:color w:val="auto"/>
          <w:highlight w:val="none"/>
        </w:rPr>
        <w:t>定标</w:t>
      </w:r>
      <w:r>
        <w:tab/>
      </w:r>
      <w:r>
        <w:fldChar w:fldCharType="begin"/>
      </w:r>
      <w:r>
        <w:instrText xml:space="preserve"> PAGEREF _Toc11239 \h </w:instrText>
      </w:r>
      <w:r>
        <w:fldChar w:fldCharType="separate"/>
      </w:r>
      <w:r>
        <w:t>26</w:t>
      </w:r>
      <w:r>
        <w:fldChar w:fldCharType="end"/>
      </w:r>
    </w:p>
    <w:p w14:paraId="040B9485">
      <w:pPr>
        <w:pStyle w:val="10"/>
        <w:tabs>
          <w:tab w:val="right" w:leader="hyphen" w:pos="9040"/>
        </w:tabs>
      </w:pPr>
      <w:r>
        <w:rPr>
          <w:rFonts w:hint="eastAsia" w:ascii="宋体" w:hAnsi="宋体" w:eastAsia="宋体"/>
          <w:color w:val="auto"/>
          <w:szCs w:val="21"/>
          <w:highlight w:val="none"/>
        </w:rPr>
        <w:t>6.1 评标委员会</w:t>
      </w:r>
      <w:r>
        <w:tab/>
      </w:r>
      <w:r>
        <w:fldChar w:fldCharType="begin"/>
      </w:r>
      <w:r>
        <w:instrText xml:space="preserve"> PAGEREF _Toc3834 \h </w:instrText>
      </w:r>
      <w:r>
        <w:fldChar w:fldCharType="separate"/>
      </w:r>
      <w:r>
        <w:t>26</w:t>
      </w:r>
      <w:r>
        <w:fldChar w:fldCharType="end"/>
      </w:r>
    </w:p>
    <w:p w14:paraId="7E6B4CF7">
      <w:pPr>
        <w:pStyle w:val="10"/>
        <w:tabs>
          <w:tab w:val="right" w:leader="hyphen" w:pos="9040"/>
        </w:tabs>
      </w:pPr>
      <w:r>
        <w:rPr>
          <w:rFonts w:hint="eastAsia" w:ascii="宋体" w:hAnsi="宋体" w:eastAsia="宋体"/>
          <w:color w:val="auto"/>
          <w:szCs w:val="21"/>
          <w:highlight w:val="none"/>
        </w:rPr>
        <w:t>6.2 评标、定标原则</w:t>
      </w:r>
      <w:r>
        <w:tab/>
      </w:r>
      <w:r>
        <w:fldChar w:fldCharType="begin"/>
      </w:r>
      <w:r>
        <w:instrText xml:space="preserve"> PAGEREF _Toc7051 \h </w:instrText>
      </w:r>
      <w:r>
        <w:fldChar w:fldCharType="separate"/>
      </w:r>
      <w:r>
        <w:t>26</w:t>
      </w:r>
      <w:r>
        <w:fldChar w:fldCharType="end"/>
      </w:r>
    </w:p>
    <w:p w14:paraId="6F3EA561">
      <w:pPr>
        <w:pStyle w:val="10"/>
        <w:tabs>
          <w:tab w:val="right" w:leader="hyphen" w:pos="9040"/>
        </w:tabs>
      </w:pPr>
      <w:r>
        <w:rPr>
          <w:rFonts w:hint="eastAsia" w:ascii="宋体" w:hAnsi="宋体" w:eastAsia="宋体"/>
          <w:color w:val="auto"/>
          <w:szCs w:val="21"/>
          <w:highlight w:val="none"/>
        </w:rPr>
        <w:t>6.3 评标</w:t>
      </w:r>
      <w:r>
        <w:tab/>
      </w:r>
      <w:r>
        <w:fldChar w:fldCharType="begin"/>
      </w:r>
      <w:r>
        <w:instrText xml:space="preserve"> PAGEREF _Toc14503 \h </w:instrText>
      </w:r>
      <w:r>
        <w:fldChar w:fldCharType="separate"/>
      </w:r>
      <w:r>
        <w:t>26</w:t>
      </w:r>
      <w:r>
        <w:fldChar w:fldCharType="end"/>
      </w:r>
    </w:p>
    <w:p w14:paraId="190E86A7">
      <w:pPr>
        <w:pStyle w:val="10"/>
        <w:tabs>
          <w:tab w:val="right" w:leader="hyphen" w:pos="9040"/>
        </w:tabs>
      </w:pPr>
      <w:r>
        <w:rPr>
          <w:rFonts w:hint="eastAsia" w:ascii="宋体" w:hAnsi="宋体" w:eastAsia="宋体"/>
          <w:color w:val="auto"/>
          <w:szCs w:val="21"/>
          <w:highlight w:val="none"/>
          <w:u w:val="single"/>
        </w:rPr>
        <w:t>6.4评标、定标过程的保密</w:t>
      </w:r>
      <w:r>
        <w:tab/>
      </w:r>
      <w:r>
        <w:fldChar w:fldCharType="begin"/>
      </w:r>
      <w:r>
        <w:instrText xml:space="preserve"> PAGEREF _Toc11353 \h </w:instrText>
      </w:r>
      <w:r>
        <w:fldChar w:fldCharType="separate"/>
      </w:r>
      <w:r>
        <w:t>27</w:t>
      </w:r>
      <w:r>
        <w:fldChar w:fldCharType="end"/>
      </w:r>
    </w:p>
    <w:p w14:paraId="2BC98890">
      <w:pPr>
        <w:pStyle w:val="15"/>
        <w:tabs>
          <w:tab w:val="right" w:leader="hyphen" w:pos="9040"/>
        </w:tabs>
      </w:pPr>
      <w:r>
        <w:rPr>
          <w:rFonts w:hint="eastAsia" w:ascii="宋体" w:hAnsi="宋体" w:eastAsia="宋体" w:cs="宋体"/>
          <w:color w:val="auto"/>
          <w:highlight w:val="none"/>
          <w:lang w:val="zh-CN"/>
        </w:rPr>
        <w:t>7. 合同授予</w:t>
      </w:r>
      <w:r>
        <w:tab/>
      </w:r>
      <w:r>
        <w:fldChar w:fldCharType="begin"/>
      </w:r>
      <w:r>
        <w:instrText xml:space="preserve"> PAGEREF _Toc30177 \h </w:instrText>
      </w:r>
      <w:r>
        <w:fldChar w:fldCharType="separate"/>
      </w:r>
      <w:r>
        <w:t>27</w:t>
      </w:r>
      <w:r>
        <w:fldChar w:fldCharType="end"/>
      </w:r>
    </w:p>
    <w:p w14:paraId="3C78D003">
      <w:pPr>
        <w:pStyle w:val="10"/>
        <w:tabs>
          <w:tab w:val="right" w:leader="hyphen" w:pos="9040"/>
        </w:tabs>
      </w:pPr>
      <w:r>
        <w:rPr>
          <w:rFonts w:hint="eastAsia" w:ascii="宋体" w:hAnsi="宋体" w:eastAsia="宋体"/>
          <w:color w:val="auto"/>
          <w:szCs w:val="21"/>
          <w:highlight w:val="none"/>
        </w:rPr>
        <w:t>7.1 定标方式</w:t>
      </w:r>
      <w:r>
        <w:tab/>
      </w:r>
      <w:r>
        <w:fldChar w:fldCharType="begin"/>
      </w:r>
      <w:r>
        <w:instrText xml:space="preserve"> PAGEREF _Toc23132 \h </w:instrText>
      </w:r>
      <w:r>
        <w:fldChar w:fldCharType="separate"/>
      </w:r>
      <w:r>
        <w:t>27</w:t>
      </w:r>
      <w:r>
        <w:fldChar w:fldCharType="end"/>
      </w:r>
    </w:p>
    <w:p w14:paraId="772306BA">
      <w:pPr>
        <w:pStyle w:val="10"/>
        <w:tabs>
          <w:tab w:val="right" w:leader="hyphen" w:pos="9040"/>
        </w:tabs>
      </w:pPr>
      <w:r>
        <w:rPr>
          <w:rFonts w:hint="eastAsia" w:ascii="宋体" w:hAnsi="宋体" w:eastAsia="宋体"/>
          <w:color w:val="auto"/>
          <w:szCs w:val="21"/>
          <w:highlight w:val="none"/>
        </w:rPr>
        <w:t>7.2 合格中标候选人及</w:t>
      </w:r>
      <w:r>
        <w:rPr>
          <w:rFonts w:hint="eastAsia" w:ascii="宋体" w:hAnsi="宋体" w:eastAsia="宋体"/>
          <w:color w:val="auto"/>
          <w:szCs w:val="21"/>
          <w:highlight w:val="none"/>
          <w:u w:val="single"/>
        </w:rPr>
        <w:t>中标结果</w:t>
      </w:r>
      <w:r>
        <w:rPr>
          <w:rFonts w:hint="eastAsia" w:ascii="宋体" w:hAnsi="宋体" w:eastAsia="宋体"/>
          <w:color w:val="auto"/>
          <w:szCs w:val="21"/>
          <w:highlight w:val="none"/>
        </w:rPr>
        <w:t>公示</w:t>
      </w:r>
      <w:r>
        <w:tab/>
      </w:r>
      <w:r>
        <w:fldChar w:fldCharType="begin"/>
      </w:r>
      <w:r>
        <w:instrText xml:space="preserve"> PAGEREF _Toc7395 \h </w:instrText>
      </w:r>
      <w:r>
        <w:fldChar w:fldCharType="separate"/>
      </w:r>
      <w:r>
        <w:t>28</w:t>
      </w:r>
      <w:r>
        <w:fldChar w:fldCharType="end"/>
      </w:r>
    </w:p>
    <w:p w14:paraId="35767877">
      <w:pPr>
        <w:pStyle w:val="10"/>
        <w:tabs>
          <w:tab w:val="right" w:leader="hyphen" w:pos="9040"/>
        </w:tabs>
      </w:pPr>
      <w:r>
        <w:rPr>
          <w:rFonts w:hint="eastAsia" w:ascii="宋体" w:hAnsi="宋体" w:eastAsia="宋体"/>
          <w:color w:val="auto"/>
          <w:szCs w:val="21"/>
          <w:highlight w:val="none"/>
        </w:rPr>
        <w:t>7.3 中标通知</w:t>
      </w:r>
      <w:r>
        <w:tab/>
      </w:r>
      <w:r>
        <w:fldChar w:fldCharType="begin"/>
      </w:r>
      <w:r>
        <w:instrText xml:space="preserve"> PAGEREF _Toc11224 \h </w:instrText>
      </w:r>
      <w:r>
        <w:fldChar w:fldCharType="separate"/>
      </w:r>
      <w:r>
        <w:t>28</w:t>
      </w:r>
      <w:r>
        <w:fldChar w:fldCharType="end"/>
      </w:r>
    </w:p>
    <w:p w14:paraId="6B660CE8">
      <w:pPr>
        <w:pStyle w:val="10"/>
        <w:tabs>
          <w:tab w:val="right" w:leader="hyphen" w:pos="9040"/>
        </w:tabs>
      </w:pPr>
      <w:r>
        <w:rPr>
          <w:rFonts w:hint="eastAsia" w:ascii="宋体" w:hAnsi="宋体" w:eastAsia="宋体"/>
          <w:color w:val="auto"/>
          <w:szCs w:val="21"/>
          <w:highlight w:val="none"/>
        </w:rPr>
        <w:t>7.4 履约担保</w:t>
      </w:r>
      <w:r>
        <w:tab/>
      </w:r>
      <w:r>
        <w:fldChar w:fldCharType="begin"/>
      </w:r>
      <w:r>
        <w:instrText xml:space="preserve"> PAGEREF _Toc18439 \h </w:instrText>
      </w:r>
      <w:r>
        <w:fldChar w:fldCharType="separate"/>
      </w:r>
      <w:r>
        <w:t>28</w:t>
      </w:r>
      <w:r>
        <w:fldChar w:fldCharType="end"/>
      </w:r>
    </w:p>
    <w:p w14:paraId="4E9B8DEB">
      <w:pPr>
        <w:pStyle w:val="10"/>
        <w:tabs>
          <w:tab w:val="right" w:leader="hyphen" w:pos="9040"/>
        </w:tabs>
      </w:pPr>
      <w:r>
        <w:rPr>
          <w:rFonts w:hint="eastAsia" w:ascii="宋体" w:hAnsi="宋体" w:eastAsia="宋体"/>
          <w:color w:val="auto"/>
          <w:szCs w:val="21"/>
          <w:highlight w:val="none"/>
        </w:rPr>
        <w:t>7.5 签订合同</w:t>
      </w:r>
      <w:r>
        <w:tab/>
      </w:r>
      <w:r>
        <w:fldChar w:fldCharType="begin"/>
      </w:r>
      <w:r>
        <w:instrText xml:space="preserve"> PAGEREF _Toc29250 \h </w:instrText>
      </w:r>
      <w:r>
        <w:fldChar w:fldCharType="separate"/>
      </w:r>
      <w:r>
        <w:t>29</w:t>
      </w:r>
      <w:r>
        <w:fldChar w:fldCharType="end"/>
      </w:r>
    </w:p>
    <w:p w14:paraId="6B140DB1">
      <w:pPr>
        <w:pStyle w:val="15"/>
        <w:tabs>
          <w:tab w:val="right" w:leader="hyphen" w:pos="9040"/>
        </w:tabs>
      </w:pPr>
      <w:r>
        <w:rPr>
          <w:rFonts w:hint="eastAsia" w:ascii="宋体" w:hAnsi="宋体" w:eastAsia="宋体" w:cs="宋体"/>
          <w:color w:val="auto"/>
          <w:highlight w:val="none"/>
          <w:lang w:val="zh-CN"/>
        </w:rPr>
        <w:t>8. 纪律和监督</w:t>
      </w:r>
      <w:r>
        <w:tab/>
      </w:r>
      <w:r>
        <w:fldChar w:fldCharType="begin"/>
      </w:r>
      <w:r>
        <w:instrText xml:space="preserve"> PAGEREF _Toc10604 \h </w:instrText>
      </w:r>
      <w:r>
        <w:fldChar w:fldCharType="separate"/>
      </w:r>
      <w:r>
        <w:t>29</w:t>
      </w:r>
      <w:r>
        <w:fldChar w:fldCharType="end"/>
      </w:r>
    </w:p>
    <w:p w14:paraId="4FA86D10">
      <w:pPr>
        <w:pStyle w:val="15"/>
        <w:tabs>
          <w:tab w:val="right" w:leader="hyphen" w:pos="9040"/>
        </w:tabs>
      </w:pPr>
      <w:r>
        <w:rPr>
          <w:rFonts w:hint="eastAsia" w:ascii="宋体" w:hAnsi="宋体" w:eastAsia="宋体" w:cs="宋体"/>
          <w:color w:val="auto"/>
          <w:highlight w:val="none"/>
          <w:lang w:val="zh-CN"/>
        </w:rPr>
        <w:t>9. 需要补充的其他内容</w:t>
      </w:r>
      <w:r>
        <w:tab/>
      </w:r>
      <w:r>
        <w:fldChar w:fldCharType="begin"/>
      </w:r>
      <w:r>
        <w:instrText xml:space="preserve"> PAGEREF _Toc3019 \h </w:instrText>
      </w:r>
      <w:r>
        <w:fldChar w:fldCharType="separate"/>
      </w:r>
      <w:r>
        <w:t>30</w:t>
      </w:r>
      <w:r>
        <w:fldChar w:fldCharType="end"/>
      </w:r>
    </w:p>
    <w:p w14:paraId="79C82DB2">
      <w:pPr>
        <w:pStyle w:val="15"/>
        <w:tabs>
          <w:tab w:val="right" w:leader="hyphen" w:pos="9040"/>
        </w:tabs>
      </w:pPr>
      <w:r>
        <w:rPr>
          <w:rFonts w:hint="eastAsia" w:ascii="宋体" w:hAnsi="宋体" w:eastAsia="宋体" w:cs="宋体"/>
          <w:color w:val="auto"/>
          <w:highlight w:val="none"/>
          <w:lang w:val="zh-CN"/>
        </w:rPr>
        <w:t>10. 电子招标投标</w:t>
      </w:r>
      <w:r>
        <w:tab/>
      </w:r>
      <w:r>
        <w:fldChar w:fldCharType="begin"/>
      </w:r>
      <w:r>
        <w:instrText xml:space="preserve"> PAGEREF _Toc4295 \h </w:instrText>
      </w:r>
      <w:r>
        <w:fldChar w:fldCharType="separate"/>
      </w:r>
      <w:r>
        <w:t>30</w:t>
      </w:r>
      <w:r>
        <w:fldChar w:fldCharType="end"/>
      </w:r>
    </w:p>
    <w:p w14:paraId="38255E20">
      <w:pPr>
        <w:pStyle w:val="15"/>
        <w:tabs>
          <w:tab w:val="right" w:leader="hyphen" w:pos="9040"/>
        </w:tabs>
      </w:pPr>
      <w:r>
        <w:rPr>
          <w:rFonts w:hint="eastAsia" w:ascii="宋体" w:hAnsi="宋体" w:eastAsia="宋体" w:cs="宋体"/>
          <w:color w:val="auto"/>
          <w:highlight w:val="none"/>
          <w:u w:val="single"/>
          <w:lang w:val="zh-CN"/>
        </w:rPr>
        <w:t>11.其他</w:t>
      </w:r>
      <w:r>
        <w:tab/>
      </w:r>
      <w:r>
        <w:fldChar w:fldCharType="begin"/>
      </w:r>
      <w:r>
        <w:instrText xml:space="preserve"> PAGEREF _Toc29306 \h </w:instrText>
      </w:r>
      <w:r>
        <w:fldChar w:fldCharType="separate"/>
      </w:r>
      <w:r>
        <w:t>30</w:t>
      </w:r>
      <w:r>
        <w:fldChar w:fldCharType="end"/>
      </w:r>
    </w:p>
    <w:p w14:paraId="0F81130C">
      <w:pPr>
        <w:pStyle w:val="14"/>
        <w:tabs>
          <w:tab w:val="right" w:leader="hyphen" w:pos="9040"/>
        </w:tabs>
      </w:pPr>
      <w:r>
        <w:rPr>
          <w:rFonts w:hint="eastAsia" w:ascii="宋体" w:hAnsi="宋体" w:cs="宋体"/>
          <w:color w:val="auto"/>
          <w:kern w:val="1"/>
        </w:rPr>
        <w:t xml:space="preserve">第三章 </w:t>
      </w:r>
      <w:r>
        <w:rPr>
          <w:rFonts w:hint="eastAsia" w:ascii="宋体" w:hAnsi="宋体" w:cs="宋体"/>
          <w:color w:val="auto"/>
          <w:kern w:val="1"/>
          <w:highlight w:val="none"/>
        </w:rPr>
        <w:t>评标、定标办法</w:t>
      </w:r>
      <w:r>
        <w:tab/>
      </w:r>
      <w:r>
        <w:fldChar w:fldCharType="begin"/>
      </w:r>
      <w:r>
        <w:instrText xml:space="preserve"> PAGEREF _Toc23710 \h </w:instrText>
      </w:r>
      <w:r>
        <w:fldChar w:fldCharType="separate"/>
      </w:r>
      <w:r>
        <w:t>32</w:t>
      </w:r>
      <w:r>
        <w:fldChar w:fldCharType="end"/>
      </w:r>
    </w:p>
    <w:p w14:paraId="6CA1B900">
      <w:pPr>
        <w:pStyle w:val="15"/>
        <w:tabs>
          <w:tab w:val="right" w:leader="hyphen" w:pos="9040"/>
        </w:tabs>
      </w:pPr>
      <w:r>
        <w:rPr>
          <w:rFonts w:hint="eastAsia" w:ascii="宋体" w:hAnsi="宋体" w:eastAsia="宋体" w:cs="宋体"/>
          <w:color w:val="auto"/>
          <w:highlight w:val="none"/>
          <w:lang w:val="zh-CN"/>
        </w:rPr>
        <w:t>评标办法前附表</w:t>
      </w:r>
      <w:r>
        <w:tab/>
      </w:r>
      <w:r>
        <w:fldChar w:fldCharType="begin"/>
      </w:r>
      <w:r>
        <w:instrText xml:space="preserve"> PAGEREF _Toc3307 \h </w:instrText>
      </w:r>
      <w:r>
        <w:fldChar w:fldCharType="separate"/>
      </w:r>
      <w:r>
        <w:t>32</w:t>
      </w:r>
      <w:r>
        <w:fldChar w:fldCharType="end"/>
      </w:r>
    </w:p>
    <w:p w14:paraId="326FE0A4">
      <w:pPr>
        <w:pStyle w:val="15"/>
        <w:tabs>
          <w:tab w:val="right" w:leader="hyphen" w:pos="9040"/>
        </w:tabs>
      </w:pPr>
      <w:r>
        <w:rPr>
          <w:rFonts w:hint="eastAsia" w:ascii="宋体" w:hAnsi="宋体" w:eastAsia="宋体" w:cs="宋体"/>
          <w:color w:val="auto"/>
          <w:szCs w:val="24"/>
          <w:highlight w:val="none"/>
        </w:rPr>
        <w:t>1. 评标方法</w:t>
      </w:r>
      <w:r>
        <w:tab/>
      </w:r>
      <w:r>
        <w:fldChar w:fldCharType="begin"/>
      </w:r>
      <w:r>
        <w:instrText xml:space="preserve"> PAGEREF _Toc6788 \h </w:instrText>
      </w:r>
      <w:r>
        <w:fldChar w:fldCharType="separate"/>
      </w:r>
      <w:r>
        <w:t>34</w:t>
      </w:r>
      <w:r>
        <w:fldChar w:fldCharType="end"/>
      </w:r>
    </w:p>
    <w:p w14:paraId="5093CF98">
      <w:pPr>
        <w:pStyle w:val="15"/>
        <w:tabs>
          <w:tab w:val="right" w:leader="hyphen" w:pos="9040"/>
        </w:tabs>
      </w:pPr>
      <w:r>
        <w:rPr>
          <w:rFonts w:hint="eastAsia" w:ascii="宋体" w:hAnsi="宋体" w:eastAsia="宋体" w:cs="宋体"/>
          <w:color w:val="auto"/>
          <w:szCs w:val="24"/>
          <w:highlight w:val="none"/>
        </w:rPr>
        <w:t>2. 评审标准</w:t>
      </w:r>
      <w:r>
        <w:tab/>
      </w:r>
      <w:r>
        <w:fldChar w:fldCharType="begin"/>
      </w:r>
      <w:r>
        <w:instrText xml:space="preserve"> PAGEREF _Toc5675 \h </w:instrText>
      </w:r>
      <w:r>
        <w:fldChar w:fldCharType="separate"/>
      </w:r>
      <w:r>
        <w:t>34</w:t>
      </w:r>
      <w:r>
        <w:fldChar w:fldCharType="end"/>
      </w:r>
    </w:p>
    <w:p w14:paraId="76651322">
      <w:pPr>
        <w:pStyle w:val="10"/>
        <w:tabs>
          <w:tab w:val="right" w:leader="hyphen" w:pos="9040"/>
        </w:tabs>
      </w:pPr>
      <w:r>
        <w:rPr>
          <w:rFonts w:hint="eastAsia" w:ascii="宋体" w:hAnsi="宋体" w:eastAsia="宋体" w:cs="宋体"/>
          <w:color w:val="auto"/>
          <w:szCs w:val="24"/>
          <w:highlight w:val="none"/>
        </w:rPr>
        <w:t>2.1 初步评审标准</w:t>
      </w:r>
      <w:r>
        <w:tab/>
      </w:r>
      <w:r>
        <w:fldChar w:fldCharType="begin"/>
      </w:r>
      <w:r>
        <w:instrText xml:space="preserve"> PAGEREF _Toc30223 \h </w:instrText>
      </w:r>
      <w:r>
        <w:fldChar w:fldCharType="separate"/>
      </w:r>
      <w:r>
        <w:t>34</w:t>
      </w:r>
      <w:r>
        <w:fldChar w:fldCharType="end"/>
      </w:r>
    </w:p>
    <w:p w14:paraId="1B5F8752">
      <w:pPr>
        <w:pStyle w:val="10"/>
        <w:tabs>
          <w:tab w:val="right" w:leader="hyphen" w:pos="9040"/>
        </w:tabs>
      </w:pPr>
      <w:r>
        <w:rPr>
          <w:rFonts w:hint="eastAsia" w:ascii="宋体" w:hAnsi="宋体" w:eastAsia="宋体" w:cs="宋体"/>
          <w:color w:val="auto"/>
          <w:szCs w:val="24"/>
          <w:highlight w:val="none"/>
        </w:rPr>
        <w:t>2.2 分值构成与评分标准</w:t>
      </w:r>
      <w:r>
        <w:tab/>
      </w:r>
      <w:r>
        <w:fldChar w:fldCharType="begin"/>
      </w:r>
      <w:r>
        <w:instrText xml:space="preserve"> PAGEREF _Toc23882 \h </w:instrText>
      </w:r>
      <w:r>
        <w:fldChar w:fldCharType="separate"/>
      </w:r>
      <w:r>
        <w:t>34</w:t>
      </w:r>
      <w:r>
        <w:fldChar w:fldCharType="end"/>
      </w:r>
    </w:p>
    <w:p w14:paraId="631DCD41">
      <w:pPr>
        <w:pStyle w:val="15"/>
        <w:tabs>
          <w:tab w:val="right" w:leader="hyphen" w:pos="9040"/>
        </w:tabs>
      </w:pPr>
      <w:r>
        <w:rPr>
          <w:rFonts w:hint="eastAsia" w:ascii="宋体" w:hAnsi="宋体" w:eastAsia="宋体" w:cs="宋体"/>
          <w:color w:val="auto"/>
          <w:szCs w:val="24"/>
          <w:highlight w:val="none"/>
        </w:rPr>
        <w:t>3. 评标程序</w:t>
      </w:r>
      <w:r>
        <w:tab/>
      </w:r>
      <w:r>
        <w:fldChar w:fldCharType="begin"/>
      </w:r>
      <w:r>
        <w:instrText xml:space="preserve"> PAGEREF _Toc21659 \h </w:instrText>
      </w:r>
      <w:r>
        <w:fldChar w:fldCharType="separate"/>
      </w:r>
      <w:r>
        <w:t>35</w:t>
      </w:r>
      <w:r>
        <w:fldChar w:fldCharType="end"/>
      </w:r>
    </w:p>
    <w:p w14:paraId="383995C1">
      <w:pPr>
        <w:pStyle w:val="10"/>
        <w:tabs>
          <w:tab w:val="right" w:leader="hyphen" w:pos="9040"/>
        </w:tabs>
      </w:pPr>
      <w:r>
        <w:rPr>
          <w:rFonts w:hint="eastAsia" w:ascii="宋体" w:hAnsi="宋体" w:eastAsia="宋体" w:cs="宋体"/>
          <w:color w:val="auto"/>
          <w:szCs w:val="24"/>
          <w:highlight w:val="none"/>
        </w:rPr>
        <w:t>3.1 初步评审</w:t>
      </w:r>
      <w:r>
        <w:tab/>
      </w:r>
      <w:r>
        <w:fldChar w:fldCharType="begin"/>
      </w:r>
      <w:r>
        <w:instrText xml:space="preserve"> PAGEREF _Toc25234 \h </w:instrText>
      </w:r>
      <w:r>
        <w:fldChar w:fldCharType="separate"/>
      </w:r>
      <w:r>
        <w:t>35</w:t>
      </w:r>
      <w:r>
        <w:fldChar w:fldCharType="end"/>
      </w:r>
    </w:p>
    <w:p w14:paraId="2270D12D">
      <w:pPr>
        <w:pStyle w:val="10"/>
        <w:tabs>
          <w:tab w:val="right" w:leader="hyphen" w:pos="9040"/>
        </w:tabs>
      </w:pPr>
      <w:r>
        <w:rPr>
          <w:rFonts w:hint="eastAsia" w:ascii="宋体" w:hAnsi="宋体" w:eastAsia="宋体" w:cs="宋体"/>
          <w:color w:val="auto"/>
          <w:szCs w:val="24"/>
          <w:highlight w:val="none"/>
        </w:rPr>
        <w:t>3.2 详细评审</w:t>
      </w:r>
      <w:r>
        <w:tab/>
      </w:r>
      <w:r>
        <w:fldChar w:fldCharType="begin"/>
      </w:r>
      <w:r>
        <w:instrText xml:space="preserve"> PAGEREF _Toc11294 \h </w:instrText>
      </w:r>
      <w:r>
        <w:fldChar w:fldCharType="separate"/>
      </w:r>
      <w:r>
        <w:t>35</w:t>
      </w:r>
      <w:r>
        <w:fldChar w:fldCharType="end"/>
      </w:r>
    </w:p>
    <w:p w14:paraId="62745407">
      <w:pPr>
        <w:pStyle w:val="10"/>
        <w:tabs>
          <w:tab w:val="right" w:leader="hyphen" w:pos="9040"/>
        </w:tabs>
      </w:pPr>
      <w:r>
        <w:rPr>
          <w:rFonts w:hint="eastAsia" w:ascii="宋体" w:hAnsi="宋体" w:eastAsia="宋体" w:cs="宋体"/>
          <w:color w:val="auto"/>
          <w:szCs w:val="24"/>
          <w:highlight w:val="none"/>
        </w:rPr>
        <w:t>3.3具体评标程序</w:t>
      </w:r>
      <w:r>
        <w:tab/>
      </w:r>
      <w:r>
        <w:fldChar w:fldCharType="begin"/>
      </w:r>
      <w:r>
        <w:instrText xml:space="preserve"> PAGEREF _Toc18323 \h </w:instrText>
      </w:r>
      <w:r>
        <w:fldChar w:fldCharType="separate"/>
      </w:r>
      <w:r>
        <w:t>36</w:t>
      </w:r>
      <w:r>
        <w:fldChar w:fldCharType="end"/>
      </w:r>
    </w:p>
    <w:p w14:paraId="1889D43F">
      <w:pPr>
        <w:pStyle w:val="10"/>
        <w:tabs>
          <w:tab w:val="right" w:leader="hyphen" w:pos="9040"/>
        </w:tabs>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）形式审查及资格审查</w:t>
      </w:r>
      <w:r>
        <w:tab/>
      </w:r>
      <w:r>
        <w:fldChar w:fldCharType="begin"/>
      </w:r>
      <w:r>
        <w:instrText xml:space="preserve"> PAGEREF _Toc21909 \h </w:instrText>
      </w:r>
      <w:r>
        <w:fldChar w:fldCharType="separate"/>
      </w:r>
      <w:r>
        <w:t>36</w:t>
      </w:r>
      <w:r>
        <w:fldChar w:fldCharType="end"/>
      </w:r>
    </w:p>
    <w:p w14:paraId="3307220B">
      <w:pPr>
        <w:pStyle w:val="10"/>
        <w:tabs>
          <w:tab w:val="right" w:leader="hyphen" w:pos="9040"/>
        </w:tabs>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）工程总承包实施及运营管理方案评审</w:t>
      </w:r>
      <w:r>
        <w:tab/>
      </w:r>
      <w:r>
        <w:fldChar w:fldCharType="begin"/>
      </w:r>
      <w:r>
        <w:instrText xml:space="preserve"> PAGEREF _Toc28764 \h </w:instrText>
      </w:r>
      <w:r>
        <w:fldChar w:fldCharType="separate"/>
      </w:r>
      <w:r>
        <w:t>37</w:t>
      </w:r>
      <w:r>
        <w:fldChar w:fldCharType="end"/>
      </w:r>
    </w:p>
    <w:p w14:paraId="412056F7">
      <w:pPr>
        <w:pStyle w:val="10"/>
        <w:tabs>
          <w:tab w:val="right" w:leader="hyphen" w:pos="9040"/>
        </w:tabs>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）投标报价得分</w:t>
      </w:r>
      <w:r>
        <w:tab/>
      </w:r>
      <w:r>
        <w:fldChar w:fldCharType="begin"/>
      </w:r>
      <w:r>
        <w:instrText xml:space="preserve"> PAGEREF _Toc24527 \h </w:instrText>
      </w:r>
      <w:r>
        <w:fldChar w:fldCharType="separate"/>
      </w:r>
      <w:r>
        <w:t>37</w:t>
      </w:r>
      <w:r>
        <w:fldChar w:fldCharType="end"/>
      </w:r>
    </w:p>
    <w:p w14:paraId="776C0B93">
      <w:pPr>
        <w:pStyle w:val="10"/>
        <w:tabs>
          <w:tab w:val="right" w:leader="hyphen" w:pos="9040"/>
        </w:tabs>
      </w:pPr>
      <w:r>
        <w:rPr>
          <w:rFonts w:hint="eastAsia" w:ascii="宋体" w:hAnsi="宋体" w:eastAsia="宋体" w:cs="宋体"/>
          <w:color w:val="auto"/>
          <w:szCs w:val="24"/>
          <w:highlight w:val="none"/>
        </w:rPr>
        <w:t>3.4投标文件的澄清和补正</w:t>
      </w:r>
      <w:r>
        <w:tab/>
      </w:r>
      <w:r>
        <w:fldChar w:fldCharType="begin"/>
      </w:r>
      <w:r>
        <w:instrText xml:space="preserve"> PAGEREF _Toc26515 \h </w:instrText>
      </w:r>
      <w:r>
        <w:fldChar w:fldCharType="separate"/>
      </w:r>
      <w:r>
        <w:t>38</w:t>
      </w:r>
      <w:r>
        <w:fldChar w:fldCharType="end"/>
      </w:r>
    </w:p>
    <w:p w14:paraId="0911B39A">
      <w:pPr>
        <w:pStyle w:val="10"/>
        <w:tabs>
          <w:tab w:val="right" w:leader="hyphen" w:pos="9040"/>
        </w:tabs>
      </w:pPr>
      <w:r>
        <w:rPr>
          <w:rFonts w:hint="eastAsia" w:ascii="宋体" w:hAnsi="宋体" w:eastAsia="宋体" w:cs="宋体"/>
          <w:color w:val="auto"/>
          <w:szCs w:val="24"/>
          <w:highlight w:val="none"/>
        </w:rPr>
        <w:t>3.5评标结果</w:t>
      </w:r>
      <w:r>
        <w:tab/>
      </w:r>
      <w:r>
        <w:fldChar w:fldCharType="begin"/>
      </w:r>
      <w:r>
        <w:instrText xml:space="preserve"> PAGEREF _Toc19874 \h </w:instrText>
      </w:r>
      <w:r>
        <w:fldChar w:fldCharType="separate"/>
      </w:r>
      <w:r>
        <w:t>38</w:t>
      </w:r>
      <w:r>
        <w:fldChar w:fldCharType="end"/>
      </w:r>
    </w:p>
    <w:p w14:paraId="0D80F796">
      <w:pPr>
        <w:pStyle w:val="15"/>
        <w:tabs>
          <w:tab w:val="right" w:leader="hyphen" w:pos="9040"/>
        </w:tabs>
      </w:pPr>
      <w:r>
        <w:rPr>
          <w:rFonts w:hint="eastAsia" w:ascii="宋体" w:hAnsi="宋体" w:eastAsia="宋体" w:cs="宋体"/>
          <w:color w:val="auto"/>
          <w:szCs w:val="24"/>
          <w:highlight w:val="none"/>
          <w:lang w:val="zh-CN"/>
        </w:rPr>
        <w:t>4. 评标表格</w:t>
      </w:r>
      <w:r>
        <w:tab/>
      </w:r>
      <w:r>
        <w:fldChar w:fldCharType="begin"/>
      </w:r>
      <w:r>
        <w:instrText xml:space="preserve"> PAGEREF _Toc25683 \h </w:instrText>
      </w:r>
      <w:r>
        <w:fldChar w:fldCharType="separate"/>
      </w:r>
      <w:r>
        <w:t>39</w:t>
      </w:r>
      <w:r>
        <w:fldChar w:fldCharType="end"/>
      </w:r>
    </w:p>
    <w:p w14:paraId="7EF94E19">
      <w:pPr>
        <w:pStyle w:val="15"/>
        <w:tabs>
          <w:tab w:val="right" w:leader="hyphen" w:pos="9040"/>
        </w:tabs>
      </w:pP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 否决性条款汇总</w:t>
      </w:r>
      <w:r>
        <w:tab/>
      </w:r>
      <w:r>
        <w:fldChar w:fldCharType="begin"/>
      </w:r>
      <w:r>
        <w:instrText xml:space="preserve"> PAGEREF _Toc17110 \h </w:instrText>
      </w:r>
      <w:r>
        <w:fldChar w:fldCharType="separate"/>
      </w:r>
      <w:r>
        <w:t>39</w:t>
      </w:r>
      <w:r>
        <w:fldChar w:fldCharType="end"/>
      </w:r>
    </w:p>
    <w:p w14:paraId="63D6D94C">
      <w:pPr>
        <w:pStyle w:val="14"/>
        <w:tabs>
          <w:tab w:val="right" w:leader="hyphen" w:pos="9040"/>
        </w:tabs>
      </w:pPr>
      <w:r>
        <w:rPr>
          <w:rFonts w:hint="eastAsia" w:ascii="宋体" w:hAnsi="宋体" w:cs="宋体"/>
          <w:color w:val="auto"/>
          <w:kern w:val="1"/>
        </w:rPr>
        <w:t xml:space="preserve">第四章 </w:t>
      </w:r>
      <w:r>
        <w:rPr>
          <w:rFonts w:hint="eastAsia" w:ascii="宋体" w:hAnsi="宋体" w:cs="宋体"/>
          <w:color w:val="auto"/>
          <w:kern w:val="1"/>
          <w:highlight w:val="none"/>
        </w:rPr>
        <w:t>合同条款及格式</w:t>
      </w:r>
      <w:r>
        <w:tab/>
      </w:r>
      <w:r>
        <w:fldChar w:fldCharType="begin"/>
      </w:r>
      <w:r>
        <w:instrText xml:space="preserve"> PAGEREF _Toc2040 \h </w:instrText>
      </w:r>
      <w:r>
        <w:fldChar w:fldCharType="separate"/>
      </w:r>
      <w:r>
        <w:t>58</w:t>
      </w:r>
      <w:r>
        <w:fldChar w:fldCharType="end"/>
      </w:r>
    </w:p>
    <w:p w14:paraId="29FD3AAE">
      <w:pPr>
        <w:pStyle w:val="14"/>
        <w:tabs>
          <w:tab w:val="right" w:leader="hyphen" w:pos="9040"/>
        </w:tabs>
      </w:pPr>
      <w:r>
        <w:rPr>
          <w:rFonts w:hint="eastAsia" w:ascii="宋体" w:hAnsi="宋体" w:cs="宋体"/>
          <w:color w:val="auto"/>
          <w:kern w:val="1"/>
        </w:rPr>
        <w:t xml:space="preserve">第五章 </w:t>
      </w:r>
      <w:r>
        <w:rPr>
          <w:rFonts w:hint="eastAsia" w:ascii="宋体" w:hAnsi="宋体" w:cs="宋体"/>
          <w:color w:val="auto"/>
          <w:kern w:val="1"/>
          <w:highlight w:val="none"/>
        </w:rPr>
        <w:t>发包人要求</w:t>
      </w:r>
      <w:r>
        <w:tab/>
      </w:r>
      <w:r>
        <w:fldChar w:fldCharType="begin"/>
      </w:r>
      <w:r>
        <w:instrText xml:space="preserve"> PAGEREF _Toc32067 \h </w:instrText>
      </w:r>
      <w:r>
        <w:fldChar w:fldCharType="separate"/>
      </w:r>
      <w:r>
        <w:t>59</w:t>
      </w:r>
      <w:r>
        <w:fldChar w:fldCharType="end"/>
      </w:r>
    </w:p>
    <w:p w14:paraId="2CDE1204">
      <w:pPr>
        <w:pStyle w:val="14"/>
        <w:tabs>
          <w:tab w:val="right" w:leader="hyphen" w:pos="9040"/>
        </w:tabs>
      </w:pPr>
      <w:r>
        <w:rPr>
          <w:rFonts w:hint="eastAsia" w:ascii="宋体" w:hAnsi="宋体" w:cs="宋体"/>
          <w:color w:val="auto"/>
          <w:kern w:val="1"/>
        </w:rPr>
        <w:t xml:space="preserve">第六章 </w:t>
      </w:r>
      <w:r>
        <w:rPr>
          <w:rFonts w:hint="eastAsia"/>
          <w:color w:val="auto"/>
          <w:highlight w:val="none"/>
        </w:rPr>
        <w:t>发包</w:t>
      </w:r>
      <w:r>
        <w:rPr>
          <w:rFonts w:hint="eastAsia" w:ascii="宋体" w:hAnsi="宋体" w:cs="宋体"/>
          <w:color w:val="auto"/>
          <w:kern w:val="1"/>
          <w:highlight w:val="none"/>
        </w:rPr>
        <w:t>人提供的资料</w:t>
      </w:r>
      <w:r>
        <w:tab/>
      </w:r>
      <w:r>
        <w:fldChar w:fldCharType="begin"/>
      </w:r>
      <w:r>
        <w:instrText xml:space="preserve"> PAGEREF _Toc23357 \h </w:instrText>
      </w:r>
      <w:r>
        <w:fldChar w:fldCharType="separate"/>
      </w:r>
      <w:r>
        <w:t>60</w:t>
      </w:r>
      <w:r>
        <w:fldChar w:fldCharType="end"/>
      </w:r>
    </w:p>
    <w:p w14:paraId="1CA19BF4">
      <w:pPr>
        <w:pStyle w:val="14"/>
        <w:tabs>
          <w:tab w:val="right" w:leader="hyphen" w:pos="9040"/>
        </w:tabs>
      </w:pPr>
      <w:r>
        <w:rPr>
          <w:rFonts w:hint="eastAsia"/>
          <w:color w:val="auto"/>
        </w:rPr>
        <w:t xml:space="preserve">第七章 </w:t>
      </w:r>
      <w:r>
        <w:rPr>
          <w:rFonts w:hint="eastAsia"/>
          <w:color w:val="auto"/>
          <w:highlight w:val="none"/>
        </w:rPr>
        <w:t>工程量清单</w:t>
      </w:r>
      <w:r>
        <w:tab/>
      </w:r>
      <w:r>
        <w:fldChar w:fldCharType="begin"/>
      </w:r>
      <w:r>
        <w:instrText xml:space="preserve"> PAGEREF _Toc9201 \h </w:instrText>
      </w:r>
      <w:r>
        <w:fldChar w:fldCharType="separate"/>
      </w:r>
      <w:r>
        <w:t>61</w:t>
      </w:r>
      <w:r>
        <w:fldChar w:fldCharType="end"/>
      </w:r>
    </w:p>
    <w:p w14:paraId="179EDEB1">
      <w:pPr>
        <w:pStyle w:val="14"/>
        <w:tabs>
          <w:tab w:val="right" w:leader="hyphen" w:pos="9040"/>
        </w:tabs>
      </w:pPr>
      <w:r>
        <w:rPr>
          <w:rFonts w:hint="eastAsia"/>
          <w:color w:val="auto"/>
        </w:rPr>
        <w:t xml:space="preserve">第八章 </w:t>
      </w:r>
      <w:r>
        <w:rPr>
          <w:rFonts w:hint="eastAsia"/>
          <w:color w:val="auto"/>
          <w:highlight w:val="none"/>
        </w:rPr>
        <w:t>投标文件格式</w:t>
      </w:r>
      <w:r>
        <w:tab/>
      </w:r>
      <w:r>
        <w:fldChar w:fldCharType="begin"/>
      </w:r>
      <w:r>
        <w:instrText xml:space="preserve"> PAGEREF _Toc3417 \h </w:instrText>
      </w:r>
      <w:r>
        <w:fldChar w:fldCharType="separate"/>
      </w:r>
      <w:r>
        <w:t>62</w:t>
      </w:r>
      <w:r>
        <w:fldChar w:fldCharType="end"/>
      </w:r>
    </w:p>
    <w:p w14:paraId="75CFCB3A">
      <w:pPr>
        <w:pStyle w:val="14"/>
        <w:tabs>
          <w:tab w:val="right" w:leader="hyphen" w:pos="9040"/>
        </w:tabs>
      </w:pPr>
      <w:r>
        <w:rPr>
          <w:rFonts w:hint="eastAsia"/>
          <w:color w:val="auto"/>
        </w:rPr>
        <w:t xml:space="preserve">第九章 </w:t>
      </w:r>
      <w:r>
        <w:rPr>
          <w:rFonts w:hint="eastAsia"/>
          <w:color w:val="auto"/>
          <w:highlight w:val="none"/>
          <w:lang w:val="en-US" w:eastAsia="zh-CN"/>
        </w:rPr>
        <w:t>最高</w:t>
      </w:r>
      <w:r>
        <w:rPr>
          <w:rFonts w:hint="eastAsia" w:ascii="宋体" w:hAnsi="宋体" w:cs="宋体"/>
          <w:color w:val="auto"/>
          <w:highlight w:val="none"/>
          <w:lang w:val="en-US" w:eastAsia="zh-CN"/>
        </w:rPr>
        <w:t>投标</w:t>
      </w:r>
      <w:r>
        <w:rPr>
          <w:rFonts w:hint="eastAsia"/>
          <w:color w:val="auto"/>
          <w:highlight w:val="none"/>
          <w:lang w:val="en-US" w:eastAsia="zh-CN"/>
        </w:rPr>
        <w:t>限价明细表</w:t>
      </w:r>
      <w:r>
        <w:tab/>
      </w:r>
      <w:r>
        <w:fldChar w:fldCharType="begin"/>
      </w:r>
      <w:r>
        <w:instrText xml:space="preserve"> PAGEREF _Toc1094 \h </w:instrText>
      </w:r>
      <w:r>
        <w:fldChar w:fldCharType="separate"/>
      </w:r>
      <w:r>
        <w:t>91</w:t>
      </w:r>
      <w:r>
        <w:fldChar w:fldCharType="end"/>
      </w:r>
    </w:p>
    <w:p w14:paraId="72B67E7B">
      <w:pPr>
        <w:pStyle w:val="14"/>
        <w:tabs>
          <w:tab w:val="right" w:leader="dot" w:pos="9030"/>
        </w:tabs>
        <w:spacing w:line="360" w:lineRule="auto"/>
        <w:rPr>
          <w:rFonts w:ascii="宋体" w:hAnsi="宋体" w:cs="宋体"/>
          <w:color w:val="auto"/>
          <w:highlight w:val="none"/>
        </w:rPr>
      </w:pPr>
      <w:r>
        <w:rPr>
          <w:rFonts w:hint="eastAsia" w:ascii="宋体" w:hAnsi="宋体" w:cs="宋体"/>
          <w:color w:val="auto"/>
          <w:szCs w:val="36"/>
          <w:highlight w:val="none"/>
        </w:rPr>
        <w:fldChar w:fldCharType="end"/>
      </w:r>
      <w:bookmarkStart w:id="5" w:name="_Toc443505819"/>
      <w:bookmarkEnd w:id="5"/>
      <w:bookmarkStart w:id="6" w:name="_Toc152042303"/>
      <w:bookmarkEnd w:id="6"/>
      <w:bookmarkStart w:id="7" w:name="_Toc152045527"/>
      <w:bookmarkEnd w:id="7"/>
      <w:bookmarkStart w:id="8" w:name="_Toc144974494"/>
      <w:bookmarkEnd w:id="8"/>
      <w:bookmarkStart w:id="9" w:name="_Toc144974495"/>
      <w:bookmarkEnd w:id="9"/>
      <w:bookmarkStart w:id="10" w:name="_Toc247513950"/>
      <w:bookmarkEnd w:id="10"/>
      <w:bookmarkStart w:id="11" w:name="_Toc247513949"/>
      <w:bookmarkEnd w:id="11"/>
      <w:bookmarkStart w:id="12" w:name="_Toc152042302"/>
      <w:bookmarkEnd w:id="12"/>
      <w:bookmarkStart w:id="13" w:name="_Toc247527551"/>
      <w:bookmarkEnd w:id="13"/>
      <w:bookmarkStart w:id="14" w:name="_Toc247527550"/>
      <w:bookmarkEnd w:id="14"/>
      <w:bookmarkStart w:id="15" w:name="_Toc152045526"/>
      <w:bookmarkEnd w:id="15"/>
      <w:bookmarkStart w:id="16" w:name="_Toc5620293"/>
      <w:r>
        <w:rPr>
          <w:rFonts w:ascii="宋体" w:hAnsi="宋体" w:cs="宋体"/>
          <w:color w:val="auto"/>
          <w:highlight w:val="none"/>
        </w:rPr>
        <w:br w:type="page"/>
      </w:r>
      <w:bookmarkStart w:id="17" w:name="_Toc28568"/>
      <w:r>
        <w:rPr>
          <w:rFonts w:hint="eastAsia" w:ascii="宋体" w:hAnsi="宋体" w:cs="宋体"/>
          <w:color w:val="auto"/>
          <w:highlight w:val="none"/>
        </w:rPr>
        <w:t>招标公告（另册）</w:t>
      </w:r>
      <w:bookmarkEnd w:id="16"/>
      <w:bookmarkEnd w:id="17"/>
    </w:p>
    <w:p w14:paraId="7A1D529D">
      <w:pPr>
        <w:pStyle w:val="3"/>
        <w:numPr>
          <w:ilvl w:val="0"/>
          <w:numId w:val="1"/>
        </w:numPr>
        <w:tabs>
          <w:tab w:val="left" w:pos="0"/>
        </w:tabs>
        <w:spacing w:before="0" w:after="0" w:line="240" w:lineRule="auto"/>
        <w:jc w:val="center"/>
        <w:rPr>
          <w:color w:val="auto"/>
          <w:highlight w:val="none"/>
          <w:lang w:val="zh-CN"/>
        </w:rPr>
      </w:pPr>
      <w:r>
        <w:rPr>
          <w:rFonts w:hint="eastAsia"/>
          <w:color w:val="auto"/>
          <w:highlight w:val="none"/>
        </w:rPr>
        <w:br w:type="page"/>
      </w:r>
      <w:bookmarkStart w:id="18" w:name="_Toc30749"/>
      <w:bookmarkEnd w:id="18"/>
      <w:bookmarkStart w:id="19" w:name="_Toc144974496"/>
      <w:bookmarkEnd w:id="19"/>
      <w:bookmarkStart w:id="20" w:name="_Toc152042304"/>
      <w:bookmarkEnd w:id="20"/>
      <w:bookmarkStart w:id="21" w:name="_Toc247527552"/>
      <w:bookmarkEnd w:id="21"/>
      <w:bookmarkStart w:id="22" w:name="_Toc152045528"/>
      <w:bookmarkEnd w:id="22"/>
      <w:bookmarkStart w:id="23" w:name="_Toc247513951"/>
      <w:bookmarkEnd w:id="23"/>
      <w:bookmarkStart w:id="24" w:name="_Toc6703"/>
      <w:bookmarkEnd w:id="24"/>
      <w:bookmarkStart w:id="25" w:name="_Toc12275"/>
      <w:bookmarkEnd w:id="25"/>
      <w:bookmarkStart w:id="26" w:name="_Toc362816479"/>
      <w:bookmarkEnd w:id="26"/>
      <w:bookmarkStart w:id="27" w:name="_Toc443505821"/>
      <w:bookmarkEnd w:id="27"/>
      <w:bookmarkStart w:id="28" w:name="_Toc357089510"/>
      <w:bookmarkEnd w:id="28"/>
      <w:bookmarkStart w:id="29" w:name="_Toc300834948"/>
      <w:bookmarkEnd w:id="29"/>
      <w:bookmarkStart w:id="30" w:name="_Toc11945"/>
      <w:bookmarkStart w:id="31" w:name="_Toc18684"/>
      <w:bookmarkStart w:id="32" w:name="_Toc11050"/>
      <w:bookmarkStart w:id="33" w:name="_Toc5620295"/>
      <w:r>
        <w:rPr>
          <w:rFonts w:hint="eastAsia"/>
          <w:color w:val="auto"/>
          <w:highlight w:val="none"/>
        </w:rPr>
        <w:t>投标人须知</w:t>
      </w:r>
      <w:bookmarkEnd w:id="30"/>
    </w:p>
    <w:p w14:paraId="79DBBBE9">
      <w:pPr>
        <w:pStyle w:val="4"/>
        <w:spacing w:before="100" w:after="100" w:line="240" w:lineRule="auto"/>
        <w:jc w:val="center"/>
        <w:rPr>
          <w:rFonts w:ascii="宋体" w:hAnsi="宋体" w:eastAsia="宋体" w:cs="宋体"/>
          <w:color w:val="auto"/>
          <w:highlight w:val="none"/>
          <w:lang w:val="zh-CN"/>
        </w:rPr>
      </w:pPr>
      <w:bookmarkStart w:id="34" w:name="_Toc152005894"/>
      <w:bookmarkStart w:id="35" w:name="_Toc29177"/>
      <w:r>
        <w:rPr>
          <w:rFonts w:hint="eastAsia" w:ascii="宋体" w:hAnsi="宋体" w:eastAsia="宋体" w:cs="宋体"/>
          <w:color w:val="auto"/>
          <w:highlight w:val="none"/>
          <w:lang w:val="zh-CN"/>
        </w:rPr>
        <w:t>投标人须知前附表</w:t>
      </w:r>
      <w:bookmarkEnd w:id="31"/>
      <w:bookmarkEnd w:id="32"/>
      <w:bookmarkEnd w:id="33"/>
      <w:bookmarkEnd w:id="34"/>
      <w:bookmarkEnd w:id="35"/>
    </w:p>
    <w:tbl>
      <w:tblPr>
        <w:tblStyle w:val="20"/>
        <w:tblW w:w="10025" w:type="dxa"/>
        <w:jc w:val="center"/>
        <w:tblLayout w:type="fixed"/>
        <w:tblCellMar>
          <w:top w:w="0" w:type="dxa"/>
          <w:left w:w="108" w:type="dxa"/>
          <w:bottom w:w="0" w:type="dxa"/>
          <w:right w:w="108" w:type="dxa"/>
        </w:tblCellMar>
      </w:tblPr>
      <w:tblGrid>
        <w:gridCol w:w="883"/>
        <w:gridCol w:w="2509"/>
        <w:gridCol w:w="6633"/>
      </w:tblGrid>
      <w:tr w14:paraId="3A4CBBE3">
        <w:tblPrEx>
          <w:tblCellMar>
            <w:top w:w="0" w:type="dxa"/>
            <w:left w:w="108" w:type="dxa"/>
            <w:bottom w:w="0" w:type="dxa"/>
            <w:right w:w="108" w:type="dxa"/>
          </w:tblCellMar>
        </w:tblPrEx>
        <w:trPr>
          <w:trHeight w:val="454" w:hRule="atLeast"/>
          <w:tblHeade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C6DBF9F">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2509" w:type="dxa"/>
            <w:tcBorders>
              <w:top w:val="single" w:color="000000" w:sz="4" w:space="0"/>
              <w:left w:val="single" w:color="000000" w:sz="4" w:space="0"/>
              <w:bottom w:val="single" w:color="000000" w:sz="4" w:space="0"/>
              <w:right w:val="single" w:color="000000" w:sz="4" w:space="0"/>
            </w:tcBorders>
            <w:vAlign w:val="center"/>
          </w:tcPr>
          <w:p w14:paraId="1AADD44E">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  款  名  称</w:t>
            </w:r>
          </w:p>
        </w:tc>
        <w:tc>
          <w:tcPr>
            <w:tcW w:w="6633" w:type="dxa"/>
            <w:tcBorders>
              <w:top w:val="single" w:color="000000" w:sz="4" w:space="0"/>
              <w:left w:val="single" w:color="000000" w:sz="4" w:space="0"/>
              <w:bottom w:val="single" w:color="000000" w:sz="4" w:space="0"/>
              <w:right w:val="single" w:color="000000" w:sz="4" w:space="0"/>
            </w:tcBorders>
            <w:vAlign w:val="center"/>
          </w:tcPr>
          <w:p w14:paraId="6E925316">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编  列  内  容</w:t>
            </w:r>
          </w:p>
        </w:tc>
      </w:tr>
      <w:tr w14:paraId="6568AB28">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8E023A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1.1.2</w:t>
            </w:r>
          </w:p>
        </w:tc>
        <w:tc>
          <w:tcPr>
            <w:tcW w:w="2509" w:type="dxa"/>
            <w:tcBorders>
              <w:top w:val="single" w:color="000000" w:sz="4" w:space="0"/>
              <w:left w:val="single" w:color="000000" w:sz="4" w:space="0"/>
              <w:bottom w:val="single" w:color="000000" w:sz="4" w:space="0"/>
              <w:right w:val="single" w:color="000000" w:sz="4" w:space="0"/>
            </w:tcBorders>
            <w:vAlign w:val="center"/>
          </w:tcPr>
          <w:p w14:paraId="4991781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招标人</w:t>
            </w:r>
          </w:p>
        </w:tc>
        <w:tc>
          <w:tcPr>
            <w:tcW w:w="6633" w:type="dxa"/>
            <w:tcBorders>
              <w:top w:val="single" w:color="000000" w:sz="4" w:space="0"/>
              <w:left w:val="single" w:color="000000" w:sz="4" w:space="0"/>
              <w:bottom w:val="single" w:color="000000" w:sz="4" w:space="0"/>
              <w:right w:val="single" w:color="000000" w:sz="4" w:space="0"/>
            </w:tcBorders>
            <w:vAlign w:val="center"/>
          </w:tcPr>
          <w:p w14:paraId="2930CC98">
            <w:pPr>
              <w:spacing w:line="360" w:lineRule="auto"/>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广州市番禺区石碁镇桥山村股份合作经济社</w:t>
            </w:r>
          </w:p>
          <w:p w14:paraId="28F5F42D">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广州市番禺区石碁镇桥山村村委</w:t>
            </w:r>
          </w:p>
          <w:p w14:paraId="145F8A84">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曾先生</w:t>
            </w:r>
          </w:p>
          <w:p w14:paraId="5EF6C9C2">
            <w:pPr>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020-34555693</w:t>
            </w:r>
          </w:p>
        </w:tc>
      </w:tr>
      <w:tr w14:paraId="50E1C682">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D4165E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1.1.3</w:t>
            </w:r>
          </w:p>
        </w:tc>
        <w:tc>
          <w:tcPr>
            <w:tcW w:w="2509" w:type="dxa"/>
            <w:tcBorders>
              <w:top w:val="single" w:color="000000" w:sz="4" w:space="0"/>
              <w:left w:val="single" w:color="000000" w:sz="4" w:space="0"/>
              <w:bottom w:val="single" w:color="000000" w:sz="4" w:space="0"/>
              <w:right w:val="single" w:color="000000" w:sz="4" w:space="0"/>
            </w:tcBorders>
            <w:vAlign w:val="center"/>
          </w:tcPr>
          <w:p w14:paraId="3B1A95D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招标代理机构</w:t>
            </w:r>
          </w:p>
        </w:tc>
        <w:tc>
          <w:tcPr>
            <w:tcW w:w="6633" w:type="dxa"/>
            <w:tcBorders>
              <w:top w:val="single" w:color="000000" w:sz="4" w:space="0"/>
              <w:left w:val="single" w:color="000000" w:sz="4" w:space="0"/>
              <w:bottom w:val="single" w:color="000000" w:sz="4" w:space="0"/>
              <w:right w:val="single" w:color="000000" w:sz="4" w:space="0"/>
            </w:tcBorders>
            <w:vAlign w:val="center"/>
          </w:tcPr>
          <w:p w14:paraId="45906B84">
            <w:pPr>
              <w:spacing w:line="360" w:lineRule="auto"/>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钺法咨询有限公司</w:t>
            </w:r>
          </w:p>
          <w:p w14:paraId="3E2FA892">
            <w:pPr>
              <w:spacing w:line="36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广州市海珠区新港东路90号</w:t>
            </w:r>
          </w:p>
          <w:p w14:paraId="7F4DA6ED">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李工</w:t>
            </w:r>
          </w:p>
          <w:p w14:paraId="68BC497C">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020-89119819、4008738338</w:t>
            </w:r>
          </w:p>
        </w:tc>
      </w:tr>
      <w:tr w14:paraId="479387D9">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FF0DCE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1.1.4</w:t>
            </w:r>
          </w:p>
        </w:tc>
        <w:tc>
          <w:tcPr>
            <w:tcW w:w="2509" w:type="dxa"/>
            <w:tcBorders>
              <w:top w:val="single" w:color="000000" w:sz="4" w:space="0"/>
              <w:left w:val="single" w:color="000000" w:sz="4" w:space="0"/>
              <w:bottom w:val="single" w:color="000000" w:sz="4" w:space="0"/>
              <w:right w:val="single" w:color="000000" w:sz="4" w:space="0"/>
            </w:tcBorders>
            <w:vAlign w:val="center"/>
          </w:tcPr>
          <w:p w14:paraId="2B4FEAC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6633" w:type="dxa"/>
            <w:tcBorders>
              <w:top w:val="single" w:color="000000" w:sz="4" w:space="0"/>
              <w:left w:val="single" w:color="000000" w:sz="4" w:space="0"/>
              <w:bottom w:val="single" w:color="000000" w:sz="4" w:space="0"/>
              <w:right w:val="single" w:color="000000" w:sz="4" w:space="0"/>
            </w:tcBorders>
            <w:vAlign w:val="center"/>
          </w:tcPr>
          <w:p w14:paraId="307E2080">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番禺区桥山村村镇工业集聚区更新改造试点项目（一期、二期、三期）勘察设计施工总承包及运营（EPCO）</w:t>
            </w:r>
          </w:p>
        </w:tc>
      </w:tr>
      <w:tr w14:paraId="16FF1513">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4E64CA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1.1.5</w:t>
            </w:r>
          </w:p>
        </w:tc>
        <w:tc>
          <w:tcPr>
            <w:tcW w:w="2509" w:type="dxa"/>
            <w:tcBorders>
              <w:top w:val="single" w:color="000000" w:sz="4" w:space="0"/>
              <w:left w:val="single" w:color="000000" w:sz="4" w:space="0"/>
              <w:bottom w:val="single" w:color="000000" w:sz="4" w:space="0"/>
              <w:right w:val="single" w:color="000000" w:sz="4" w:space="0"/>
            </w:tcBorders>
            <w:vAlign w:val="center"/>
          </w:tcPr>
          <w:p w14:paraId="2D777E8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建设地点</w:t>
            </w:r>
          </w:p>
        </w:tc>
        <w:tc>
          <w:tcPr>
            <w:tcW w:w="6633" w:type="dxa"/>
            <w:tcBorders>
              <w:top w:val="single" w:color="000000" w:sz="4" w:space="0"/>
              <w:left w:val="single" w:color="000000" w:sz="4" w:space="0"/>
              <w:bottom w:val="single" w:color="000000" w:sz="4" w:space="0"/>
              <w:right w:val="single" w:color="000000" w:sz="4" w:space="0"/>
            </w:tcBorders>
            <w:vAlign w:val="center"/>
          </w:tcPr>
          <w:p w14:paraId="4F31BDC2">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2A212415">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01D2B9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1.2.1</w:t>
            </w:r>
          </w:p>
        </w:tc>
        <w:tc>
          <w:tcPr>
            <w:tcW w:w="2509" w:type="dxa"/>
            <w:tcBorders>
              <w:top w:val="single" w:color="000000" w:sz="4" w:space="0"/>
              <w:left w:val="single" w:color="000000" w:sz="4" w:space="0"/>
              <w:bottom w:val="single" w:color="000000" w:sz="4" w:space="0"/>
              <w:right w:val="single" w:color="000000" w:sz="4" w:space="0"/>
            </w:tcBorders>
            <w:vAlign w:val="center"/>
          </w:tcPr>
          <w:p w14:paraId="2FBBB55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资金来源及比例</w:t>
            </w:r>
          </w:p>
        </w:tc>
        <w:tc>
          <w:tcPr>
            <w:tcW w:w="6633" w:type="dxa"/>
            <w:tcBorders>
              <w:top w:val="single" w:color="000000" w:sz="4" w:space="0"/>
              <w:left w:val="single" w:color="000000" w:sz="4" w:space="0"/>
              <w:bottom w:val="single" w:color="000000" w:sz="4" w:space="0"/>
              <w:right w:val="single" w:color="000000" w:sz="4" w:space="0"/>
            </w:tcBorders>
            <w:vAlign w:val="center"/>
          </w:tcPr>
          <w:p w14:paraId="0118E4C4">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3989F0D5">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81E0C9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1.2.2</w:t>
            </w:r>
          </w:p>
        </w:tc>
        <w:tc>
          <w:tcPr>
            <w:tcW w:w="2509" w:type="dxa"/>
            <w:tcBorders>
              <w:top w:val="single" w:color="000000" w:sz="4" w:space="0"/>
              <w:left w:val="single" w:color="000000" w:sz="4" w:space="0"/>
              <w:bottom w:val="single" w:color="000000" w:sz="4" w:space="0"/>
              <w:right w:val="single" w:color="000000" w:sz="4" w:space="0"/>
            </w:tcBorders>
            <w:vAlign w:val="center"/>
          </w:tcPr>
          <w:p w14:paraId="5C72308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资金落实情况</w:t>
            </w:r>
          </w:p>
        </w:tc>
        <w:tc>
          <w:tcPr>
            <w:tcW w:w="6633" w:type="dxa"/>
            <w:tcBorders>
              <w:top w:val="single" w:color="000000" w:sz="4" w:space="0"/>
              <w:left w:val="single" w:color="000000" w:sz="4" w:space="0"/>
              <w:bottom w:val="single" w:color="000000" w:sz="4" w:space="0"/>
              <w:right w:val="single" w:color="000000" w:sz="4" w:space="0"/>
            </w:tcBorders>
            <w:vAlign w:val="center"/>
          </w:tcPr>
          <w:p w14:paraId="7897AE47">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已落实</w:t>
            </w:r>
          </w:p>
        </w:tc>
      </w:tr>
      <w:tr w14:paraId="3BEABFA3">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C280DE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1.3.1</w:t>
            </w:r>
          </w:p>
        </w:tc>
        <w:tc>
          <w:tcPr>
            <w:tcW w:w="2509" w:type="dxa"/>
            <w:tcBorders>
              <w:top w:val="single" w:color="000000" w:sz="4" w:space="0"/>
              <w:left w:val="single" w:color="000000" w:sz="4" w:space="0"/>
              <w:bottom w:val="single" w:color="000000" w:sz="4" w:space="0"/>
              <w:right w:val="single" w:color="000000" w:sz="4" w:space="0"/>
            </w:tcBorders>
            <w:vAlign w:val="center"/>
          </w:tcPr>
          <w:p w14:paraId="2A8C93C2">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招标范围</w:t>
            </w:r>
          </w:p>
        </w:tc>
        <w:tc>
          <w:tcPr>
            <w:tcW w:w="6633" w:type="dxa"/>
            <w:tcBorders>
              <w:top w:val="single" w:color="000000" w:sz="4" w:space="0"/>
              <w:left w:val="single" w:color="000000" w:sz="4" w:space="0"/>
              <w:bottom w:val="single" w:color="000000" w:sz="4" w:space="0"/>
              <w:right w:val="single" w:color="000000" w:sz="4" w:space="0"/>
            </w:tcBorders>
            <w:vAlign w:val="center"/>
          </w:tcPr>
          <w:p w14:paraId="436EA852">
            <w:pPr>
              <w:spacing w:line="360" w:lineRule="auto"/>
              <w:rPr>
                <w:rFonts w:ascii="宋体" w:hAnsi="宋体" w:cs="宋体"/>
                <w:color w:val="auto"/>
                <w:kern w:val="1"/>
                <w:szCs w:val="21"/>
                <w:highlight w:val="none"/>
              </w:rPr>
            </w:pPr>
            <w:r>
              <w:rPr>
                <w:rFonts w:ascii="宋体" w:hAnsi="宋体" w:cs="宋体"/>
                <w:color w:val="auto"/>
                <w:szCs w:val="21"/>
                <w:highlight w:val="none"/>
              </w:rPr>
              <w:t>详见招标公告。</w:t>
            </w:r>
          </w:p>
        </w:tc>
      </w:tr>
      <w:tr w14:paraId="70C98F7C">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6F3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1.3.2</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C300">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计划工期</w:t>
            </w:r>
          </w:p>
        </w:tc>
        <w:tc>
          <w:tcPr>
            <w:tcW w:w="6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E94C6">
            <w:pPr>
              <w:spacing w:line="360" w:lineRule="auto"/>
              <w:rPr>
                <w:rFonts w:ascii="宋体" w:hAnsi="宋体" w:cs="宋体"/>
                <w:color w:val="auto"/>
                <w:kern w:val="1"/>
                <w:szCs w:val="21"/>
                <w:highlight w:val="none"/>
              </w:rPr>
            </w:pPr>
            <w:r>
              <w:rPr>
                <w:rFonts w:ascii="宋体" w:hAnsi="宋体" w:cs="宋体"/>
                <w:color w:val="auto"/>
                <w:szCs w:val="21"/>
                <w:highlight w:val="none"/>
              </w:rPr>
              <w:t>详见招标公告。</w:t>
            </w:r>
          </w:p>
        </w:tc>
      </w:tr>
      <w:tr w14:paraId="644E3C87">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BC7065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1.3.3</w:t>
            </w:r>
          </w:p>
        </w:tc>
        <w:tc>
          <w:tcPr>
            <w:tcW w:w="2509" w:type="dxa"/>
            <w:tcBorders>
              <w:top w:val="single" w:color="000000" w:sz="4" w:space="0"/>
              <w:left w:val="single" w:color="000000" w:sz="4" w:space="0"/>
              <w:bottom w:val="single" w:color="000000" w:sz="4" w:space="0"/>
              <w:right w:val="single" w:color="000000" w:sz="4" w:space="0"/>
            </w:tcBorders>
            <w:vAlign w:val="center"/>
          </w:tcPr>
          <w:p w14:paraId="61FD906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质量标准</w:t>
            </w:r>
          </w:p>
        </w:tc>
        <w:tc>
          <w:tcPr>
            <w:tcW w:w="6633" w:type="dxa"/>
            <w:tcBorders>
              <w:top w:val="single" w:color="000000" w:sz="4" w:space="0"/>
              <w:left w:val="single" w:color="000000" w:sz="4" w:space="0"/>
              <w:bottom w:val="single" w:color="000000" w:sz="4" w:space="0"/>
              <w:right w:val="single" w:color="000000" w:sz="4" w:space="0"/>
            </w:tcBorders>
            <w:vAlign w:val="center"/>
          </w:tcPr>
          <w:p w14:paraId="0EFC973D">
            <w:pPr>
              <w:spacing w:line="360" w:lineRule="auto"/>
              <w:rPr>
                <w:color w:val="auto"/>
                <w:highlight w:val="none"/>
              </w:rPr>
            </w:pPr>
            <w:r>
              <w:rPr>
                <w:rFonts w:ascii="宋体" w:hAnsi="宋体" w:cs="宋体"/>
                <w:color w:val="auto"/>
                <w:szCs w:val="21"/>
                <w:highlight w:val="none"/>
              </w:rPr>
              <w:t>详见招标公告。</w:t>
            </w:r>
          </w:p>
        </w:tc>
      </w:tr>
      <w:tr w14:paraId="4AF5EAF4">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3FE8D102">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1.4.1</w:t>
            </w:r>
          </w:p>
        </w:tc>
        <w:tc>
          <w:tcPr>
            <w:tcW w:w="2509" w:type="dxa"/>
            <w:tcBorders>
              <w:top w:val="single" w:color="000000" w:sz="4" w:space="0"/>
              <w:left w:val="single" w:color="000000" w:sz="4" w:space="0"/>
              <w:bottom w:val="single" w:color="000000" w:sz="4" w:space="0"/>
              <w:right w:val="single" w:color="000000" w:sz="4" w:space="0"/>
            </w:tcBorders>
            <w:vAlign w:val="center"/>
          </w:tcPr>
          <w:p w14:paraId="4942575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投标人资质条件、能力和信誉</w:t>
            </w:r>
          </w:p>
        </w:tc>
        <w:tc>
          <w:tcPr>
            <w:tcW w:w="6633" w:type="dxa"/>
            <w:tcBorders>
              <w:top w:val="single" w:color="000000" w:sz="4" w:space="0"/>
              <w:left w:val="single" w:color="000000" w:sz="4" w:space="0"/>
              <w:bottom w:val="single" w:color="000000" w:sz="4" w:space="0"/>
              <w:right w:val="single" w:color="000000" w:sz="4" w:space="0"/>
            </w:tcBorders>
            <w:vAlign w:val="center"/>
          </w:tcPr>
          <w:p w14:paraId="679C77E2">
            <w:pPr>
              <w:spacing w:line="360" w:lineRule="auto"/>
              <w:rPr>
                <w:rFonts w:ascii="宋体" w:hAnsi="宋体" w:cs="宋体"/>
                <w:color w:val="auto"/>
                <w:szCs w:val="21"/>
                <w:highlight w:val="none"/>
              </w:rPr>
            </w:pPr>
            <w:r>
              <w:rPr>
                <w:rFonts w:ascii="宋体" w:hAnsi="宋体" w:cs="宋体"/>
                <w:color w:val="auto"/>
                <w:szCs w:val="21"/>
                <w:highlight w:val="none"/>
              </w:rPr>
              <w:t>资质条件：见招标公告投标人资格要求</w:t>
            </w:r>
          </w:p>
          <w:p w14:paraId="40AB80C6">
            <w:pPr>
              <w:spacing w:line="360" w:lineRule="auto"/>
              <w:rPr>
                <w:rFonts w:ascii="宋体" w:hAnsi="宋体" w:cs="宋体"/>
                <w:color w:val="auto"/>
                <w:szCs w:val="21"/>
                <w:highlight w:val="none"/>
              </w:rPr>
            </w:pPr>
            <w:r>
              <w:rPr>
                <w:rFonts w:ascii="宋体" w:hAnsi="宋体" w:cs="宋体"/>
                <w:color w:val="auto"/>
                <w:szCs w:val="21"/>
                <w:highlight w:val="none"/>
              </w:rPr>
              <w:t>财务要求：/</w:t>
            </w:r>
          </w:p>
          <w:p w14:paraId="4B3D323B">
            <w:pPr>
              <w:spacing w:line="360" w:lineRule="auto"/>
              <w:rPr>
                <w:rFonts w:ascii="宋体" w:hAnsi="宋体" w:cs="宋体"/>
                <w:color w:val="auto"/>
                <w:szCs w:val="21"/>
                <w:highlight w:val="none"/>
              </w:rPr>
            </w:pPr>
            <w:r>
              <w:rPr>
                <w:rFonts w:ascii="宋体" w:hAnsi="宋体" w:cs="宋体"/>
                <w:color w:val="auto"/>
                <w:szCs w:val="21"/>
                <w:highlight w:val="none"/>
              </w:rPr>
              <w:t>业绩要求：/</w:t>
            </w:r>
          </w:p>
          <w:p w14:paraId="0C735E40">
            <w:pPr>
              <w:spacing w:line="360" w:lineRule="auto"/>
              <w:rPr>
                <w:rFonts w:ascii="宋体" w:hAnsi="宋体" w:cs="宋体"/>
                <w:color w:val="auto"/>
                <w:szCs w:val="21"/>
                <w:highlight w:val="none"/>
              </w:rPr>
            </w:pPr>
            <w:r>
              <w:rPr>
                <w:rFonts w:ascii="宋体" w:hAnsi="宋体" w:cs="宋体"/>
                <w:color w:val="auto"/>
                <w:szCs w:val="21"/>
                <w:highlight w:val="none"/>
              </w:rPr>
              <w:t>信誉要求：/</w:t>
            </w:r>
          </w:p>
          <w:p w14:paraId="1C941EEC">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项目负责人（兼</w:t>
            </w:r>
            <w:r>
              <w:rPr>
                <w:rFonts w:hint="eastAsia" w:ascii="宋体" w:hAnsi="宋体" w:cs="宋体"/>
                <w:color w:val="auto"/>
                <w:szCs w:val="21"/>
                <w:highlight w:val="none"/>
              </w:rPr>
              <w:t>施工负责人</w:t>
            </w:r>
            <w:r>
              <w:rPr>
                <w:rFonts w:hint="eastAsia" w:ascii="宋体" w:hAnsi="宋体" w:cs="宋体"/>
                <w:color w:val="auto"/>
                <w:szCs w:val="21"/>
                <w:highlight w:val="none"/>
                <w:lang w:eastAsia="zh-CN"/>
              </w:rPr>
              <w:t>）</w:t>
            </w:r>
            <w:r>
              <w:rPr>
                <w:rFonts w:ascii="宋体" w:hAnsi="宋体" w:cs="宋体"/>
                <w:color w:val="auto"/>
                <w:szCs w:val="21"/>
                <w:highlight w:val="none"/>
              </w:rPr>
              <w:t>的资格要求：见招标公告投标人资格要求</w:t>
            </w:r>
          </w:p>
          <w:p w14:paraId="0C07E0AD">
            <w:pPr>
              <w:spacing w:line="360" w:lineRule="auto"/>
              <w:rPr>
                <w:rFonts w:ascii="宋体" w:hAnsi="宋体" w:cs="宋体"/>
                <w:color w:val="auto"/>
                <w:szCs w:val="21"/>
                <w:highlight w:val="none"/>
              </w:rPr>
            </w:pPr>
            <w:r>
              <w:rPr>
                <w:rFonts w:ascii="宋体" w:hAnsi="宋体" w:cs="宋体"/>
                <w:color w:val="auto"/>
                <w:szCs w:val="21"/>
                <w:highlight w:val="none"/>
              </w:rPr>
              <w:t>设计负责人的资格要求：见招标公告投标人资格要求</w:t>
            </w:r>
          </w:p>
          <w:p w14:paraId="07719C2B">
            <w:pPr>
              <w:spacing w:line="360" w:lineRule="auto"/>
              <w:rPr>
                <w:rFonts w:ascii="宋体" w:hAnsi="宋体" w:cs="宋体"/>
                <w:color w:val="auto"/>
                <w:szCs w:val="21"/>
                <w:highlight w:val="none"/>
              </w:rPr>
            </w:pPr>
            <w:r>
              <w:rPr>
                <w:rFonts w:ascii="宋体" w:hAnsi="宋体" w:cs="宋体"/>
                <w:color w:val="auto"/>
                <w:szCs w:val="21"/>
                <w:highlight w:val="none"/>
              </w:rPr>
              <w:t>技术负责人的资格要求：见招标公告投标人资格要求</w:t>
            </w:r>
          </w:p>
          <w:p w14:paraId="529CB51A">
            <w:pPr>
              <w:spacing w:line="360" w:lineRule="auto"/>
              <w:rPr>
                <w:rFonts w:ascii="宋体" w:hAnsi="宋体" w:cs="宋体"/>
                <w:color w:val="auto"/>
                <w:szCs w:val="21"/>
                <w:highlight w:val="none"/>
              </w:rPr>
            </w:pPr>
            <w:r>
              <w:rPr>
                <w:rFonts w:ascii="宋体" w:hAnsi="宋体" w:cs="宋体"/>
                <w:color w:val="auto"/>
                <w:szCs w:val="21"/>
                <w:highlight w:val="none"/>
              </w:rPr>
              <w:t>专职安全员的资格要求：见招标公告投标人资格要求</w:t>
            </w:r>
          </w:p>
          <w:p w14:paraId="6A992C72">
            <w:pPr>
              <w:spacing w:line="360" w:lineRule="auto"/>
              <w:rPr>
                <w:rFonts w:ascii="宋体" w:hAnsi="宋体" w:cs="宋体"/>
                <w:color w:val="auto"/>
                <w:szCs w:val="21"/>
                <w:highlight w:val="none"/>
              </w:rPr>
            </w:pPr>
            <w:r>
              <w:rPr>
                <w:rFonts w:ascii="宋体" w:hAnsi="宋体" w:cs="宋体"/>
                <w:color w:val="auto"/>
                <w:szCs w:val="21"/>
                <w:highlight w:val="none"/>
              </w:rPr>
              <w:t>施工机械设备：/</w:t>
            </w:r>
          </w:p>
          <w:p w14:paraId="0222F1B1">
            <w:pPr>
              <w:spacing w:line="360" w:lineRule="auto"/>
              <w:rPr>
                <w:rFonts w:ascii="宋体" w:hAnsi="宋体" w:cs="宋体"/>
                <w:color w:val="auto"/>
                <w:szCs w:val="21"/>
                <w:highlight w:val="none"/>
              </w:rPr>
            </w:pPr>
            <w:r>
              <w:rPr>
                <w:rFonts w:ascii="宋体" w:hAnsi="宋体" w:cs="宋体"/>
                <w:color w:val="auto"/>
                <w:szCs w:val="21"/>
                <w:highlight w:val="none"/>
              </w:rPr>
              <w:t>项目管理机构及人员：/</w:t>
            </w:r>
          </w:p>
          <w:p w14:paraId="1B36A6C0">
            <w:pPr>
              <w:spacing w:line="360" w:lineRule="auto"/>
              <w:rPr>
                <w:rFonts w:ascii="宋体" w:hAnsi="宋体" w:cs="宋体"/>
                <w:color w:val="auto"/>
                <w:kern w:val="1"/>
                <w:szCs w:val="21"/>
                <w:highlight w:val="none"/>
              </w:rPr>
            </w:pPr>
            <w:r>
              <w:rPr>
                <w:rFonts w:ascii="宋体" w:hAnsi="宋体" w:cs="宋体"/>
                <w:color w:val="auto"/>
                <w:szCs w:val="21"/>
                <w:highlight w:val="none"/>
              </w:rPr>
              <w:t>其他要求：见招标公告投标人资格要求</w:t>
            </w:r>
          </w:p>
        </w:tc>
      </w:tr>
      <w:tr w14:paraId="03DD3344">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F46DFB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1.4.2</w:t>
            </w:r>
          </w:p>
        </w:tc>
        <w:tc>
          <w:tcPr>
            <w:tcW w:w="2509" w:type="dxa"/>
            <w:tcBorders>
              <w:top w:val="single" w:color="000000" w:sz="4" w:space="0"/>
              <w:left w:val="single" w:color="000000" w:sz="4" w:space="0"/>
              <w:bottom w:val="single" w:color="000000" w:sz="4" w:space="0"/>
              <w:right w:val="single" w:color="000000" w:sz="4" w:space="0"/>
            </w:tcBorders>
            <w:vAlign w:val="center"/>
          </w:tcPr>
          <w:p w14:paraId="6A43D1E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是否接受联合体投标</w:t>
            </w:r>
          </w:p>
        </w:tc>
        <w:tc>
          <w:tcPr>
            <w:tcW w:w="6633" w:type="dxa"/>
            <w:tcBorders>
              <w:top w:val="single" w:color="000000" w:sz="4" w:space="0"/>
              <w:left w:val="single" w:color="000000" w:sz="4" w:space="0"/>
              <w:bottom w:val="single" w:color="000000" w:sz="4" w:space="0"/>
              <w:right w:val="single" w:color="000000" w:sz="4" w:space="0"/>
            </w:tcBorders>
            <w:vAlign w:val="center"/>
          </w:tcPr>
          <w:p w14:paraId="23761D55">
            <w:pPr>
              <w:pStyle w:val="8"/>
              <w:spacing w:line="360" w:lineRule="auto"/>
              <w:rPr>
                <w:color w:val="auto"/>
                <w:kern w:val="1"/>
                <w:sz w:val="21"/>
                <w:szCs w:val="21"/>
                <w:highlight w:val="none"/>
              </w:rPr>
            </w:pPr>
            <w:r>
              <w:rPr>
                <w:rFonts w:hint="eastAsia"/>
                <w:color w:val="auto"/>
                <w:kern w:val="1"/>
                <w:sz w:val="21"/>
                <w:szCs w:val="21"/>
                <w:highlight w:val="none"/>
              </w:rPr>
              <w:t>□不接受</w:t>
            </w:r>
          </w:p>
          <w:p w14:paraId="0912328B">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接受，应满足下列要求：</w:t>
            </w:r>
            <w:r>
              <w:rPr>
                <w:rFonts w:ascii="宋体" w:hAnsi="宋体" w:cs="宋体"/>
                <w:color w:val="auto"/>
                <w:szCs w:val="21"/>
                <w:highlight w:val="none"/>
              </w:rPr>
              <w:t>详见招标公告。</w:t>
            </w:r>
          </w:p>
        </w:tc>
      </w:tr>
      <w:tr w14:paraId="403D4CD0">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1192580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1.5</w:t>
            </w:r>
          </w:p>
        </w:tc>
        <w:tc>
          <w:tcPr>
            <w:tcW w:w="2509" w:type="dxa"/>
            <w:tcBorders>
              <w:top w:val="single" w:color="000000" w:sz="4" w:space="0"/>
              <w:left w:val="single" w:color="000000" w:sz="4" w:space="0"/>
              <w:bottom w:val="single" w:color="000000" w:sz="4" w:space="0"/>
              <w:right w:val="single" w:color="000000" w:sz="4" w:space="0"/>
            </w:tcBorders>
            <w:vAlign w:val="center"/>
          </w:tcPr>
          <w:p w14:paraId="520EC3D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费用承担和设计成果补偿</w:t>
            </w:r>
          </w:p>
        </w:tc>
        <w:tc>
          <w:tcPr>
            <w:tcW w:w="6633" w:type="dxa"/>
            <w:tcBorders>
              <w:top w:val="single" w:color="000000" w:sz="4" w:space="0"/>
              <w:left w:val="single" w:color="000000" w:sz="4" w:space="0"/>
              <w:bottom w:val="single" w:color="000000" w:sz="4" w:space="0"/>
              <w:right w:val="single" w:color="000000" w:sz="4" w:space="0"/>
            </w:tcBorders>
            <w:vAlign w:val="center"/>
          </w:tcPr>
          <w:p w14:paraId="2D1FAD7E">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不补偿</w:t>
            </w:r>
          </w:p>
          <w:p w14:paraId="43A1F26B">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□补偿，补偿标准：</w:t>
            </w:r>
            <w:r>
              <w:rPr>
                <w:rFonts w:hint="eastAsia" w:ascii="宋体" w:hAnsi="宋体" w:cs="宋体"/>
                <w:color w:val="auto"/>
                <w:szCs w:val="21"/>
                <w:highlight w:val="none"/>
              </w:rPr>
              <w:t>/</w:t>
            </w:r>
          </w:p>
        </w:tc>
      </w:tr>
      <w:tr w14:paraId="0C89BDB0">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3829647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1.9.1</w:t>
            </w:r>
          </w:p>
        </w:tc>
        <w:tc>
          <w:tcPr>
            <w:tcW w:w="2509" w:type="dxa"/>
            <w:tcBorders>
              <w:top w:val="single" w:color="000000" w:sz="4" w:space="0"/>
              <w:left w:val="single" w:color="000000" w:sz="4" w:space="0"/>
              <w:bottom w:val="single" w:color="000000" w:sz="4" w:space="0"/>
              <w:right w:val="single" w:color="000000" w:sz="4" w:space="0"/>
            </w:tcBorders>
            <w:vAlign w:val="center"/>
          </w:tcPr>
          <w:p w14:paraId="5F6ABAE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踏勘</w:t>
            </w:r>
          </w:p>
        </w:tc>
        <w:tc>
          <w:tcPr>
            <w:tcW w:w="6633" w:type="dxa"/>
            <w:tcBorders>
              <w:top w:val="single" w:color="000000" w:sz="4" w:space="0"/>
              <w:left w:val="single" w:color="000000" w:sz="4" w:space="0"/>
              <w:bottom w:val="single" w:color="000000" w:sz="4" w:space="0"/>
              <w:right w:val="single" w:color="000000" w:sz="4" w:space="0"/>
            </w:tcBorders>
            <w:vAlign w:val="center"/>
          </w:tcPr>
          <w:p w14:paraId="144A8F08">
            <w:pPr>
              <w:tabs>
                <w:tab w:val="center" w:pos="2950"/>
              </w:tabs>
              <w:spacing w:line="360" w:lineRule="auto"/>
              <w:rPr>
                <w:rFonts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不组织：自行踏勘。</w:t>
            </w:r>
          </w:p>
          <w:p w14:paraId="655B69AF">
            <w:pPr>
              <w:tabs>
                <w:tab w:val="center" w:pos="2950"/>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□组织，踏勘时间：</w:t>
            </w:r>
            <w:r>
              <w:rPr>
                <w:rFonts w:hint="eastAsia" w:ascii="宋体" w:hAnsi="宋体" w:cs="宋体"/>
                <w:color w:val="auto"/>
                <w:kern w:val="1"/>
                <w:szCs w:val="21"/>
                <w:highlight w:val="none"/>
              </w:rPr>
              <w:tab/>
            </w:r>
          </w:p>
          <w:p w14:paraId="2641323F">
            <w:pPr>
              <w:tabs>
                <w:tab w:val="center" w:pos="2950"/>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踏勘集中地点：</w:t>
            </w:r>
          </w:p>
        </w:tc>
      </w:tr>
      <w:tr w14:paraId="5B9769B1">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D0779F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1.10.1</w:t>
            </w:r>
          </w:p>
        </w:tc>
        <w:tc>
          <w:tcPr>
            <w:tcW w:w="2509" w:type="dxa"/>
            <w:tcBorders>
              <w:top w:val="single" w:color="000000" w:sz="4" w:space="0"/>
              <w:left w:val="single" w:color="000000" w:sz="4" w:space="0"/>
              <w:bottom w:val="single" w:color="000000" w:sz="4" w:space="0"/>
              <w:right w:val="single" w:color="000000" w:sz="4" w:space="0"/>
            </w:tcBorders>
            <w:vAlign w:val="center"/>
          </w:tcPr>
          <w:p w14:paraId="459EC11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投标预备会</w:t>
            </w:r>
          </w:p>
        </w:tc>
        <w:tc>
          <w:tcPr>
            <w:tcW w:w="6633" w:type="dxa"/>
            <w:tcBorders>
              <w:top w:val="single" w:color="000000" w:sz="4" w:space="0"/>
              <w:left w:val="single" w:color="000000" w:sz="4" w:space="0"/>
              <w:bottom w:val="single" w:color="000000" w:sz="4" w:space="0"/>
              <w:right w:val="single" w:color="000000" w:sz="4" w:space="0"/>
            </w:tcBorders>
            <w:vAlign w:val="center"/>
          </w:tcPr>
          <w:p w14:paraId="3FDE8BBE">
            <w:pPr>
              <w:pStyle w:val="8"/>
              <w:spacing w:line="360" w:lineRule="auto"/>
              <w:rPr>
                <w:color w:val="auto"/>
                <w:kern w:val="1"/>
                <w:sz w:val="21"/>
                <w:szCs w:val="21"/>
                <w:highlight w:val="none"/>
              </w:rPr>
            </w:pPr>
            <w:r>
              <w:rPr>
                <w:rFonts w:hint="eastAsia"/>
                <w:color w:val="auto"/>
                <w:kern w:val="1"/>
                <w:sz w:val="21"/>
                <w:szCs w:val="21"/>
                <w:highlight w:val="none"/>
              </w:rPr>
              <w:t>■不召开</w:t>
            </w:r>
            <w:r>
              <w:rPr>
                <w:color w:val="auto"/>
                <w:sz w:val="21"/>
                <w:szCs w:val="21"/>
                <w:highlight w:val="none"/>
              </w:rPr>
              <w:t>，</w:t>
            </w:r>
            <w:r>
              <w:rPr>
                <w:color w:val="auto"/>
                <w:sz w:val="21"/>
                <w:szCs w:val="21"/>
                <w:highlight w:val="none"/>
                <w:u w:val="single"/>
              </w:rPr>
              <w:t>全过程电子化项目，不举行线下投标预备会，不召开投标预备会。</w:t>
            </w:r>
          </w:p>
          <w:p w14:paraId="5AAA5C96">
            <w:pPr>
              <w:widowControl/>
              <w:spacing w:line="360" w:lineRule="auto"/>
              <w:rPr>
                <w:rFonts w:ascii="宋体" w:hAnsi="宋体" w:cs="宋体"/>
                <w:color w:val="auto"/>
                <w:szCs w:val="21"/>
                <w:highlight w:val="none"/>
              </w:rPr>
            </w:pPr>
            <w:r>
              <w:rPr>
                <w:rFonts w:hint="eastAsia" w:ascii="宋体" w:hAnsi="宋体" w:cs="宋体"/>
                <w:color w:val="auto"/>
                <w:kern w:val="1"/>
                <w:szCs w:val="21"/>
                <w:highlight w:val="none"/>
              </w:rPr>
              <w:t>□</w:t>
            </w:r>
            <w:r>
              <w:rPr>
                <w:rFonts w:hint="eastAsia" w:ascii="宋体" w:hAnsi="宋体" w:cs="宋体"/>
                <w:color w:val="auto"/>
                <w:szCs w:val="21"/>
                <w:highlight w:val="none"/>
              </w:rPr>
              <w:t>召开，召开时间：</w:t>
            </w:r>
          </w:p>
          <w:p w14:paraId="7A18F66A">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召开地点：</w:t>
            </w:r>
          </w:p>
        </w:tc>
      </w:tr>
      <w:tr w14:paraId="4765C6E1">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755FAB6">
            <w:pPr>
              <w:spacing w:line="360" w:lineRule="auto"/>
              <w:jc w:val="center"/>
              <w:rPr>
                <w:rFonts w:ascii="宋体" w:hAnsi="宋体"/>
                <w:color w:val="auto"/>
                <w:highlight w:val="none"/>
              </w:rPr>
            </w:pPr>
            <w:r>
              <w:rPr>
                <w:rFonts w:ascii="宋体" w:hAnsi="宋体"/>
                <w:color w:val="auto"/>
                <w:highlight w:val="none"/>
              </w:rPr>
              <w:t>1.10.2</w:t>
            </w:r>
          </w:p>
        </w:tc>
        <w:tc>
          <w:tcPr>
            <w:tcW w:w="2509" w:type="dxa"/>
            <w:tcBorders>
              <w:top w:val="single" w:color="000000" w:sz="4" w:space="0"/>
              <w:left w:val="single" w:color="000000" w:sz="4" w:space="0"/>
              <w:bottom w:val="single" w:color="000000" w:sz="4" w:space="0"/>
              <w:right w:val="single" w:color="000000" w:sz="4" w:space="0"/>
            </w:tcBorders>
            <w:vAlign w:val="center"/>
          </w:tcPr>
          <w:p w14:paraId="6293C366">
            <w:pPr>
              <w:spacing w:line="360" w:lineRule="auto"/>
              <w:jc w:val="center"/>
              <w:rPr>
                <w:rFonts w:ascii="宋体" w:hAnsi="宋体"/>
                <w:color w:val="auto"/>
                <w:highlight w:val="none"/>
              </w:rPr>
            </w:pPr>
            <w:r>
              <w:rPr>
                <w:rFonts w:ascii="宋体" w:hAnsi="宋体"/>
                <w:color w:val="auto"/>
                <w:highlight w:val="none"/>
              </w:rPr>
              <w:t>投标人提出问题的截止时间</w:t>
            </w:r>
          </w:p>
        </w:tc>
        <w:tc>
          <w:tcPr>
            <w:tcW w:w="6633" w:type="dxa"/>
            <w:tcBorders>
              <w:top w:val="single" w:color="000000" w:sz="4" w:space="0"/>
              <w:left w:val="single" w:color="000000" w:sz="4" w:space="0"/>
              <w:bottom w:val="single" w:color="000000" w:sz="4" w:space="0"/>
              <w:right w:val="single" w:color="000000" w:sz="4" w:space="0"/>
            </w:tcBorders>
            <w:vAlign w:val="center"/>
          </w:tcPr>
          <w:p w14:paraId="1DD8A6A5">
            <w:pPr>
              <w:spacing w:line="360" w:lineRule="auto"/>
              <w:rPr>
                <w:rFonts w:ascii="宋体" w:hAnsi="宋体"/>
                <w:color w:val="auto"/>
                <w:highlight w:val="none"/>
              </w:rPr>
            </w:pPr>
            <w:r>
              <w:rPr>
                <w:rFonts w:ascii="宋体" w:hAnsi="宋体" w:cs="宋体"/>
                <w:color w:val="auto"/>
                <w:kern w:val="1"/>
                <w:szCs w:val="21"/>
                <w:highlight w:val="none"/>
              </w:rPr>
              <w:t>递交投标文件截止日期前18天。</w:t>
            </w:r>
          </w:p>
        </w:tc>
      </w:tr>
      <w:tr w14:paraId="4AFED141">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3D94E663">
            <w:pPr>
              <w:spacing w:line="360" w:lineRule="auto"/>
              <w:jc w:val="center"/>
              <w:rPr>
                <w:rFonts w:ascii="宋体" w:hAnsi="宋体"/>
                <w:color w:val="auto"/>
                <w:highlight w:val="none"/>
              </w:rPr>
            </w:pPr>
            <w:r>
              <w:rPr>
                <w:rFonts w:ascii="宋体" w:hAnsi="宋体"/>
                <w:color w:val="auto"/>
                <w:highlight w:val="none"/>
              </w:rPr>
              <w:t>1.10.3</w:t>
            </w:r>
          </w:p>
        </w:tc>
        <w:tc>
          <w:tcPr>
            <w:tcW w:w="2509" w:type="dxa"/>
            <w:tcBorders>
              <w:top w:val="single" w:color="000000" w:sz="4" w:space="0"/>
              <w:left w:val="single" w:color="000000" w:sz="4" w:space="0"/>
              <w:bottom w:val="single" w:color="000000" w:sz="4" w:space="0"/>
              <w:right w:val="single" w:color="000000" w:sz="4" w:space="0"/>
            </w:tcBorders>
            <w:vAlign w:val="center"/>
          </w:tcPr>
          <w:p w14:paraId="04B55E2B">
            <w:pPr>
              <w:spacing w:line="360" w:lineRule="auto"/>
              <w:jc w:val="center"/>
              <w:rPr>
                <w:rFonts w:ascii="宋体" w:hAnsi="宋体"/>
                <w:color w:val="auto"/>
                <w:highlight w:val="none"/>
              </w:rPr>
            </w:pPr>
            <w:r>
              <w:rPr>
                <w:rFonts w:ascii="宋体" w:hAnsi="宋体"/>
                <w:color w:val="auto"/>
                <w:highlight w:val="none"/>
              </w:rPr>
              <w:t>招标人书面澄清的时间</w:t>
            </w:r>
          </w:p>
        </w:tc>
        <w:tc>
          <w:tcPr>
            <w:tcW w:w="6633" w:type="dxa"/>
            <w:tcBorders>
              <w:top w:val="single" w:color="000000" w:sz="4" w:space="0"/>
              <w:left w:val="single" w:color="000000" w:sz="4" w:space="0"/>
              <w:bottom w:val="single" w:color="000000" w:sz="4" w:space="0"/>
              <w:right w:val="single" w:color="000000" w:sz="4" w:space="0"/>
            </w:tcBorders>
            <w:vAlign w:val="center"/>
          </w:tcPr>
          <w:p w14:paraId="029E0B86">
            <w:pPr>
              <w:spacing w:line="360" w:lineRule="auto"/>
              <w:rPr>
                <w:rFonts w:ascii="宋体" w:hAnsi="宋体"/>
                <w:color w:val="auto"/>
                <w:highlight w:val="none"/>
              </w:rPr>
            </w:pPr>
            <w:r>
              <w:rPr>
                <w:rFonts w:ascii="宋体" w:hAnsi="宋体" w:cs="宋体"/>
                <w:color w:val="auto"/>
                <w:szCs w:val="21"/>
                <w:highlight w:val="none"/>
              </w:rPr>
              <w:t>投标截止时间15天前。</w:t>
            </w:r>
          </w:p>
        </w:tc>
      </w:tr>
      <w:tr w14:paraId="37EDD91E">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963948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1.11.1</w:t>
            </w:r>
          </w:p>
        </w:tc>
        <w:tc>
          <w:tcPr>
            <w:tcW w:w="2509" w:type="dxa"/>
            <w:tcBorders>
              <w:top w:val="single" w:color="000000" w:sz="4" w:space="0"/>
              <w:left w:val="single" w:color="000000" w:sz="4" w:space="0"/>
              <w:bottom w:val="single" w:color="000000" w:sz="4" w:space="0"/>
              <w:right w:val="single" w:color="000000" w:sz="4" w:space="0"/>
            </w:tcBorders>
            <w:vAlign w:val="center"/>
          </w:tcPr>
          <w:p w14:paraId="459BA06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招标人规定由分包人承担的工作</w:t>
            </w:r>
          </w:p>
        </w:tc>
        <w:tc>
          <w:tcPr>
            <w:tcW w:w="6633" w:type="dxa"/>
            <w:tcBorders>
              <w:top w:val="single" w:color="000000" w:sz="4" w:space="0"/>
              <w:left w:val="single" w:color="000000" w:sz="4" w:space="0"/>
              <w:bottom w:val="single" w:color="000000" w:sz="4" w:space="0"/>
              <w:right w:val="single" w:color="000000" w:sz="4" w:space="0"/>
            </w:tcBorders>
            <w:vAlign w:val="center"/>
          </w:tcPr>
          <w:p w14:paraId="16102592">
            <w:pPr>
              <w:spacing w:line="360" w:lineRule="auto"/>
              <w:rPr>
                <w:rFonts w:ascii="宋体" w:hAnsi="宋体" w:cs="宋体"/>
                <w:color w:val="auto"/>
                <w:kern w:val="1"/>
                <w:szCs w:val="21"/>
                <w:highlight w:val="none"/>
                <w:u w:val="single"/>
              </w:rPr>
            </w:pPr>
            <w:r>
              <w:rPr>
                <w:rFonts w:hint="eastAsia" w:ascii="宋体" w:hAnsi="宋体" w:cs="宋体"/>
                <w:color w:val="auto"/>
                <w:szCs w:val="21"/>
                <w:highlight w:val="none"/>
                <w:u w:val="single"/>
              </w:rPr>
              <w:t>/</w:t>
            </w:r>
          </w:p>
        </w:tc>
      </w:tr>
      <w:tr w14:paraId="5A4D8613">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B70E93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1.11.2</w:t>
            </w:r>
          </w:p>
        </w:tc>
        <w:tc>
          <w:tcPr>
            <w:tcW w:w="2509" w:type="dxa"/>
            <w:tcBorders>
              <w:top w:val="single" w:color="000000" w:sz="4" w:space="0"/>
              <w:left w:val="single" w:color="000000" w:sz="4" w:space="0"/>
              <w:bottom w:val="single" w:color="000000" w:sz="4" w:space="0"/>
              <w:right w:val="single" w:color="000000" w:sz="4" w:space="0"/>
            </w:tcBorders>
            <w:vAlign w:val="center"/>
          </w:tcPr>
          <w:p w14:paraId="4FA70B5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投标人拟分包的工作</w:t>
            </w:r>
          </w:p>
        </w:tc>
        <w:tc>
          <w:tcPr>
            <w:tcW w:w="6633" w:type="dxa"/>
            <w:tcBorders>
              <w:top w:val="single" w:color="000000" w:sz="4" w:space="0"/>
              <w:left w:val="single" w:color="000000" w:sz="4" w:space="0"/>
              <w:bottom w:val="single" w:color="000000" w:sz="4" w:space="0"/>
              <w:right w:val="single" w:color="000000" w:sz="4" w:space="0"/>
            </w:tcBorders>
            <w:vAlign w:val="center"/>
          </w:tcPr>
          <w:p w14:paraId="48ED257E">
            <w:pPr>
              <w:pStyle w:val="8"/>
              <w:spacing w:line="360" w:lineRule="auto"/>
              <w:rPr>
                <w:color w:val="auto"/>
                <w:kern w:val="1"/>
                <w:sz w:val="21"/>
                <w:szCs w:val="21"/>
                <w:highlight w:val="none"/>
              </w:rPr>
            </w:pPr>
            <w:r>
              <w:rPr>
                <w:rFonts w:hint="eastAsia"/>
                <w:color w:val="auto"/>
                <w:kern w:val="1"/>
                <w:szCs w:val="21"/>
                <w:highlight w:val="none"/>
              </w:rPr>
              <w:t>□</w:t>
            </w:r>
            <w:r>
              <w:rPr>
                <w:rFonts w:hint="eastAsia"/>
                <w:color w:val="auto"/>
                <w:kern w:val="1"/>
                <w:sz w:val="21"/>
                <w:szCs w:val="21"/>
                <w:highlight w:val="none"/>
              </w:rPr>
              <w:t>不允许</w:t>
            </w:r>
          </w:p>
          <w:p w14:paraId="7FEC4746">
            <w:pPr>
              <w:spacing w:line="360" w:lineRule="auto"/>
              <w:rPr>
                <w:rFonts w:ascii="宋体" w:hAnsi="宋体" w:cs="宋体"/>
                <w:color w:val="auto"/>
                <w:kern w:val="1"/>
                <w:szCs w:val="21"/>
                <w:highlight w:val="none"/>
              </w:rPr>
            </w:pPr>
            <w:r>
              <w:rPr>
                <w:rFonts w:hint="eastAsia"/>
                <w:color w:val="auto"/>
                <w:kern w:val="1"/>
                <w:szCs w:val="21"/>
                <w:highlight w:val="none"/>
              </w:rPr>
              <w:t>■</w:t>
            </w:r>
            <w:r>
              <w:rPr>
                <w:rFonts w:hint="eastAsia" w:ascii="宋体" w:hAnsi="宋体" w:cs="宋体"/>
                <w:color w:val="auto"/>
                <w:kern w:val="1"/>
                <w:szCs w:val="21"/>
                <w:highlight w:val="none"/>
              </w:rPr>
              <w:t>允许，</w:t>
            </w:r>
            <w:r>
              <w:rPr>
                <w:rFonts w:hint="eastAsia" w:ascii="宋体" w:hAnsi="宋体" w:cs="宋体"/>
                <w:color w:val="auto"/>
                <w:szCs w:val="21"/>
                <w:highlight w:val="none"/>
              </w:rPr>
              <w:t>允许非主体、非关键性工程进行分包，分包需经招标人审核批准后分包给具有相应资质和能力的专业单位实施。</w:t>
            </w:r>
          </w:p>
        </w:tc>
      </w:tr>
      <w:tr w14:paraId="68F162A0">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F1A29D0">
            <w:pP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rPr>
              <w:t>1.12</w:t>
            </w:r>
          </w:p>
        </w:tc>
        <w:tc>
          <w:tcPr>
            <w:tcW w:w="2509" w:type="dxa"/>
            <w:tcBorders>
              <w:top w:val="single" w:color="000000" w:sz="4" w:space="0"/>
              <w:left w:val="single" w:color="000000" w:sz="4" w:space="0"/>
              <w:bottom w:val="single" w:color="000000" w:sz="4" w:space="0"/>
              <w:right w:val="single" w:color="000000" w:sz="4" w:space="0"/>
            </w:tcBorders>
            <w:vAlign w:val="center"/>
          </w:tcPr>
          <w:p w14:paraId="34CAA16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偏离</w:t>
            </w:r>
          </w:p>
        </w:tc>
        <w:tc>
          <w:tcPr>
            <w:tcW w:w="6633" w:type="dxa"/>
            <w:tcBorders>
              <w:top w:val="single" w:color="000000" w:sz="4" w:space="0"/>
              <w:left w:val="single" w:color="000000" w:sz="4" w:space="0"/>
              <w:bottom w:val="single" w:color="000000" w:sz="4" w:space="0"/>
              <w:right w:val="single" w:color="000000" w:sz="4" w:space="0"/>
            </w:tcBorders>
            <w:vAlign w:val="center"/>
          </w:tcPr>
          <w:p w14:paraId="093F0F8A">
            <w:pPr>
              <w:pStyle w:val="8"/>
              <w:spacing w:line="360" w:lineRule="auto"/>
              <w:rPr>
                <w:color w:val="auto"/>
                <w:kern w:val="1"/>
                <w:sz w:val="21"/>
                <w:szCs w:val="21"/>
                <w:highlight w:val="none"/>
              </w:rPr>
            </w:pPr>
            <w:r>
              <w:rPr>
                <w:rFonts w:hint="eastAsia"/>
                <w:color w:val="auto"/>
                <w:sz w:val="21"/>
                <w:szCs w:val="21"/>
                <w:highlight w:val="none"/>
              </w:rPr>
              <w:t>■</w:t>
            </w:r>
            <w:r>
              <w:rPr>
                <w:rFonts w:hint="eastAsia"/>
                <w:color w:val="auto"/>
                <w:kern w:val="1"/>
                <w:sz w:val="21"/>
                <w:szCs w:val="21"/>
                <w:highlight w:val="none"/>
              </w:rPr>
              <w:t>不允许</w:t>
            </w:r>
          </w:p>
          <w:p w14:paraId="7B23F2CA">
            <w:pPr>
              <w:pStyle w:val="8"/>
              <w:spacing w:line="360" w:lineRule="auto"/>
              <w:rPr>
                <w:color w:val="auto"/>
                <w:kern w:val="1"/>
                <w:sz w:val="21"/>
                <w:szCs w:val="21"/>
                <w:highlight w:val="none"/>
                <w:u w:val="single"/>
              </w:rPr>
            </w:pPr>
            <w:r>
              <w:rPr>
                <w:rFonts w:hint="eastAsia"/>
                <w:color w:val="auto"/>
                <w:kern w:val="1"/>
                <w:sz w:val="21"/>
                <w:szCs w:val="21"/>
                <w:highlight w:val="none"/>
              </w:rPr>
              <w:t>□</w:t>
            </w:r>
            <w:r>
              <w:rPr>
                <w:rFonts w:hint="eastAsia"/>
                <w:color w:val="auto"/>
                <w:sz w:val="21"/>
                <w:szCs w:val="21"/>
                <w:highlight w:val="none"/>
              </w:rPr>
              <w:t>允许，允许偏离的内容、偏离范围和幅度：</w:t>
            </w:r>
            <w:r>
              <w:rPr>
                <w:color w:val="auto"/>
                <w:sz w:val="21"/>
                <w:szCs w:val="21"/>
                <w:highlight w:val="none"/>
                <w:u w:val="single"/>
              </w:rPr>
              <w:t>/</w:t>
            </w:r>
            <w:r>
              <w:rPr>
                <w:rFonts w:hint="eastAsia"/>
                <w:color w:val="auto"/>
                <w:sz w:val="21"/>
                <w:szCs w:val="21"/>
                <w:highlight w:val="none"/>
                <w:u w:val="single"/>
              </w:rPr>
              <w:t>。</w:t>
            </w:r>
          </w:p>
        </w:tc>
      </w:tr>
      <w:tr w14:paraId="0F5A992B">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38A5CE2">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p>
        </w:tc>
        <w:tc>
          <w:tcPr>
            <w:tcW w:w="2509" w:type="dxa"/>
            <w:tcBorders>
              <w:top w:val="single" w:color="000000" w:sz="4" w:space="0"/>
              <w:left w:val="single" w:color="000000" w:sz="4" w:space="0"/>
              <w:bottom w:val="single" w:color="000000" w:sz="4" w:space="0"/>
              <w:right w:val="single" w:color="000000" w:sz="4" w:space="0"/>
            </w:tcBorders>
            <w:vAlign w:val="center"/>
          </w:tcPr>
          <w:p w14:paraId="0D15318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构成招标文件的其他资料</w:t>
            </w:r>
          </w:p>
        </w:tc>
        <w:tc>
          <w:tcPr>
            <w:tcW w:w="6633" w:type="dxa"/>
            <w:tcBorders>
              <w:top w:val="single" w:color="000000" w:sz="4" w:space="0"/>
              <w:left w:val="single" w:color="000000" w:sz="4" w:space="0"/>
              <w:bottom w:val="single" w:color="000000" w:sz="4" w:space="0"/>
              <w:right w:val="single" w:color="000000" w:sz="4" w:space="0"/>
            </w:tcBorders>
            <w:vAlign w:val="center"/>
          </w:tcPr>
          <w:p w14:paraId="3CD76211">
            <w:pPr>
              <w:spacing w:line="360" w:lineRule="auto"/>
              <w:rPr>
                <w:rFonts w:ascii="宋体" w:hAnsi="宋体" w:cs="宋体"/>
                <w:color w:val="auto"/>
                <w:kern w:val="1"/>
                <w:szCs w:val="21"/>
                <w:highlight w:val="none"/>
              </w:rPr>
            </w:pPr>
            <w:r>
              <w:rPr>
                <w:rFonts w:hint="eastAsia" w:ascii="宋体" w:hAnsi="宋体" w:cs="宋体"/>
                <w:color w:val="auto"/>
                <w:szCs w:val="21"/>
                <w:highlight w:val="none"/>
                <w:u w:val="single"/>
              </w:rPr>
              <w:t>答疑纪要、澄清文件等（如有）</w:t>
            </w:r>
          </w:p>
        </w:tc>
      </w:tr>
      <w:tr w14:paraId="2BB72FA6">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329DE5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.2.1</w:t>
            </w:r>
          </w:p>
        </w:tc>
        <w:tc>
          <w:tcPr>
            <w:tcW w:w="2509" w:type="dxa"/>
            <w:tcBorders>
              <w:top w:val="single" w:color="000000" w:sz="4" w:space="0"/>
              <w:left w:val="single" w:color="000000" w:sz="4" w:space="0"/>
              <w:bottom w:val="single" w:color="000000" w:sz="4" w:space="0"/>
              <w:right w:val="single" w:color="000000" w:sz="4" w:space="0"/>
            </w:tcBorders>
            <w:vAlign w:val="center"/>
          </w:tcPr>
          <w:p w14:paraId="76ECAC5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投标人要求澄清招标文件的截止时间</w:t>
            </w:r>
          </w:p>
        </w:tc>
        <w:tc>
          <w:tcPr>
            <w:tcW w:w="6633" w:type="dxa"/>
            <w:tcBorders>
              <w:top w:val="single" w:color="000000" w:sz="4" w:space="0"/>
              <w:left w:val="single" w:color="000000" w:sz="4" w:space="0"/>
              <w:bottom w:val="single" w:color="000000" w:sz="4" w:space="0"/>
              <w:right w:val="single" w:color="000000" w:sz="4" w:space="0"/>
            </w:tcBorders>
            <w:vAlign w:val="center"/>
          </w:tcPr>
          <w:p w14:paraId="1B718C97">
            <w:pPr>
              <w:pStyle w:val="11"/>
              <w:spacing w:line="360" w:lineRule="auto"/>
              <w:rPr>
                <w:rFonts w:cs="宋体"/>
                <w:color w:val="auto"/>
                <w:sz w:val="21"/>
                <w:szCs w:val="21"/>
                <w:highlight w:val="none"/>
                <w:u w:val="single"/>
              </w:rPr>
            </w:pPr>
            <w:r>
              <w:rPr>
                <w:rFonts w:hint="eastAsia" w:cs="宋体"/>
                <w:color w:val="auto"/>
                <w:sz w:val="21"/>
                <w:szCs w:val="21"/>
                <w:highlight w:val="none"/>
                <w:u w:val="single"/>
              </w:rPr>
              <w:t>时间：在提交投标文件截止时间18天前提出。</w:t>
            </w:r>
          </w:p>
          <w:p w14:paraId="563B2EB3">
            <w:pPr>
              <w:pStyle w:val="11"/>
              <w:spacing w:line="360" w:lineRule="auto"/>
              <w:rPr>
                <w:rFonts w:cs="Courier New"/>
                <w:color w:val="auto"/>
                <w:sz w:val="21"/>
                <w:szCs w:val="21"/>
                <w:highlight w:val="none"/>
                <w:u w:val="single"/>
                <w:lang w:val="en-US"/>
              </w:rPr>
            </w:pPr>
            <w:r>
              <w:rPr>
                <w:rFonts w:hint="eastAsia" w:cs="宋体"/>
                <w:color w:val="auto"/>
                <w:sz w:val="21"/>
                <w:szCs w:val="21"/>
                <w:highlight w:val="none"/>
                <w:u w:val="single"/>
                <w:lang w:val="en-US"/>
              </w:rPr>
              <w:t>形式：投标人疑问通过网上提交。网上答疑的操作指南为：</w:t>
            </w:r>
            <w:bookmarkStart w:id="36" w:name="_Hlk134265177"/>
            <w:r>
              <w:rPr>
                <w:rFonts w:hint="eastAsia" w:cs="宋体"/>
                <w:color w:val="auto"/>
                <w:sz w:val="21"/>
                <w:szCs w:val="21"/>
                <w:highlight w:val="none"/>
                <w:u w:val="single"/>
                <w:lang w:val="en-US" w:eastAsia="zh-CN"/>
              </w:rPr>
              <w:t>登陆</w:t>
            </w:r>
            <w:r>
              <w:rPr>
                <w:rFonts w:hint="eastAsia" w:cs="宋体"/>
                <w:color w:val="auto"/>
                <w:sz w:val="21"/>
                <w:szCs w:val="21"/>
                <w:highlight w:val="none"/>
                <w:u w:val="single"/>
              </w:rPr>
              <w:t>广州交易集团有限公司（广州公共资源交易中心）</w:t>
            </w:r>
            <w:bookmarkEnd w:id="36"/>
            <w:r>
              <w:rPr>
                <w:rFonts w:hint="eastAsia" w:cs="宋体"/>
                <w:color w:val="auto"/>
                <w:sz w:val="21"/>
                <w:szCs w:val="21"/>
                <w:highlight w:val="none"/>
                <w:u w:val="single"/>
                <w:lang w:val="en-US"/>
              </w:rPr>
              <w:t>网站交易系统→进入“我的投标”专区→进入“招标答疑”选项→通过项目编号或名称找到所需的项目→在答疑时间内点击“答疑提问-新增提问”→提出问题(提问一律不得署名)。具体操作方法详见广州交易集团有限公司（广州公共资源交易中心）网站有关服务指南。</w:t>
            </w:r>
          </w:p>
        </w:tc>
      </w:tr>
      <w:tr w14:paraId="12DEA20E">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5330E0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.2.2</w:t>
            </w:r>
          </w:p>
        </w:tc>
        <w:tc>
          <w:tcPr>
            <w:tcW w:w="2509" w:type="dxa"/>
            <w:tcBorders>
              <w:top w:val="single" w:color="000000" w:sz="4" w:space="0"/>
              <w:left w:val="single" w:color="000000" w:sz="4" w:space="0"/>
              <w:bottom w:val="single" w:color="000000" w:sz="4" w:space="0"/>
              <w:right w:val="single" w:color="000000" w:sz="4" w:space="0"/>
            </w:tcBorders>
            <w:vAlign w:val="center"/>
          </w:tcPr>
          <w:p w14:paraId="5B56B68F">
            <w:pPr>
              <w:spacing w:line="360" w:lineRule="auto"/>
              <w:jc w:val="center"/>
              <w:rPr>
                <w:rFonts w:ascii="宋体" w:hAnsi="宋体"/>
                <w:color w:val="auto"/>
                <w:highlight w:val="none"/>
              </w:rPr>
            </w:pPr>
            <w:r>
              <w:rPr>
                <w:rFonts w:hint="eastAsia" w:ascii="宋体" w:hAnsi="宋体"/>
                <w:color w:val="auto"/>
                <w:highlight w:val="none"/>
              </w:rPr>
              <w:t>投标截止时间</w:t>
            </w:r>
          </w:p>
        </w:tc>
        <w:tc>
          <w:tcPr>
            <w:tcW w:w="6633" w:type="dxa"/>
            <w:tcBorders>
              <w:top w:val="single" w:color="000000" w:sz="4" w:space="0"/>
              <w:left w:val="single" w:color="000000" w:sz="4" w:space="0"/>
              <w:bottom w:val="single" w:color="000000" w:sz="4" w:space="0"/>
              <w:right w:val="single" w:color="000000" w:sz="4" w:space="0"/>
            </w:tcBorders>
            <w:vAlign w:val="center"/>
          </w:tcPr>
          <w:p w14:paraId="7F68A82A">
            <w:pPr>
              <w:spacing w:line="360" w:lineRule="auto"/>
              <w:rPr>
                <w:rFonts w:ascii="宋体" w:hAnsi="宋体"/>
                <w:color w:val="auto"/>
                <w:highlight w:val="none"/>
                <w:u w:val="single"/>
              </w:rPr>
            </w:pPr>
            <w:r>
              <w:rPr>
                <w:rFonts w:hint="eastAsia" w:ascii="宋体" w:hAnsi="宋体"/>
                <w:color w:val="auto"/>
                <w:highlight w:val="none"/>
                <w:u w:val="single"/>
              </w:rPr>
              <w:t>投标人可登录广州交易集团有限公司（广州公共资源交易中心）网站首页，点击“交易业务”专栏中的“建设工程”的“项目查询”，输入项目编号或项目名称查询投标截止时间。</w:t>
            </w:r>
          </w:p>
        </w:tc>
      </w:tr>
      <w:tr w14:paraId="72E7A49D">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213084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2.2.3</w:t>
            </w:r>
          </w:p>
        </w:tc>
        <w:tc>
          <w:tcPr>
            <w:tcW w:w="2509" w:type="dxa"/>
            <w:tcBorders>
              <w:top w:val="single" w:color="000000" w:sz="4" w:space="0"/>
              <w:left w:val="single" w:color="000000" w:sz="4" w:space="0"/>
              <w:bottom w:val="single" w:color="000000" w:sz="4" w:space="0"/>
              <w:right w:val="single" w:color="000000" w:sz="4" w:space="0"/>
            </w:tcBorders>
            <w:vAlign w:val="center"/>
          </w:tcPr>
          <w:p w14:paraId="715DC46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投标人确认收到答疑纪要或澄清的时间</w:t>
            </w:r>
          </w:p>
        </w:tc>
        <w:tc>
          <w:tcPr>
            <w:tcW w:w="6633" w:type="dxa"/>
            <w:tcBorders>
              <w:top w:val="single" w:color="000000" w:sz="4" w:space="0"/>
              <w:left w:val="single" w:color="000000" w:sz="4" w:space="0"/>
              <w:bottom w:val="single" w:color="000000" w:sz="4" w:space="0"/>
              <w:right w:val="single" w:color="000000" w:sz="4" w:space="0"/>
            </w:tcBorders>
            <w:vAlign w:val="center"/>
          </w:tcPr>
          <w:p w14:paraId="2804B554">
            <w:pPr>
              <w:spacing w:line="360" w:lineRule="auto"/>
              <w:rPr>
                <w:rFonts w:ascii="宋体" w:hAnsi="宋体"/>
                <w:color w:val="auto"/>
                <w:highlight w:val="none"/>
                <w:u w:val="single"/>
              </w:rPr>
            </w:pPr>
            <w:r>
              <w:rPr>
                <w:rFonts w:hint="eastAsia" w:ascii="宋体" w:hAnsi="宋体"/>
                <w:color w:val="auto"/>
                <w:highlight w:val="none"/>
                <w:u w:val="single"/>
              </w:rPr>
              <w:t>招标文件澄清在广州交易集团有限公司（广州公共资源交易中心）网站通过项目答疑专区网上公开发布，发出即视作收到，以</w:t>
            </w:r>
            <w:bookmarkStart w:id="37" w:name="_Hlk134282144"/>
            <w:r>
              <w:rPr>
                <w:rFonts w:hint="eastAsia" w:ascii="宋体" w:hAnsi="宋体"/>
                <w:color w:val="auto"/>
                <w:highlight w:val="none"/>
                <w:u w:val="single"/>
              </w:rPr>
              <w:t>广州交易集团有限公司（广州公共资源交易中心）</w:t>
            </w:r>
            <w:bookmarkEnd w:id="37"/>
            <w:r>
              <w:rPr>
                <w:rFonts w:hint="eastAsia" w:ascii="宋体" w:hAnsi="宋体"/>
                <w:color w:val="auto"/>
                <w:highlight w:val="none"/>
                <w:u w:val="single"/>
              </w:rPr>
              <w:t>网站发布时间作为送达时间。无需投标人确认。投标人应自行关注，招标人不再一一通知。</w:t>
            </w:r>
          </w:p>
        </w:tc>
      </w:tr>
      <w:tr w14:paraId="0168CE62">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385B247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2.3.2</w:t>
            </w:r>
          </w:p>
        </w:tc>
        <w:tc>
          <w:tcPr>
            <w:tcW w:w="2509" w:type="dxa"/>
            <w:tcBorders>
              <w:top w:val="single" w:color="000000" w:sz="4" w:space="0"/>
              <w:left w:val="single" w:color="000000" w:sz="4" w:space="0"/>
              <w:bottom w:val="single" w:color="000000" w:sz="4" w:space="0"/>
              <w:right w:val="single" w:color="000000" w:sz="4" w:space="0"/>
            </w:tcBorders>
            <w:vAlign w:val="center"/>
          </w:tcPr>
          <w:p w14:paraId="7620A0D2">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投标人确认收到招标文件修改的时间</w:t>
            </w:r>
          </w:p>
        </w:tc>
        <w:tc>
          <w:tcPr>
            <w:tcW w:w="6633" w:type="dxa"/>
            <w:tcBorders>
              <w:top w:val="single" w:color="000000" w:sz="4" w:space="0"/>
              <w:left w:val="single" w:color="000000" w:sz="4" w:space="0"/>
              <w:bottom w:val="single" w:color="000000" w:sz="4" w:space="0"/>
              <w:right w:val="single" w:color="000000" w:sz="4" w:space="0"/>
            </w:tcBorders>
            <w:vAlign w:val="center"/>
          </w:tcPr>
          <w:p w14:paraId="0F53B264">
            <w:pPr>
              <w:spacing w:line="360" w:lineRule="auto"/>
              <w:rPr>
                <w:rFonts w:ascii="宋体" w:hAnsi="宋体"/>
                <w:color w:val="auto"/>
                <w:highlight w:val="none"/>
                <w:u w:val="single"/>
              </w:rPr>
            </w:pPr>
            <w:r>
              <w:rPr>
                <w:rFonts w:ascii="宋体" w:hAnsi="宋体" w:cs="宋体"/>
                <w:color w:val="auto"/>
                <w:szCs w:val="21"/>
                <w:highlight w:val="none"/>
              </w:rPr>
              <w:t>招标文件修改（或补充公告）一经在广州交易集团有限公司（广州公共资源交易中心）网站发布，视作已发放给所有投标人，以广州交易集团有限公司（广州公共资源交易中心）网站发布时间作为送达时间。无需投标人确认。投标人应自行关注，招标人不再一一通知。</w:t>
            </w:r>
          </w:p>
        </w:tc>
      </w:tr>
      <w:tr w14:paraId="034C81C4">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433DB37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3.1.1</w:t>
            </w:r>
          </w:p>
        </w:tc>
        <w:tc>
          <w:tcPr>
            <w:tcW w:w="2509" w:type="dxa"/>
            <w:tcBorders>
              <w:top w:val="single" w:color="000000" w:sz="4" w:space="0"/>
              <w:left w:val="single" w:color="000000" w:sz="4" w:space="0"/>
              <w:bottom w:val="single" w:color="000000" w:sz="4" w:space="0"/>
              <w:right w:val="single" w:color="000000" w:sz="4" w:space="0"/>
            </w:tcBorders>
            <w:vAlign w:val="center"/>
          </w:tcPr>
          <w:p w14:paraId="5E5B854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构成投标文件的其他资料</w:t>
            </w:r>
          </w:p>
        </w:tc>
        <w:tc>
          <w:tcPr>
            <w:tcW w:w="6633" w:type="dxa"/>
            <w:tcBorders>
              <w:top w:val="single" w:color="000000" w:sz="4" w:space="0"/>
              <w:left w:val="single" w:color="000000" w:sz="4" w:space="0"/>
              <w:bottom w:val="single" w:color="000000" w:sz="4" w:space="0"/>
              <w:right w:val="single" w:color="000000" w:sz="4" w:space="0"/>
            </w:tcBorders>
            <w:vAlign w:val="center"/>
          </w:tcPr>
          <w:p w14:paraId="4ED3448F">
            <w:pPr>
              <w:widowControl/>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见第八章《投标文件格式》要求</w:t>
            </w:r>
          </w:p>
        </w:tc>
      </w:tr>
      <w:tr w14:paraId="1E52570E">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1F230BBA">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4</w:t>
            </w:r>
          </w:p>
        </w:tc>
        <w:tc>
          <w:tcPr>
            <w:tcW w:w="2509" w:type="dxa"/>
            <w:tcBorders>
              <w:top w:val="single" w:color="000000" w:sz="4" w:space="0"/>
              <w:left w:val="single" w:color="000000" w:sz="4" w:space="0"/>
              <w:bottom w:val="single" w:color="000000" w:sz="4" w:space="0"/>
              <w:right w:val="single" w:color="000000" w:sz="4" w:space="0"/>
            </w:tcBorders>
            <w:vAlign w:val="center"/>
          </w:tcPr>
          <w:p w14:paraId="10BE04E2">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最高投标限价</w:t>
            </w:r>
          </w:p>
        </w:tc>
        <w:tc>
          <w:tcPr>
            <w:tcW w:w="6633" w:type="dxa"/>
            <w:tcBorders>
              <w:top w:val="single" w:color="000000" w:sz="4" w:space="0"/>
              <w:left w:val="single" w:color="000000" w:sz="4" w:space="0"/>
              <w:bottom w:val="single" w:color="000000" w:sz="4" w:space="0"/>
              <w:right w:val="single" w:color="000000" w:sz="4" w:space="0"/>
            </w:tcBorders>
            <w:vAlign w:val="center"/>
          </w:tcPr>
          <w:p w14:paraId="071D8157">
            <w:pPr>
              <w:pStyle w:val="11"/>
              <w:widowControl/>
              <w:adjustRightInd w:val="0"/>
              <w:snapToGrid w:val="0"/>
              <w:spacing w:line="360" w:lineRule="auto"/>
              <w:rPr>
                <w:color w:val="auto"/>
                <w:highlight w:val="none"/>
              </w:rPr>
            </w:pPr>
            <w:r>
              <w:rPr>
                <w:rFonts w:hint="eastAsia" w:cs="宋体"/>
                <w:color w:val="auto"/>
                <w:sz w:val="21"/>
                <w:szCs w:val="21"/>
                <w:highlight w:val="none"/>
                <w:u w:val="single"/>
                <w:lang w:val="en-US"/>
              </w:rPr>
              <w:t>详见招标公告。</w:t>
            </w:r>
          </w:p>
        </w:tc>
      </w:tr>
      <w:tr w14:paraId="1E632183">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46B91E1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p>
        </w:tc>
        <w:tc>
          <w:tcPr>
            <w:tcW w:w="2509" w:type="dxa"/>
            <w:tcBorders>
              <w:top w:val="single" w:color="000000" w:sz="4" w:space="0"/>
              <w:left w:val="single" w:color="000000" w:sz="4" w:space="0"/>
              <w:bottom w:val="single" w:color="000000" w:sz="4" w:space="0"/>
              <w:right w:val="single" w:color="000000" w:sz="4" w:space="0"/>
            </w:tcBorders>
            <w:vAlign w:val="center"/>
          </w:tcPr>
          <w:p w14:paraId="4ACA617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投标报价的其他要求</w:t>
            </w:r>
          </w:p>
        </w:tc>
        <w:tc>
          <w:tcPr>
            <w:tcW w:w="6633" w:type="dxa"/>
            <w:tcBorders>
              <w:top w:val="single" w:color="000000" w:sz="4" w:space="0"/>
              <w:left w:val="single" w:color="000000" w:sz="4" w:space="0"/>
              <w:bottom w:val="single" w:color="000000" w:sz="4" w:space="0"/>
              <w:right w:val="single" w:color="000000" w:sz="4" w:space="0"/>
            </w:tcBorders>
            <w:vAlign w:val="center"/>
          </w:tcPr>
          <w:p w14:paraId="40543402">
            <w:pPr>
              <w:spacing w:line="360" w:lineRule="auto"/>
              <w:rPr>
                <w:rFonts w:ascii="宋体" w:hAnsi="宋体" w:cs="宋体"/>
                <w:bCs/>
                <w:color w:val="auto"/>
                <w:szCs w:val="21"/>
                <w:highlight w:val="none"/>
              </w:rPr>
            </w:pPr>
            <w:r>
              <w:rPr>
                <w:rFonts w:hint="eastAsia" w:ascii="宋体" w:hAnsi="宋体" w:cs="宋体"/>
                <w:bCs/>
                <w:color w:val="auto"/>
                <w:szCs w:val="21"/>
                <w:highlight w:val="none"/>
              </w:rPr>
              <w:t>投标报价由勘察费报价、设计费报价、建安工程费投标报价组成。本项目勘察、设计、施工投标报价同时采用投标下浮率报价和数值报价方式，最终按实结算。投标人对勘察费、设计费、建安工程费，分别只能报一个投标报价和投标下浮率报价，各单项工程中的勘察费、设计费、建安工程费均共用对应的投标下浮率，投标报价以元计，小数点后保留两位小数，第三位小数四舍五入。如投标下浮率和各自对应的投标报价不一致时，以价低者为准，评标委员会有权对各自对应的投标报价进行修正。</w:t>
            </w:r>
          </w:p>
          <w:p w14:paraId="4B0ED618">
            <w:pPr>
              <w:spacing w:line="360" w:lineRule="auto"/>
              <w:rPr>
                <w:rFonts w:ascii="宋体" w:hAnsi="宋体" w:cs="宋体"/>
                <w:color w:val="auto"/>
                <w:szCs w:val="21"/>
                <w:highlight w:val="none"/>
              </w:rPr>
            </w:pPr>
            <w:r>
              <w:rPr>
                <w:rFonts w:hint="eastAsia" w:ascii="宋体" w:hAnsi="宋体" w:cs="宋体"/>
                <w:color w:val="auto"/>
                <w:szCs w:val="21"/>
                <w:highlight w:val="none"/>
              </w:rPr>
              <w:t>（1）勘察费：勘察费投标报价不得高于总勘察</w:t>
            </w:r>
            <w:r>
              <w:rPr>
                <w:rFonts w:hint="eastAsia" w:ascii="宋体" w:hAnsi="宋体" w:cs="宋体"/>
                <w:color w:val="auto"/>
                <w:highlight w:val="none"/>
              </w:rPr>
              <w:t>费最高投标限价</w:t>
            </w:r>
            <w:r>
              <w:rPr>
                <w:rFonts w:hint="eastAsia" w:ascii="宋体" w:hAnsi="宋体" w:cs="宋体"/>
                <w:color w:val="auto"/>
                <w:highlight w:val="none"/>
                <w:lang w:val="en-US" w:eastAsia="zh-CN"/>
              </w:rPr>
              <w:t>及各期</w:t>
            </w:r>
            <w:r>
              <w:rPr>
                <w:rFonts w:hint="eastAsia" w:ascii="宋体" w:hAnsi="宋体" w:cs="宋体"/>
                <w:color w:val="auto"/>
                <w:szCs w:val="21"/>
                <w:highlight w:val="none"/>
              </w:rPr>
              <w:t>勘察</w:t>
            </w:r>
            <w:r>
              <w:rPr>
                <w:rFonts w:hint="eastAsia" w:ascii="宋体" w:hAnsi="宋体" w:cs="宋体"/>
                <w:color w:val="auto"/>
                <w:highlight w:val="none"/>
              </w:rPr>
              <w:t>费</w:t>
            </w:r>
            <w:r>
              <w:rPr>
                <w:rFonts w:hint="eastAsia" w:ascii="宋体" w:hAnsi="宋体" w:cs="宋体"/>
                <w:color w:val="auto"/>
                <w:highlight w:val="none"/>
                <w:lang w:val="en-US" w:eastAsia="zh-CN"/>
              </w:rPr>
              <w:t>最高投标限价</w:t>
            </w:r>
            <w:r>
              <w:rPr>
                <w:rFonts w:hint="eastAsia" w:ascii="宋体" w:hAnsi="宋体" w:cs="宋体"/>
                <w:color w:val="auto"/>
                <w:highlight w:val="none"/>
              </w:rPr>
              <w:t>，</w:t>
            </w:r>
            <w:r>
              <w:rPr>
                <w:rFonts w:hint="eastAsia" w:ascii="宋体" w:hAnsi="宋体" w:cs="宋体"/>
                <w:color w:val="auto"/>
                <w:szCs w:val="21"/>
                <w:highlight w:val="none"/>
              </w:rPr>
              <w:t>结算按照合同相关约定执行。</w:t>
            </w:r>
          </w:p>
          <w:p w14:paraId="3CE89734">
            <w:pPr>
              <w:spacing w:line="360" w:lineRule="auto"/>
              <w:rPr>
                <w:rFonts w:ascii="宋体" w:hAnsi="宋体" w:cs="宋体"/>
                <w:color w:val="auto"/>
                <w:szCs w:val="21"/>
                <w:highlight w:val="none"/>
              </w:rPr>
            </w:pPr>
            <w:r>
              <w:rPr>
                <w:rFonts w:hint="eastAsia" w:ascii="宋体" w:hAnsi="宋体" w:cs="宋体"/>
                <w:color w:val="auto"/>
                <w:szCs w:val="21"/>
                <w:highlight w:val="none"/>
              </w:rPr>
              <w:t>（2）设计费：设计费投标报价不得高于总设计</w:t>
            </w:r>
            <w:r>
              <w:rPr>
                <w:rFonts w:hint="eastAsia" w:ascii="宋体" w:hAnsi="宋体" w:cs="宋体"/>
                <w:color w:val="auto"/>
                <w:highlight w:val="none"/>
              </w:rPr>
              <w:t>费最高投标限价</w:t>
            </w:r>
            <w:r>
              <w:rPr>
                <w:rFonts w:hint="eastAsia" w:ascii="宋体" w:hAnsi="宋体" w:cs="宋体"/>
                <w:color w:val="auto"/>
                <w:highlight w:val="none"/>
                <w:lang w:val="en-US" w:eastAsia="zh-CN"/>
              </w:rPr>
              <w:t>及各期</w:t>
            </w:r>
            <w:r>
              <w:rPr>
                <w:rFonts w:hint="eastAsia" w:ascii="宋体" w:hAnsi="宋体" w:cs="宋体"/>
                <w:color w:val="auto"/>
                <w:szCs w:val="21"/>
                <w:highlight w:val="none"/>
              </w:rPr>
              <w:t>设计费</w:t>
            </w:r>
            <w:r>
              <w:rPr>
                <w:rFonts w:hint="eastAsia" w:ascii="宋体" w:hAnsi="宋体" w:cs="宋体"/>
                <w:color w:val="auto"/>
                <w:highlight w:val="none"/>
                <w:lang w:val="en-US" w:eastAsia="zh-CN"/>
              </w:rPr>
              <w:t>最高投标限价</w:t>
            </w:r>
            <w:r>
              <w:rPr>
                <w:rFonts w:hint="eastAsia" w:ascii="宋体" w:hAnsi="宋体" w:cs="宋体"/>
                <w:color w:val="auto"/>
                <w:highlight w:val="none"/>
              </w:rPr>
              <w:t>，</w:t>
            </w:r>
            <w:r>
              <w:rPr>
                <w:rFonts w:hint="eastAsia" w:ascii="宋体" w:hAnsi="宋体" w:cs="宋体"/>
                <w:color w:val="auto"/>
                <w:szCs w:val="21"/>
                <w:highlight w:val="none"/>
              </w:rPr>
              <w:t>结算按照合同相关约定执行。</w:t>
            </w:r>
          </w:p>
          <w:p w14:paraId="4A6EB3C8">
            <w:pPr>
              <w:spacing w:line="360" w:lineRule="auto"/>
              <w:rPr>
                <w:rFonts w:ascii="宋体" w:hAnsi="宋体" w:cs="宋体"/>
                <w:color w:val="auto"/>
                <w:szCs w:val="21"/>
                <w:highlight w:val="none"/>
              </w:rPr>
            </w:pPr>
            <w:r>
              <w:rPr>
                <w:rFonts w:hint="eastAsia" w:ascii="宋体" w:hAnsi="宋体" w:cs="宋体"/>
                <w:color w:val="auto"/>
                <w:szCs w:val="21"/>
                <w:highlight w:val="none"/>
              </w:rPr>
              <w:t>（3）建安工程费：建安工程费投标报价不得高于总</w:t>
            </w:r>
            <w:r>
              <w:rPr>
                <w:rFonts w:hint="eastAsia" w:ascii="宋体" w:hAnsi="宋体" w:cs="宋体"/>
                <w:color w:val="auto"/>
                <w:highlight w:val="none"/>
              </w:rPr>
              <w:t>建安工程费最高投标限价</w:t>
            </w:r>
            <w:r>
              <w:rPr>
                <w:rFonts w:hint="eastAsia" w:ascii="宋体" w:hAnsi="宋体" w:cs="宋体"/>
                <w:color w:val="auto"/>
                <w:highlight w:val="none"/>
                <w:lang w:val="en-US" w:eastAsia="zh-CN"/>
              </w:rPr>
              <w:t>及各期</w:t>
            </w:r>
            <w:r>
              <w:rPr>
                <w:rFonts w:hint="eastAsia" w:ascii="宋体" w:hAnsi="宋体" w:cs="宋体"/>
                <w:color w:val="auto"/>
                <w:szCs w:val="21"/>
                <w:highlight w:val="none"/>
              </w:rPr>
              <w:t>建安工程费</w:t>
            </w:r>
            <w:r>
              <w:rPr>
                <w:rFonts w:hint="eastAsia" w:ascii="宋体" w:hAnsi="宋体" w:cs="宋体"/>
                <w:color w:val="auto"/>
                <w:highlight w:val="none"/>
                <w:lang w:val="en-US" w:eastAsia="zh-CN"/>
              </w:rPr>
              <w:t>最高投标限价</w:t>
            </w:r>
            <w:r>
              <w:rPr>
                <w:rFonts w:hint="eastAsia" w:ascii="宋体" w:hAnsi="宋体" w:cs="宋体"/>
                <w:color w:val="auto"/>
                <w:szCs w:val="21"/>
                <w:highlight w:val="none"/>
              </w:rPr>
              <w:t>，由投标人根据招标文件要求以及企业自身情况填报投标报价和投标下浮率；结算时计取施工的投标下浮率，详见合同相关约定。</w:t>
            </w:r>
          </w:p>
          <w:p w14:paraId="04621E63">
            <w:pPr>
              <w:spacing w:line="360" w:lineRule="auto"/>
              <w:rPr>
                <w:rFonts w:ascii="宋体" w:hAnsi="宋体" w:cs="宋体"/>
                <w:color w:val="auto"/>
                <w:szCs w:val="21"/>
                <w:highlight w:val="none"/>
              </w:rPr>
            </w:pPr>
            <w:r>
              <w:rPr>
                <w:rFonts w:hint="eastAsia" w:ascii="宋体" w:hAnsi="宋体" w:cs="宋体"/>
                <w:color w:val="auto"/>
                <w:szCs w:val="21"/>
                <w:highlight w:val="none"/>
              </w:rPr>
              <w:t>注：</w:t>
            </w:r>
            <w:r>
              <w:rPr>
                <w:rFonts w:hint="eastAsia" w:cs="宋体"/>
                <w:color w:val="auto"/>
                <w:szCs w:val="21"/>
                <w:highlight w:val="none"/>
              </w:rPr>
              <w:t>本项目工程量清单以招标人提供概念性方案设计为基础编制。中标人须以该工程量清单为基础编制设计方案和施工方案，最终施工图以发包人审批通过并确认的图纸为准。</w:t>
            </w:r>
          </w:p>
          <w:p w14:paraId="3054E423">
            <w:pPr>
              <w:spacing w:line="360" w:lineRule="auto"/>
              <w:rPr>
                <w:rFonts w:ascii="宋体" w:hAnsi="宋体" w:cs="宋体"/>
                <w:color w:val="auto"/>
                <w:szCs w:val="21"/>
                <w:highlight w:val="none"/>
              </w:rPr>
            </w:pPr>
            <w:r>
              <w:rPr>
                <w:rFonts w:hint="eastAsia" w:ascii="宋体" w:hAnsi="宋体" w:cs="宋体"/>
                <w:color w:val="auto"/>
                <w:szCs w:val="21"/>
                <w:highlight w:val="none"/>
              </w:rPr>
              <w:t>中标总价仅为暂定合同价，总价不作为竣工结算的依据，在预算编制完成前可作为拨付工程进度款的依据。本项目施工图审查通过后，根据最终确认的施工图纸，由中标人采用清单模式编制施工图预算作为建安工程费，经第三方咨询机构审定预算并经建设单位审批通过后，计取中标下浮率及按合同相关约定得出合同价格清单及合同总价，以此合同价格清单作为进度款支付和结算计价的依据。施工费结算原则以合同约定为准。</w:t>
            </w:r>
          </w:p>
          <w:p w14:paraId="5C297EB2">
            <w:pPr>
              <w:pStyle w:val="11"/>
              <w:spacing w:line="360" w:lineRule="auto"/>
              <w:rPr>
                <w:rFonts w:cs="宋体"/>
                <w:color w:val="auto"/>
                <w:sz w:val="21"/>
                <w:szCs w:val="21"/>
                <w:highlight w:val="none"/>
                <w:lang w:val="en-US"/>
              </w:rPr>
            </w:pPr>
            <w:r>
              <w:rPr>
                <w:rFonts w:hint="eastAsia" w:cs="宋体"/>
                <w:color w:val="auto"/>
                <w:sz w:val="21"/>
                <w:szCs w:val="21"/>
                <w:highlight w:val="none"/>
                <w:lang w:val="en-US"/>
              </w:rPr>
              <w:t>施工图审查备案完成后，如需设计变更须经由中标人（联合体牵头方）与招标人沟通协商并取得招标人书面同意后方可实施变更。</w:t>
            </w:r>
          </w:p>
        </w:tc>
      </w:tr>
      <w:tr w14:paraId="543A2A12">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4029847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3.3.1</w:t>
            </w:r>
          </w:p>
        </w:tc>
        <w:tc>
          <w:tcPr>
            <w:tcW w:w="2509" w:type="dxa"/>
            <w:tcBorders>
              <w:top w:val="single" w:color="000000" w:sz="4" w:space="0"/>
              <w:left w:val="single" w:color="000000" w:sz="4" w:space="0"/>
              <w:bottom w:val="single" w:color="000000" w:sz="4" w:space="0"/>
              <w:right w:val="single" w:color="000000" w:sz="4" w:space="0"/>
            </w:tcBorders>
            <w:vAlign w:val="center"/>
          </w:tcPr>
          <w:p w14:paraId="58B2B7E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投标有效期</w:t>
            </w:r>
          </w:p>
        </w:tc>
        <w:tc>
          <w:tcPr>
            <w:tcW w:w="6633" w:type="dxa"/>
            <w:tcBorders>
              <w:top w:val="single" w:color="000000" w:sz="4" w:space="0"/>
              <w:left w:val="single" w:color="000000" w:sz="4" w:space="0"/>
              <w:bottom w:val="single" w:color="000000" w:sz="4" w:space="0"/>
              <w:right w:val="single" w:color="000000" w:sz="4" w:space="0"/>
            </w:tcBorders>
            <w:vAlign w:val="center"/>
          </w:tcPr>
          <w:p w14:paraId="6B3B856E">
            <w:pPr>
              <w:widowControl/>
              <w:spacing w:line="360" w:lineRule="auto"/>
              <w:rPr>
                <w:rFonts w:ascii="宋体" w:hAnsi="宋体" w:cs="宋体"/>
                <w:color w:val="auto"/>
                <w:szCs w:val="21"/>
                <w:highlight w:val="none"/>
              </w:rPr>
            </w:pPr>
            <w:r>
              <w:rPr>
                <w:rFonts w:ascii="宋体" w:hAnsi="宋体" w:cs="宋体"/>
                <w:color w:val="auto"/>
                <w:szCs w:val="21"/>
                <w:highlight w:val="none"/>
                <w:u w:val="single"/>
              </w:rPr>
              <w:t>120</w:t>
            </w:r>
            <w:r>
              <w:rPr>
                <w:rFonts w:hint="eastAsia" w:ascii="宋体" w:hAnsi="宋体" w:cs="宋体"/>
                <w:color w:val="auto"/>
                <w:szCs w:val="21"/>
                <w:highlight w:val="none"/>
              </w:rPr>
              <w:t>日历天（从投标截止之日计起）</w:t>
            </w:r>
          </w:p>
        </w:tc>
      </w:tr>
      <w:tr w14:paraId="3218608E">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3B683D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3.4</w:t>
            </w:r>
            <w:r>
              <w:rPr>
                <w:rFonts w:ascii="宋体" w:hAnsi="宋体" w:cs="宋体"/>
                <w:color w:val="auto"/>
                <w:kern w:val="1"/>
                <w:szCs w:val="21"/>
                <w:highlight w:val="none"/>
              </w:rPr>
              <w:t>.1</w:t>
            </w:r>
          </w:p>
        </w:tc>
        <w:tc>
          <w:tcPr>
            <w:tcW w:w="2509" w:type="dxa"/>
            <w:tcBorders>
              <w:top w:val="single" w:color="000000" w:sz="4" w:space="0"/>
              <w:left w:val="single" w:color="000000" w:sz="4" w:space="0"/>
              <w:bottom w:val="single" w:color="000000" w:sz="4" w:space="0"/>
              <w:right w:val="single" w:color="000000" w:sz="4" w:space="0"/>
            </w:tcBorders>
            <w:vAlign w:val="center"/>
          </w:tcPr>
          <w:p w14:paraId="7C66A9D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投标保证金</w:t>
            </w:r>
          </w:p>
        </w:tc>
        <w:tc>
          <w:tcPr>
            <w:tcW w:w="6633" w:type="dxa"/>
            <w:tcBorders>
              <w:top w:val="single" w:color="000000" w:sz="4" w:space="0"/>
              <w:left w:val="single" w:color="000000" w:sz="4" w:space="0"/>
              <w:bottom w:val="single" w:color="000000" w:sz="4" w:space="0"/>
              <w:right w:val="single" w:color="000000" w:sz="4" w:space="0"/>
            </w:tcBorders>
            <w:vAlign w:val="center"/>
          </w:tcPr>
          <w:p w14:paraId="5A22486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是否要求投标人递交投标保证金：</w:t>
            </w:r>
          </w:p>
          <w:p w14:paraId="2CCBA11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■要求，投标保证金的金额：</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万元人民币。</w:t>
            </w:r>
          </w:p>
          <w:p w14:paraId="1EB7E01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1、投标保证金的有效期：应长于或等于投标有效期。</w:t>
            </w:r>
          </w:p>
          <w:p w14:paraId="42E0FF8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2、缴纳时间：递交投标文件截止时间前。</w:t>
            </w:r>
          </w:p>
          <w:p w14:paraId="4A25913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3、投标保证金的形式：投标保证金可采用现金、银行汇票、银行本票、银行电汇、支票（现金支票、转账支票）、银行保函、保证保险、专业担保公司担保等形式。</w:t>
            </w:r>
          </w:p>
          <w:p w14:paraId="6B33484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4、递交方式：</w:t>
            </w:r>
          </w:p>
          <w:p w14:paraId="4D01397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如采用现金或者转账或者支票形式提交的，投标保证金从投标人基本账户递交，由广州交易集团有限公司（广州公共资源交易中心）代收。请各投标人在投标文件递交截止时间前按上述金额递交至广州交易集团有限公司（广州公共资源交易中心），缴纳情况以开标时广州交易集团有限公司（广州公共资源交易中心）网站查询为准。具体操作流程详见广州交易集团有限公司（广州公共资源交易中心）最新的投标保证金缴纳操作指引或自行咨询交易中心(咨询电话：020-28866000)。</w:t>
            </w:r>
          </w:p>
          <w:p w14:paraId="542250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14:paraId="4986999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如采用电子保函形式递交投标保证金，按广州交易集团有限公司（广州公共资源交易中心）发布的《广州公共资源交易中心关于开通电子保函服务功能的通知》操作。详见：http://www.gzggzy.cn/fwznbszycwxg/857020.jhtml。到账情况以开标时广州交易集团有限公司（广州公共资源交易中心）数据库查询信息为准。</w:t>
            </w:r>
          </w:p>
          <w:p w14:paraId="6459578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对于信用良好的投标人，本项目免收投标保证金。但投标人应在投标文件中提供信用状况良好的相关证明（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扫描件加盖投标人电子印章。</w:t>
            </w:r>
          </w:p>
          <w:p w14:paraId="0617B7D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（5）为减轻中小企业资金占用压力，本项目免收中小企业（包括中型、小型和微型企业）的投标保证金。但投标人应提供属于中小企业的资料（提供自行查询企业划型截图和《中小企业声明函》（格式见</w:t>
            </w:r>
            <w:r>
              <w:rPr>
                <w:rFonts w:hint="eastAsia" w:ascii="宋体" w:hAnsi="宋体" w:cs="宋体"/>
                <w:color w:val="auto"/>
                <w:szCs w:val="21"/>
                <w:highlight w:val="none"/>
                <w:lang w:val="en-US" w:eastAsia="zh-CN"/>
              </w:rPr>
              <w:t>第八章</w:t>
            </w:r>
            <w:r>
              <w:rPr>
                <w:rFonts w:hint="eastAsia" w:ascii="宋体" w:hAnsi="宋体" w:cs="宋体"/>
                <w:color w:val="auto"/>
                <w:szCs w:val="21"/>
                <w:highlight w:val="none"/>
              </w:rPr>
              <w:t>）。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扫描件加盖投标人电子印章。</w:t>
            </w:r>
          </w:p>
          <w:p w14:paraId="2B7EFA6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（6）免交投标保证金的投标人需提供《关于投标保证金的承诺》（格式见</w:t>
            </w:r>
            <w:r>
              <w:rPr>
                <w:rFonts w:hint="eastAsia" w:ascii="宋体" w:hAnsi="宋体" w:cs="宋体"/>
                <w:color w:val="auto"/>
                <w:szCs w:val="21"/>
                <w:highlight w:val="none"/>
                <w:lang w:val="en-US" w:eastAsia="zh-CN"/>
              </w:rPr>
              <w:t>第八章</w:t>
            </w:r>
            <w:r>
              <w:rPr>
                <w:rFonts w:hint="eastAsia" w:ascii="宋体" w:hAnsi="宋体" w:cs="宋体"/>
                <w:color w:val="auto"/>
                <w:szCs w:val="21"/>
                <w:highlight w:val="none"/>
              </w:rPr>
              <w:t>）。</w:t>
            </w:r>
          </w:p>
          <w:p w14:paraId="58CC57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（7）对于联合体投标人，投标担保由承担施工任务的单位缴纳。</w:t>
            </w:r>
          </w:p>
          <w:p w14:paraId="4054FDA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5、开标时投标人没有按要求提供投标保证金的，其投标文件将被否决。</w:t>
            </w:r>
          </w:p>
          <w:p w14:paraId="584F253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6、投标保证金依据法律法规的相关规定退还。</w:t>
            </w:r>
          </w:p>
          <w:p w14:paraId="3FCFB35B">
            <w:pPr>
              <w:spacing w:line="360" w:lineRule="auto"/>
              <w:rPr>
                <w:color w:val="auto"/>
                <w:highlight w:val="none"/>
              </w:rPr>
            </w:pPr>
            <w:r>
              <w:rPr>
                <w:rFonts w:hint="eastAsia" w:ascii="宋体" w:hAnsi="宋体" w:cs="宋体"/>
                <w:color w:val="auto"/>
                <w:szCs w:val="21"/>
                <w:highlight w:val="none"/>
              </w:rPr>
              <w:t>□不要求</w:t>
            </w:r>
          </w:p>
        </w:tc>
      </w:tr>
      <w:tr w14:paraId="2A5B6306">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412BC7FB">
            <w:pPr>
              <w:spacing w:line="360" w:lineRule="auto"/>
              <w:jc w:val="center"/>
              <w:rPr>
                <w:rFonts w:ascii="宋体" w:hAnsi="宋体" w:cs="宋体"/>
                <w:color w:val="auto"/>
                <w:kern w:val="1"/>
                <w:szCs w:val="21"/>
                <w:highlight w:val="none"/>
              </w:rPr>
            </w:pPr>
            <w:r>
              <w:rPr>
                <w:rFonts w:ascii="宋体" w:hAnsi="宋体" w:cs="宋体"/>
                <w:color w:val="auto"/>
                <w:szCs w:val="21"/>
                <w:highlight w:val="none"/>
              </w:rPr>
              <w:t>3.5.2</w:t>
            </w:r>
          </w:p>
        </w:tc>
        <w:tc>
          <w:tcPr>
            <w:tcW w:w="2509" w:type="dxa"/>
            <w:tcBorders>
              <w:top w:val="single" w:color="000000" w:sz="4" w:space="0"/>
              <w:left w:val="single" w:color="000000" w:sz="4" w:space="0"/>
              <w:bottom w:val="single" w:color="000000" w:sz="4" w:space="0"/>
              <w:right w:val="single" w:color="000000" w:sz="4" w:space="0"/>
            </w:tcBorders>
            <w:vAlign w:val="center"/>
          </w:tcPr>
          <w:p w14:paraId="4A8436A9">
            <w:pPr>
              <w:spacing w:line="360" w:lineRule="auto"/>
              <w:jc w:val="center"/>
              <w:rPr>
                <w:rFonts w:ascii="宋体" w:hAnsi="宋体" w:cs="宋体"/>
                <w:color w:val="auto"/>
                <w:kern w:val="1"/>
                <w:szCs w:val="21"/>
                <w:highlight w:val="none"/>
              </w:rPr>
            </w:pPr>
            <w:r>
              <w:rPr>
                <w:rFonts w:ascii="宋体" w:hAnsi="宋体" w:cs="宋体"/>
                <w:color w:val="auto"/>
                <w:szCs w:val="21"/>
                <w:highlight w:val="none"/>
              </w:rPr>
              <w:t>近年财务状况</w:t>
            </w:r>
          </w:p>
        </w:tc>
        <w:tc>
          <w:tcPr>
            <w:tcW w:w="6633" w:type="dxa"/>
            <w:tcBorders>
              <w:top w:val="single" w:color="000000" w:sz="4" w:space="0"/>
              <w:left w:val="single" w:color="000000" w:sz="4" w:space="0"/>
              <w:bottom w:val="single" w:color="000000" w:sz="4" w:space="0"/>
              <w:right w:val="single" w:color="000000" w:sz="4" w:space="0"/>
            </w:tcBorders>
            <w:vAlign w:val="center"/>
          </w:tcPr>
          <w:p w14:paraId="1DC61E9E">
            <w:pPr>
              <w:spacing w:line="360" w:lineRule="auto"/>
              <w:rPr>
                <w:rFonts w:ascii="宋体" w:hAnsi="宋体" w:cs="宋体"/>
                <w:color w:val="auto"/>
                <w:szCs w:val="21"/>
                <w:highlight w:val="none"/>
                <w:u w:val="single"/>
              </w:rPr>
            </w:pPr>
            <w:r>
              <w:rPr>
                <w:rFonts w:ascii="宋体" w:hAnsi="宋体" w:cs="宋体"/>
                <w:color w:val="auto"/>
                <w:szCs w:val="21"/>
                <w:highlight w:val="none"/>
                <w:u w:val="single"/>
              </w:rPr>
              <w:t>/</w:t>
            </w:r>
          </w:p>
        </w:tc>
      </w:tr>
      <w:tr w14:paraId="29A693C4">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1C60A8A4">
            <w:pP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rPr>
              <w:t>3.5.</w:t>
            </w:r>
            <w:r>
              <w:rPr>
                <w:rFonts w:hint="eastAsia" w:ascii="宋体" w:hAnsi="宋体" w:cs="宋体"/>
                <w:color w:val="auto"/>
                <w:kern w:val="1"/>
                <w:szCs w:val="21"/>
                <w:highlight w:val="none"/>
              </w:rPr>
              <w:t>3</w:t>
            </w:r>
          </w:p>
        </w:tc>
        <w:tc>
          <w:tcPr>
            <w:tcW w:w="2509" w:type="dxa"/>
            <w:tcBorders>
              <w:top w:val="single" w:color="000000" w:sz="4" w:space="0"/>
              <w:left w:val="single" w:color="000000" w:sz="4" w:space="0"/>
              <w:bottom w:val="single" w:color="000000" w:sz="4" w:space="0"/>
              <w:right w:val="single" w:color="000000" w:sz="4" w:space="0"/>
            </w:tcBorders>
            <w:vAlign w:val="center"/>
          </w:tcPr>
          <w:p w14:paraId="1C898090">
            <w:pP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rPr>
              <w:t>近年完成的类似项目</w:t>
            </w:r>
          </w:p>
        </w:tc>
        <w:tc>
          <w:tcPr>
            <w:tcW w:w="6633" w:type="dxa"/>
            <w:tcBorders>
              <w:top w:val="single" w:color="000000" w:sz="4" w:space="0"/>
              <w:left w:val="single" w:color="000000" w:sz="4" w:space="0"/>
              <w:bottom w:val="single" w:color="000000" w:sz="4" w:space="0"/>
              <w:right w:val="single" w:color="000000" w:sz="4" w:space="0"/>
            </w:tcBorders>
            <w:vAlign w:val="center"/>
          </w:tcPr>
          <w:p w14:paraId="113C75C3">
            <w:pPr>
              <w:spacing w:line="360" w:lineRule="auto"/>
              <w:rPr>
                <w:rFonts w:ascii="宋体" w:hAnsi="宋体" w:cs="宋体"/>
                <w:b/>
                <w:color w:val="auto"/>
                <w:szCs w:val="21"/>
                <w:highlight w:val="none"/>
                <w:u w:val="single"/>
              </w:rPr>
            </w:pPr>
            <w:r>
              <w:rPr>
                <w:rFonts w:ascii="宋体" w:hAnsi="宋体" w:cs="宋体"/>
                <w:color w:val="auto"/>
                <w:szCs w:val="21"/>
                <w:highlight w:val="none"/>
                <w:u w:val="single"/>
              </w:rPr>
              <w:t>/</w:t>
            </w:r>
          </w:p>
        </w:tc>
      </w:tr>
      <w:tr w14:paraId="1B5623C2">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A6F8CC0">
            <w:pPr>
              <w:spacing w:line="360" w:lineRule="auto"/>
              <w:jc w:val="center"/>
              <w:rPr>
                <w:rFonts w:ascii="宋体" w:hAnsi="宋体" w:cs="宋体"/>
                <w:color w:val="auto"/>
                <w:kern w:val="1"/>
                <w:szCs w:val="21"/>
                <w:highlight w:val="none"/>
              </w:rPr>
            </w:pPr>
            <w:r>
              <w:rPr>
                <w:rFonts w:ascii="宋体" w:hAnsi="宋体" w:cs="宋体"/>
                <w:color w:val="auto"/>
                <w:szCs w:val="21"/>
                <w:highlight w:val="none"/>
              </w:rPr>
              <w:t>3.5.5</w:t>
            </w:r>
          </w:p>
        </w:tc>
        <w:tc>
          <w:tcPr>
            <w:tcW w:w="2509" w:type="dxa"/>
            <w:tcBorders>
              <w:top w:val="single" w:color="000000" w:sz="4" w:space="0"/>
              <w:left w:val="single" w:color="000000" w:sz="4" w:space="0"/>
              <w:bottom w:val="single" w:color="000000" w:sz="4" w:space="0"/>
              <w:right w:val="single" w:color="000000" w:sz="4" w:space="0"/>
            </w:tcBorders>
            <w:vAlign w:val="center"/>
          </w:tcPr>
          <w:p w14:paraId="736DC717">
            <w:pPr>
              <w:spacing w:line="360" w:lineRule="auto"/>
              <w:jc w:val="center"/>
              <w:rPr>
                <w:rFonts w:ascii="宋体" w:hAnsi="宋体" w:cs="宋体"/>
                <w:color w:val="auto"/>
                <w:kern w:val="1"/>
                <w:szCs w:val="21"/>
                <w:highlight w:val="none"/>
              </w:rPr>
            </w:pPr>
            <w:r>
              <w:rPr>
                <w:rFonts w:ascii="宋体" w:hAnsi="宋体" w:cs="宋体"/>
                <w:color w:val="auto"/>
                <w:szCs w:val="21"/>
                <w:highlight w:val="none"/>
              </w:rPr>
              <w:t>近年发生的重大诉讼及仲裁情况</w:t>
            </w:r>
          </w:p>
        </w:tc>
        <w:tc>
          <w:tcPr>
            <w:tcW w:w="6633" w:type="dxa"/>
            <w:tcBorders>
              <w:top w:val="single" w:color="000000" w:sz="4" w:space="0"/>
              <w:left w:val="single" w:color="000000" w:sz="4" w:space="0"/>
              <w:bottom w:val="single" w:color="000000" w:sz="4" w:space="0"/>
              <w:right w:val="single" w:color="000000" w:sz="4" w:space="0"/>
            </w:tcBorders>
            <w:vAlign w:val="center"/>
          </w:tcPr>
          <w:p w14:paraId="17FF35D8">
            <w:pPr>
              <w:spacing w:line="360" w:lineRule="auto"/>
              <w:rPr>
                <w:rFonts w:ascii="宋体" w:hAnsi="宋体" w:cs="宋体"/>
                <w:color w:val="auto"/>
                <w:szCs w:val="21"/>
                <w:highlight w:val="none"/>
                <w:u w:val="single"/>
              </w:rPr>
            </w:pPr>
            <w:r>
              <w:rPr>
                <w:rFonts w:ascii="宋体" w:hAnsi="宋体" w:cs="宋体"/>
                <w:color w:val="auto"/>
                <w:szCs w:val="21"/>
                <w:highlight w:val="none"/>
                <w:u w:val="single"/>
              </w:rPr>
              <w:t>/</w:t>
            </w:r>
          </w:p>
        </w:tc>
      </w:tr>
      <w:tr w14:paraId="2F079913">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CDF250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3.6</w:t>
            </w:r>
          </w:p>
        </w:tc>
        <w:tc>
          <w:tcPr>
            <w:tcW w:w="2509" w:type="dxa"/>
            <w:tcBorders>
              <w:top w:val="single" w:color="000000" w:sz="4" w:space="0"/>
              <w:left w:val="single" w:color="000000" w:sz="4" w:space="0"/>
              <w:bottom w:val="single" w:color="000000" w:sz="4" w:space="0"/>
              <w:right w:val="single" w:color="000000" w:sz="4" w:space="0"/>
            </w:tcBorders>
            <w:vAlign w:val="center"/>
          </w:tcPr>
          <w:p w14:paraId="3EFD925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是否允许递交备选投标方案</w:t>
            </w:r>
          </w:p>
        </w:tc>
        <w:tc>
          <w:tcPr>
            <w:tcW w:w="6633" w:type="dxa"/>
            <w:tcBorders>
              <w:top w:val="single" w:color="000000" w:sz="4" w:space="0"/>
              <w:left w:val="single" w:color="000000" w:sz="4" w:space="0"/>
              <w:bottom w:val="single" w:color="000000" w:sz="4" w:space="0"/>
              <w:right w:val="single" w:color="000000" w:sz="4" w:space="0"/>
            </w:tcBorders>
            <w:vAlign w:val="center"/>
          </w:tcPr>
          <w:p w14:paraId="2ACC4905">
            <w:pPr>
              <w:pStyle w:val="8"/>
              <w:spacing w:line="360" w:lineRule="auto"/>
              <w:rPr>
                <w:color w:val="auto"/>
                <w:kern w:val="1"/>
                <w:sz w:val="21"/>
                <w:szCs w:val="21"/>
                <w:highlight w:val="none"/>
              </w:rPr>
            </w:pPr>
            <w:r>
              <w:rPr>
                <w:rFonts w:hint="eastAsia"/>
                <w:color w:val="auto"/>
                <w:kern w:val="1"/>
                <w:sz w:val="21"/>
                <w:szCs w:val="21"/>
                <w:highlight w:val="none"/>
              </w:rPr>
              <w:t>■不允许</w:t>
            </w:r>
          </w:p>
          <w:p w14:paraId="1D7C0C45">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□允许</w:t>
            </w:r>
          </w:p>
        </w:tc>
      </w:tr>
      <w:tr w14:paraId="30E9E227">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30B2991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3.7.</w:t>
            </w:r>
            <w:r>
              <w:rPr>
                <w:rFonts w:ascii="宋体" w:hAnsi="宋体" w:cs="宋体"/>
                <w:color w:val="auto"/>
                <w:kern w:val="1"/>
                <w:szCs w:val="21"/>
                <w:highlight w:val="none"/>
              </w:rPr>
              <w:t>3</w:t>
            </w:r>
          </w:p>
        </w:tc>
        <w:tc>
          <w:tcPr>
            <w:tcW w:w="2509" w:type="dxa"/>
            <w:tcBorders>
              <w:top w:val="single" w:color="000000" w:sz="4" w:space="0"/>
              <w:left w:val="single" w:color="000000" w:sz="4" w:space="0"/>
              <w:bottom w:val="single" w:color="000000" w:sz="4" w:space="0"/>
              <w:right w:val="single" w:color="000000" w:sz="4" w:space="0"/>
            </w:tcBorders>
            <w:vAlign w:val="center"/>
          </w:tcPr>
          <w:p w14:paraId="440D7F1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签字或盖章要求</w:t>
            </w:r>
          </w:p>
        </w:tc>
        <w:tc>
          <w:tcPr>
            <w:tcW w:w="6633" w:type="dxa"/>
            <w:tcBorders>
              <w:top w:val="single" w:color="000000" w:sz="4" w:space="0"/>
              <w:left w:val="single" w:color="000000" w:sz="4" w:space="0"/>
              <w:bottom w:val="single" w:color="000000" w:sz="4" w:space="0"/>
              <w:right w:val="single" w:color="000000" w:sz="4" w:space="0"/>
            </w:tcBorders>
            <w:vAlign w:val="center"/>
          </w:tcPr>
          <w:p w14:paraId="70A041F8">
            <w:pPr>
              <w:spacing w:line="360" w:lineRule="auto"/>
              <w:rPr>
                <w:rFonts w:ascii="宋体" w:hAnsi="宋体" w:cs="宋体"/>
                <w:b/>
                <w:color w:val="auto"/>
                <w:kern w:val="1"/>
                <w:szCs w:val="21"/>
                <w:highlight w:val="none"/>
              </w:rPr>
            </w:pPr>
            <w:r>
              <w:rPr>
                <w:rFonts w:hint="eastAsia" w:ascii="宋体" w:hAnsi="宋体" w:cs="宋体"/>
                <w:b/>
                <w:color w:val="auto"/>
                <w:kern w:val="1"/>
                <w:szCs w:val="21"/>
                <w:highlight w:val="none"/>
              </w:rPr>
              <w:t>1、所有其他投标文件的所有证书证件、证明文件及招标文件所附格式要求盖章处需加盖电子印章，在招标文件所附格式规定签名位置，法定代表人或其授权代表应加盖个人电子印章或在线下完成后扫描上传，其余可不加盖电子印章或签名；</w:t>
            </w:r>
          </w:p>
          <w:p w14:paraId="5173B92D">
            <w:pPr>
              <w:spacing w:line="360" w:lineRule="auto"/>
              <w:rPr>
                <w:rFonts w:ascii="宋体" w:hAnsi="宋体" w:cs="宋体"/>
                <w:b/>
                <w:color w:val="auto"/>
                <w:kern w:val="1"/>
                <w:szCs w:val="21"/>
                <w:highlight w:val="none"/>
              </w:rPr>
            </w:pPr>
            <w:r>
              <w:rPr>
                <w:rFonts w:hint="eastAsia" w:ascii="宋体" w:hAnsi="宋体" w:cs="宋体"/>
                <w:b/>
                <w:color w:val="auto"/>
                <w:kern w:val="1"/>
                <w:szCs w:val="21"/>
                <w:highlight w:val="none"/>
              </w:rPr>
              <w:t>2、联合体投标的，除《联合体共同投标协议书》格式必须要联合体各方按要求进行签字及盖章（具体以格式内的盖章及签字要求为准）外，其余须投标人盖章或签字的由联合体牵头单位签字、盖章即可。</w:t>
            </w:r>
          </w:p>
          <w:p w14:paraId="4032D149">
            <w:pPr>
              <w:spacing w:line="360" w:lineRule="auto"/>
              <w:rPr>
                <w:bCs/>
                <w:color w:val="auto"/>
                <w:highlight w:val="none"/>
              </w:rPr>
            </w:pPr>
            <w:r>
              <w:rPr>
                <w:rFonts w:hint="eastAsia" w:ascii="宋体" w:hAnsi="宋体" w:cs="宋体"/>
                <w:b/>
                <w:color w:val="auto"/>
                <w:kern w:val="1"/>
                <w:szCs w:val="21"/>
                <w:highlight w:val="none"/>
              </w:rPr>
              <w:t>3、联合体投标的，除《联合体共同投标协议书》格式外，投标文件封面及其他内容格式落款中的“投标人”应填写联合体各方的单位全称【格式为：(主)XXXX公司(成)XXXX公</w:t>
            </w:r>
            <w:r>
              <w:rPr>
                <w:rFonts w:hint="eastAsia" w:ascii="宋体" w:hAnsi="宋体" w:cs="宋体"/>
                <w:b/>
                <w:color w:val="auto"/>
                <w:kern w:val="1"/>
                <w:szCs w:val="21"/>
                <w:highlight w:val="none"/>
                <w:lang w:val="en-US" w:eastAsia="zh-CN"/>
              </w:rPr>
              <w:t>司</w:t>
            </w:r>
            <w:r>
              <w:rPr>
                <w:rFonts w:hint="eastAsia" w:ascii="宋体" w:hAnsi="宋体" w:cs="宋体"/>
                <w:b/>
                <w:color w:val="auto"/>
                <w:kern w:val="1"/>
                <w:szCs w:val="21"/>
                <w:highlight w:val="none"/>
              </w:rPr>
              <w:t>(成)XXXX公</w:t>
            </w:r>
            <w:r>
              <w:rPr>
                <w:rFonts w:hint="eastAsia" w:ascii="宋体" w:hAnsi="宋体" w:cs="宋体"/>
                <w:b/>
                <w:color w:val="auto"/>
                <w:kern w:val="1"/>
                <w:szCs w:val="21"/>
                <w:highlight w:val="none"/>
                <w:lang w:val="en-US" w:eastAsia="zh-CN"/>
              </w:rPr>
              <w:t>司</w:t>
            </w:r>
            <w:r>
              <w:rPr>
                <w:rFonts w:hint="eastAsia" w:ascii="宋体" w:hAnsi="宋体" w:cs="宋体"/>
                <w:b/>
                <w:color w:val="auto"/>
                <w:kern w:val="1"/>
                <w:szCs w:val="21"/>
                <w:highlight w:val="none"/>
              </w:rPr>
              <w:t>……】。</w:t>
            </w:r>
          </w:p>
        </w:tc>
      </w:tr>
      <w:tr w14:paraId="313216C6">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3596847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.1.1</w:t>
            </w:r>
          </w:p>
        </w:tc>
        <w:tc>
          <w:tcPr>
            <w:tcW w:w="2509" w:type="dxa"/>
            <w:tcBorders>
              <w:top w:val="single" w:color="000000" w:sz="4" w:space="0"/>
              <w:left w:val="single" w:color="000000" w:sz="4" w:space="0"/>
              <w:bottom w:val="single" w:color="000000" w:sz="4" w:space="0"/>
              <w:right w:val="single" w:color="000000" w:sz="4" w:space="0"/>
            </w:tcBorders>
            <w:vAlign w:val="center"/>
          </w:tcPr>
          <w:p w14:paraId="2455555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投标文件加密要求</w:t>
            </w:r>
          </w:p>
        </w:tc>
        <w:tc>
          <w:tcPr>
            <w:tcW w:w="6633" w:type="dxa"/>
            <w:tcBorders>
              <w:top w:val="single" w:color="000000" w:sz="4" w:space="0"/>
              <w:left w:val="single" w:color="000000" w:sz="4" w:space="0"/>
              <w:bottom w:val="single" w:color="000000" w:sz="4" w:space="0"/>
              <w:right w:val="single" w:color="000000" w:sz="4" w:space="0"/>
            </w:tcBorders>
            <w:vAlign w:val="center"/>
          </w:tcPr>
          <w:p w14:paraId="1558193A">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1、网上递交的电子投标文件须进行加密。具体操作详见广州交易集团有限公司（广州公共资源交易中心）交易平台相关操作指南。</w:t>
            </w:r>
          </w:p>
          <w:p w14:paraId="4B47312E">
            <w:pPr>
              <w:spacing w:line="360" w:lineRule="auto"/>
              <w:rPr>
                <w:color w:val="auto"/>
                <w:highlight w:val="none"/>
              </w:rPr>
            </w:pPr>
            <w:r>
              <w:rPr>
                <w:rFonts w:hint="eastAsia" w:ascii="宋体" w:hAnsi="宋体" w:cs="宋体"/>
                <w:color w:val="auto"/>
                <w:kern w:val="1"/>
                <w:szCs w:val="21"/>
                <w:highlight w:val="none"/>
              </w:rPr>
              <w:t>2、未按要求加密的投标文件，招标人将予以拒收。</w:t>
            </w:r>
          </w:p>
        </w:tc>
      </w:tr>
      <w:tr w14:paraId="1B400864">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5B6B765">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.1.2</w:t>
            </w:r>
          </w:p>
        </w:tc>
        <w:tc>
          <w:tcPr>
            <w:tcW w:w="2509" w:type="dxa"/>
            <w:tcBorders>
              <w:top w:val="single" w:color="000000" w:sz="4" w:space="0"/>
              <w:left w:val="single" w:color="000000" w:sz="4" w:space="0"/>
              <w:bottom w:val="single" w:color="000000" w:sz="4" w:space="0"/>
              <w:right w:val="single" w:color="000000" w:sz="4" w:space="0"/>
            </w:tcBorders>
            <w:vAlign w:val="center"/>
          </w:tcPr>
          <w:p w14:paraId="3FA0DB9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封套上应载明的信息</w:t>
            </w:r>
          </w:p>
        </w:tc>
        <w:tc>
          <w:tcPr>
            <w:tcW w:w="6633" w:type="dxa"/>
            <w:tcBorders>
              <w:top w:val="single" w:color="000000" w:sz="4" w:space="0"/>
              <w:left w:val="single" w:color="000000" w:sz="4" w:space="0"/>
              <w:bottom w:val="single" w:color="000000" w:sz="4" w:space="0"/>
              <w:right w:val="single" w:color="000000" w:sz="4" w:space="0"/>
            </w:tcBorders>
            <w:vAlign w:val="center"/>
          </w:tcPr>
          <w:p w14:paraId="78E6783F">
            <w:pPr>
              <w:spacing w:line="360" w:lineRule="auto"/>
              <w:rPr>
                <w:rFonts w:ascii="宋体" w:hAnsi="宋体" w:cs="宋体"/>
                <w:color w:val="auto"/>
                <w:szCs w:val="21"/>
                <w:highlight w:val="none"/>
              </w:rPr>
            </w:pPr>
            <w:r>
              <w:rPr>
                <w:rFonts w:hint="eastAsia" w:ascii="宋体" w:hAnsi="宋体" w:cs="宋体"/>
                <w:color w:val="auto"/>
                <w:szCs w:val="21"/>
                <w:highlight w:val="none"/>
              </w:rPr>
              <w:t>如有提交备用电子投标文件光盘或</w:t>
            </w:r>
            <w:r>
              <w:rPr>
                <w:rFonts w:ascii="宋体" w:hAnsi="宋体" w:cs="宋体"/>
                <w:color w:val="auto"/>
                <w:szCs w:val="21"/>
                <w:highlight w:val="none"/>
              </w:rPr>
              <w:t>u盘，封套上应注明如下信息：</w:t>
            </w:r>
          </w:p>
          <w:p w14:paraId="55E47529">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招标人名称：</w:t>
            </w:r>
          </w:p>
          <w:p w14:paraId="55160955">
            <w:pPr>
              <w:spacing w:line="360" w:lineRule="auto"/>
              <w:rPr>
                <w:rFonts w:ascii="宋体" w:hAnsi="宋体" w:cs="宋体"/>
                <w:color w:val="auto"/>
                <w:szCs w:val="21"/>
                <w:highlight w:val="none"/>
              </w:rPr>
            </w:pPr>
            <w:r>
              <w:rPr>
                <w:rFonts w:hint="eastAsia" w:ascii="宋体" w:hAnsi="宋体" w:cs="宋体"/>
                <w:color w:val="auto"/>
                <w:szCs w:val="21"/>
                <w:highlight w:val="none"/>
              </w:rPr>
              <w:t>招标人地址：</w:t>
            </w:r>
          </w:p>
          <w:p w14:paraId="5D61E8C4">
            <w:pPr>
              <w:spacing w:line="360" w:lineRule="auto"/>
              <w:rPr>
                <w:rFonts w:ascii="宋体" w:hAnsi="宋体" w:cs="宋体"/>
                <w:color w:val="auto"/>
                <w:szCs w:val="21"/>
                <w:highlight w:val="none"/>
              </w:rPr>
            </w:pPr>
            <w:r>
              <w:rPr>
                <w:rFonts w:hint="eastAsia" w:ascii="宋体" w:hAnsi="宋体" w:cs="宋体"/>
                <w:color w:val="auto"/>
                <w:szCs w:val="21"/>
                <w:highlight w:val="none"/>
              </w:rPr>
              <w:t>招标项目投标文件</w:t>
            </w:r>
          </w:p>
          <w:p w14:paraId="48B84354">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招标项目编号：</w:t>
            </w:r>
          </w:p>
          <w:p w14:paraId="69E6F879">
            <w:pPr>
              <w:spacing w:line="360" w:lineRule="auto"/>
              <w:rPr>
                <w:rFonts w:ascii="宋体" w:hAnsi="宋体" w:cs="宋体"/>
                <w:color w:val="auto"/>
                <w:szCs w:val="21"/>
                <w:highlight w:val="none"/>
              </w:rPr>
            </w:pPr>
            <w:r>
              <w:rPr>
                <w:rFonts w:hint="eastAsia" w:ascii="宋体" w:hAnsi="宋体" w:cs="宋体"/>
                <w:color w:val="auto"/>
                <w:szCs w:val="21"/>
                <w:highlight w:val="none"/>
              </w:rPr>
              <w:t>投标人名称：</w:t>
            </w:r>
          </w:p>
          <w:p w14:paraId="60E1E5CC">
            <w:pPr>
              <w:spacing w:line="360" w:lineRule="auto"/>
              <w:rPr>
                <w:color w:val="auto"/>
                <w:highlight w:val="none"/>
              </w:rPr>
            </w:pPr>
            <w:r>
              <w:rPr>
                <w:rFonts w:hint="eastAsia" w:ascii="宋体" w:hAnsi="宋体" w:cs="宋体"/>
                <w:color w:val="auto"/>
                <w:szCs w:val="21"/>
                <w:highlight w:val="none"/>
              </w:rPr>
              <w:t>在年月日时分前不得开启（填入开标时间）</w:t>
            </w:r>
          </w:p>
        </w:tc>
      </w:tr>
      <w:tr w14:paraId="72CA3C0F">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DB7A5A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4.2.</w:t>
            </w:r>
            <w:r>
              <w:rPr>
                <w:rFonts w:ascii="宋体" w:hAnsi="宋体" w:cs="宋体"/>
                <w:color w:val="auto"/>
                <w:kern w:val="1"/>
                <w:szCs w:val="21"/>
                <w:highlight w:val="none"/>
              </w:rPr>
              <w:t>1</w:t>
            </w:r>
          </w:p>
        </w:tc>
        <w:tc>
          <w:tcPr>
            <w:tcW w:w="2509" w:type="dxa"/>
            <w:tcBorders>
              <w:top w:val="single" w:color="000000" w:sz="4" w:space="0"/>
              <w:left w:val="single" w:color="000000" w:sz="4" w:space="0"/>
              <w:bottom w:val="single" w:color="000000" w:sz="4" w:space="0"/>
              <w:right w:val="single" w:color="000000" w:sz="4" w:space="0"/>
            </w:tcBorders>
            <w:vAlign w:val="center"/>
          </w:tcPr>
          <w:p w14:paraId="28CFE9D8">
            <w:pPr>
              <w:spacing w:line="360" w:lineRule="auto"/>
              <w:jc w:val="center"/>
              <w:rPr>
                <w:rFonts w:ascii="宋体" w:hAnsi="宋体" w:cs="宋体"/>
                <w:color w:val="auto"/>
                <w:kern w:val="1"/>
                <w:szCs w:val="21"/>
                <w:highlight w:val="none"/>
              </w:rPr>
            </w:pPr>
            <w:r>
              <w:rPr>
                <w:rFonts w:hint="eastAsia" w:ascii="宋体" w:hAnsi="宋体" w:cs="宋体"/>
                <w:bCs/>
                <w:color w:val="auto"/>
                <w:kern w:val="1"/>
                <w:szCs w:val="21"/>
                <w:highlight w:val="none"/>
              </w:rPr>
              <w:t>投标截止时间</w:t>
            </w:r>
          </w:p>
        </w:tc>
        <w:tc>
          <w:tcPr>
            <w:tcW w:w="6633" w:type="dxa"/>
            <w:tcBorders>
              <w:top w:val="single" w:color="000000" w:sz="4" w:space="0"/>
              <w:left w:val="single" w:color="000000" w:sz="4" w:space="0"/>
              <w:bottom w:val="single" w:color="000000" w:sz="4" w:space="0"/>
              <w:right w:val="single" w:color="000000" w:sz="4" w:space="0"/>
            </w:tcBorders>
            <w:vAlign w:val="center"/>
          </w:tcPr>
          <w:p w14:paraId="0019278A">
            <w:pPr>
              <w:spacing w:line="360" w:lineRule="auto"/>
              <w:rPr>
                <w:rFonts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20</w:t>
            </w:r>
            <w:r>
              <w:rPr>
                <w:rFonts w:ascii="宋体" w:hAnsi="宋体" w:cs="宋体"/>
                <w:color w:val="auto"/>
                <w:szCs w:val="21"/>
                <w:highlight w:val="none"/>
                <w:u w:val="single"/>
              </w:rPr>
              <w:t>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14:paraId="7AF6008E">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具体时间可以到广州交易集团有限公司（广州公共资源交易中心）网站的项目查询(日程安排、答疑纪要)中输入本项目编号或项目名称进行查询。</w:t>
            </w:r>
          </w:p>
        </w:tc>
      </w:tr>
      <w:tr w14:paraId="116014CA">
        <w:tblPrEx>
          <w:tblCellMar>
            <w:top w:w="0" w:type="dxa"/>
            <w:left w:w="108" w:type="dxa"/>
            <w:bottom w:w="0" w:type="dxa"/>
            <w:right w:w="108" w:type="dxa"/>
          </w:tblCellMar>
        </w:tblPrEx>
        <w:trPr>
          <w:trHeight w:val="454" w:hRule="atLeast"/>
          <w:jc w:val="center"/>
        </w:trPr>
        <w:tc>
          <w:tcPr>
            <w:tcW w:w="883" w:type="dxa"/>
            <w:tcBorders>
              <w:top w:val="single" w:color="auto" w:sz="4" w:space="0"/>
              <w:left w:val="single" w:color="auto" w:sz="4" w:space="0"/>
              <w:bottom w:val="single" w:color="auto" w:sz="4" w:space="0"/>
              <w:right w:val="single" w:color="000000" w:sz="4" w:space="0"/>
            </w:tcBorders>
            <w:vAlign w:val="center"/>
          </w:tcPr>
          <w:p w14:paraId="0E930292">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509" w:type="dxa"/>
            <w:tcBorders>
              <w:top w:val="single" w:color="auto" w:sz="4" w:space="0"/>
              <w:left w:val="single" w:color="000000" w:sz="4" w:space="0"/>
              <w:bottom w:val="single" w:color="auto" w:sz="4" w:space="0"/>
              <w:right w:val="single" w:color="000000" w:sz="4" w:space="0"/>
            </w:tcBorders>
            <w:vAlign w:val="center"/>
          </w:tcPr>
          <w:p w14:paraId="240366D8">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6633" w:type="dxa"/>
            <w:tcBorders>
              <w:top w:val="single" w:color="auto" w:sz="4" w:space="0"/>
              <w:left w:val="single" w:color="000000" w:sz="4" w:space="0"/>
              <w:bottom w:val="single" w:color="auto" w:sz="4" w:space="0"/>
              <w:right w:val="single" w:color="auto" w:sz="4" w:space="0"/>
            </w:tcBorders>
            <w:vAlign w:val="center"/>
          </w:tcPr>
          <w:p w14:paraId="6103115B">
            <w:pPr>
              <w:spacing w:line="360" w:lineRule="auto"/>
              <w:rPr>
                <w:rFonts w:ascii="宋体" w:hAnsi="宋体" w:cs="宋体"/>
                <w:color w:val="auto"/>
                <w:szCs w:val="21"/>
                <w:highlight w:val="none"/>
              </w:rPr>
            </w:pPr>
            <w:r>
              <w:rPr>
                <w:rFonts w:hint="eastAsia" w:ascii="宋体" w:hAnsi="宋体" w:cs="宋体"/>
                <w:color w:val="auto"/>
                <w:szCs w:val="21"/>
                <w:highlight w:val="none"/>
              </w:rPr>
              <w:t>招标人在本章第</w:t>
            </w:r>
            <w:r>
              <w:rPr>
                <w:rFonts w:ascii="宋体" w:hAnsi="宋体" w:cs="宋体"/>
                <w:color w:val="auto"/>
                <w:szCs w:val="21"/>
                <w:highlight w:val="none"/>
              </w:rPr>
              <w:t xml:space="preserve"> 4.2.1</w:t>
            </w:r>
            <w:r>
              <w:rPr>
                <w:rFonts w:hint="eastAsia" w:ascii="宋体" w:hAnsi="宋体" w:cs="宋体"/>
                <w:color w:val="auto"/>
                <w:szCs w:val="21"/>
                <w:highlight w:val="none"/>
              </w:rPr>
              <w:t>项规定的投标截止时间（开标时间）</w:t>
            </w:r>
            <w:r>
              <w:rPr>
                <w:rFonts w:ascii="宋体" w:hAnsi="宋体" w:cs="宋体"/>
                <w:color w:val="auto"/>
                <w:szCs w:val="21"/>
                <w:highlight w:val="none"/>
              </w:rPr>
              <w:t>,在</w:t>
            </w:r>
            <w:r>
              <w:rPr>
                <w:rFonts w:hint="eastAsia" w:ascii="宋体" w:hAnsi="宋体" w:cs="宋体"/>
                <w:color w:val="auto"/>
                <w:szCs w:val="21"/>
                <w:highlight w:val="none"/>
              </w:rPr>
              <w:t>广州交易集团有限公司（广州公共资源交易中心）</w:t>
            </w:r>
            <w:r>
              <w:rPr>
                <w:rFonts w:hint="eastAsia" w:ascii="宋体" w:hAnsi="宋体" w:cs="宋体"/>
                <w:color w:val="auto"/>
                <w:szCs w:val="21"/>
                <w:highlight w:val="none"/>
                <w:lang w:val="en-US" w:eastAsia="zh-CN"/>
              </w:rPr>
              <w:t>番禺交易部指定</w:t>
            </w:r>
            <w:r>
              <w:rPr>
                <w:rFonts w:hint="eastAsia" w:ascii="宋体" w:hAnsi="宋体" w:cs="宋体"/>
                <w:color w:val="auto"/>
                <w:szCs w:val="21"/>
                <w:highlight w:val="none"/>
                <w:u w:val="single"/>
              </w:rPr>
              <w:t>开标室</w:t>
            </w:r>
            <w:r>
              <w:rPr>
                <w:rFonts w:hint="eastAsia" w:ascii="宋体" w:hAnsi="宋体" w:cs="宋体"/>
                <w:color w:val="auto"/>
                <w:szCs w:val="21"/>
                <w:highlight w:val="none"/>
              </w:rPr>
              <w:t>公开开标。</w:t>
            </w:r>
            <w:r>
              <w:rPr>
                <w:rFonts w:hint="eastAsia" w:ascii="宋体" w:hAnsi="宋体" w:cs="宋体"/>
                <w:bCs/>
                <w:color w:val="auto"/>
                <w:szCs w:val="21"/>
                <w:highlight w:val="none"/>
              </w:rPr>
              <w:t>投标人也可选择参加在线开标，具体按照交易平台相关指南进行操作。详见：</w:t>
            </w:r>
            <w:r>
              <w:rPr>
                <w:rFonts w:hint="eastAsia" w:ascii="宋体" w:hAnsi="宋体" w:cs="宋体"/>
                <w:bCs/>
                <w:color w:val="auto"/>
                <w:szCs w:val="21"/>
                <w:highlight w:val="none"/>
                <w:u w:val="single"/>
              </w:rPr>
              <w:t>广州交易集团有限公司（广州公共资源交易中心）网站</w:t>
            </w:r>
            <w:r>
              <w:rPr>
                <w:rFonts w:hint="eastAsia" w:ascii="宋体" w:hAnsi="宋体" w:cs="宋体"/>
                <w:bCs/>
                <w:color w:val="auto"/>
                <w:szCs w:val="21"/>
                <w:highlight w:val="none"/>
              </w:rPr>
              <w:t>。</w:t>
            </w:r>
          </w:p>
          <w:p w14:paraId="06C5BA81">
            <w:pPr>
              <w:spacing w:line="360" w:lineRule="auto"/>
              <w:ind w:left="0" w:hanging="420" w:hangingChars="200"/>
              <w:rPr>
                <w:rFonts w:hint="eastAsia" w:ascii="宋体" w:hAnsi="宋体" w:cs="宋体"/>
                <w:color w:val="auto"/>
                <w:szCs w:val="21"/>
                <w:highlight w:val="none"/>
                <w:u w:val="single"/>
              </w:rPr>
            </w:pPr>
            <w:r>
              <w:rPr>
                <w:rFonts w:hint="eastAsia" w:ascii="宋体" w:hAnsi="宋体" w:cs="宋体"/>
                <w:color w:val="auto"/>
                <w:szCs w:val="21"/>
                <w:highlight w:val="none"/>
              </w:rPr>
              <w:t>递交备用电子投标文件时间：</w:t>
            </w:r>
            <w:r>
              <w:rPr>
                <w:rFonts w:ascii="宋体" w:hAnsi="宋体" w:cs="宋体"/>
                <w:color w:val="auto"/>
                <w:szCs w:val="21"/>
                <w:highlight w:val="none"/>
                <w:u w:val="single"/>
              </w:rPr>
              <w:t>202</w:t>
            </w:r>
            <w:r>
              <w:rPr>
                <w:rFonts w:hint="eastAsia" w:ascii="宋体" w:hAnsi="宋体" w:cs="宋体"/>
                <w:color w:val="auto"/>
                <w:szCs w:val="21"/>
                <w:highlight w:val="none"/>
                <w:u w:val="single"/>
              </w:rPr>
              <w:t>5年  月  日  时  分至</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59B94E12">
            <w:pPr>
              <w:spacing w:line="360" w:lineRule="auto"/>
              <w:ind w:left="0" w:hanging="420" w:hangingChars="200"/>
              <w:rPr>
                <w:rFonts w:ascii="宋体" w:hAnsi="宋体" w:cs="宋体"/>
                <w:color w:val="auto"/>
                <w:szCs w:val="21"/>
                <w:highlight w:val="none"/>
              </w:rPr>
            </w:pP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日  时  分</w:t>
            </w:r>
            <w:r>
              <w:rPr>
                <w:rFonts w:hint="eastAsia" w:ascii="宋体" w:hAnsi="宋体" w:cs="宋体"/>
                <w:color w:val="auto"/>
                <w:szCs w:val="21"/>
                <w:highlight w:val="none"/>
              </w:rPr>
              <w:t>；递交地点：同开标地点。</w:t>
            </w:r>
          </w:p>
          <w:p w14:paraId="056AC981">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具体时间、地点可以到广州交易集团有限公司（广州公共资源交易中心）网站的项目查询</w:t>
            </w:r>
            <w:r>
              <w:rPr>
                <w:rFonts w:ascii="宋体" w:hAnsi="宋体" w:cs="宋体"/>
                <w:color w:val="auto"/>
                <w:szCs w:val="21"/>
                <w:highlight w:val="none"/>
              </w:rPr>
              <w:t>(日程安排、答疑纪要)中输入本项目编号或项目名称进行查询。</w:t>
            </w:r>
            <w:r>
              <w:rPr>
                <w:rFonts w:hint="eastAsia" w:ascii="宋体" w:hAnsi="宋体" w:cs="宋体"/>
                <w:color w:val="auto"/>
                <w:szCs w:val="21"/>
                <w:highlight w:val="none"/>
              </w:rPr>
              <w:t>上述时间及地点是否有改变，请密切留意补充公告或招标答疑纪要的相关信息。</w:t>
            </w:r>
          </w:p>
        </w:tc>
      </w:tr>
      <w:tr w14:paraId="57BCD035">
        <w:tblPrEx>
          <w:tblCellMar>
            <w:top w:w="0" w:type="dxa"/>
            <w:left w:w="108" w:type="dxa"/>
            <w:bottom w:w="0" w:type="dxa"/>
            <w:right w:w="108" w:type="dxa"/>
          </w:tblCellMar>
        </w:tblPrEx>
        <w:trPr>
          <w:trHeight w:val="454" w:hRule="atLeast"/>
          <w:jc w:val="center"/>
        </w:trPr>
        <w:tc>
          <w:tcPr>
            <w:tcW w:w="883" w:type="dxa"/>
            <w:tcBorders>
              <w:top w:val="single" w:color="auto" w:sz="4" w:space="0"/>
              <w:left w:val="single" w:color="auto" w:sz="4" w:space="0"/>
              <w:bottom w:val="single" w:color="auto" w:sz="4" w:space="0"/>
              <w:right w:val="single" w:color="000000" w:sz="4" w:space="0"/>
            </w:tcBorders>
            <w:vAlign w:val="center"/>
          </w:tcPr>
          <w:p w14:paraId="4720E308">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509" w:type="dxa"/>
            <w:tcBorders>
              <w:top w:val="single" w:color="auto" w:sz="4" w:space="0"/>
              <w:left w:val="single" w:color="000000" w:sz="4" w:space="0"/>
              <w:bottom w:val="single" w:color="auto" w:sz="4" w:space="0"/>
              <w:right w:val="single" w:color="000000" w:sz="4" w:space="0"/>
            </w:tcBorders>
            <w:vAlign w:val="center"/>
          </w:tcPr>
          <w:p w14:paraId="218E12FA">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6633" w:type="dxa"/>
            <w:tcBorders>
              <w:top w:val="single" w:color="auto" w:sz="4" w:space="0"/>
              <w:left w:val="single" w:color="000000" w:sz="4" w:space="0"/>
              <w:bottom w:val="single" w:color="auto" w:sz="4" w:space="0"/>
              <w:right w:val="single" w:color="auto" w:sz="4" w:space="0"/>
            </w:tcBorders>
            <w:vAlign w:val="center"/>
          </w:tcPr>
          <w:p w14:paraId="691C5742">
            <w:pPr>
              <w:spacing w:line="360" w:lineRule="auto"/>
              <w:rPr>
                <w:rFonts w:ascii="宋体" w:hAnsi="宋体" w:cs="宋体"/>
                <w:color w:val="auto"/>
                <w:szCs w:val="21"/>
                <w:highlight w:val="none"/>
              </w:rPr>
            </w:pPr>
            <w:r>
              <w:rPr>
                <w:rFonts w:ascii="宋体" w:hAnsi="宋体" w:cs="宋体"/>
                <w:color w:val="auto"/>
                <w:szCs w:val="21"/>
                <w:highlight w:val="none"/>
              </w:rPr>
              <w:t>1.按下列程序进行开标：</w:t>
            </w:r>
          </w:p>
          <w:p w14:paraId="46AC2DBB">
            <w:pPr>
              <w:spacing w:line="360" w:lineRule="auto"/>
              <w:rPr>
                <w:rFonts w:ascii="宋体" w:hAnsi="宋体" w:cs="宋体"/>
                <w:color w:val="auto"/>
                <w:szCs w:val="21"/>
                <w:highlight w:val="none"/>
              </w:rPr>
            </w:pPr>
            <w:r>
              <w:rPr>
                <w:rFonts w:ascii="宋体" w:hAnsi="宋体" w:cs="宋体"/>
                <w:color w:val="auto"/>
                <w:szCs w:val="21"/>
                <w:highlight w:val="none"/>
              </w:rPr>
              <w:t>（1）在投标截止时间后</w:t>
            </w:r>
            <w:r>
              <w:rPr>
                <w:rFonts w:hint="eastAsia" w:ascii="宋体" w:hAnsi="宋体" w:cs="宋体"/>
                <w:color w:val="auto"/>
                <w:szCs w:val="21"/>
                <w:highlight w:val="none"/>
                <w:lang w:val="en-US" w:eastAsia="zh-CN"/>
              </w:rPr>
              <w:t>60</w:t>
            </w:r>
            <w:r>
              <w:rPr>
                <w:rFonts w:ascii="宋体" w:hAnsi="宋体" w:cs="宋体"/>
                <w:color w:val="auto"/>
                <w:szCs w:val="21"/>
                <w:highlight w:val="none"/>
              </w:rPr>
              <w:t>分钟内，投标人通过递交投标文件的广州交易集团有限公司（广州公共资源交易中心）交易平台对已递交的电子投标文件进行解密。投标人完成解密后，再由招标人进行解密。</w:t>
            </w:r>
          </w:p>
          <w:p w14:paraId="3FDD8755">
            <w:pPr>
              <w:spacing w:line="360" w:lineRule="auto"/>
              <w:rPr>
                <w:rFonts w:ascii="宋体" w:hAnsi="宋体" w:cs="宋体"/>
                <w:color w:val="auto"/>
                <w:szCs w:val="21"/>
                <w:highlight w:val="none"/>
              </w:rPr>
            </w:pPr>
            <w:r>
              <w:rPr>
                <w:rFonts w:ascii="宋体" w:hAnsi="宋体" w:cs="宋体"/>
                <w:color w:val="auto"/>
                <w:szCs w:val="21"/>
                <w:highlight w:val="none"/>
              </w:rPr>
              <w:t>（2）解密完成后，公布：a投标人名称；b投标文件递交情况；c投标文件解密情况；d</w:t>
            </w: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兼</w:t>
            </w:r>
            <w:r>
              <w:rPr>
                <w:rFonts w:hint="eastAsia" w:ascii="宋体" w:hAnsi="宋体" w:cs="宋体"/>
                <w:color w:val="auto"/>
                <w:szCs w:val="21"/>
                <w:highlight w:val="none"/>
              </w:rPr>
              <w:t>施工负责人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ascii="宋体" w:hAnsi="宋体" w:cs="宋体"/>
                <w:color w:val="auto"/>
                <w:szCs w:val="21"/>
                <w:highlight w:val="none"/>
              </w:rPr>
              <w:t>技术负责人、设计负责人、专职安全员；e</w:t>
            </w:r>
            <w:r>
              <w:rPr>
                <w:rFonts w:hint="eastAsia" w:ascii="宋体" w:hAnsi="宋体" w:cs="宋体"/>
                <w:color w:val="auto"/>
                <w:szCs w:val="21"/>
                <w:highlight w:val="none"/>
              </w:rPr>
              <w:t>总</w:t>
            </w:r>
            <w:r>
              <w:rPr>
                <w:rFonts w:ascii="宋体" w:hAnsi="宋体" w:cs="宋体"/>
                <w:color w:val="auto"/>
                <w:szCs w:val="21"/>
                <w:highlight w:val="none"/>
              </w:rPr>
              <w:t>投标报价（含</w:t>
            </w:r>
            <w:r>
              <w:rPr>
                <w:rFonts w:hint="eastAsia" w:ascii="宋体" w:hAnsi="宋体" w:cs="宋体"/>
                <w:color w:val="auto"/>
                <w:szCs w:val="21"/>
                <w:highlight w:val="none"/>
              </w:rPr>
              <w:t>总</w:t>
            </w:r>
            <w:r>
              <w:rPr>
                <w:rFonts w:ascii="宋体" w:hAnsi="宋体" w:cs="宋体"/>
                <w:color w:val="auto"/>
                <w:szCs w:val="21"/>
                <w:highlight w:val="none"/>
              </w:rPr>
              <w:t>勘察费</w:t>
            </w:r>
            <w:r>
              <w:rPr>
                <w:rFonts w:hint="eastAsia" w:ascii="宋体" w:hAnsi="宋体" w:cs="宋体"/>
                <w:color w:val="auto"/>
                <w:szCs w:val="21"/>
                <w:highlight w:val="none"/>
              </w:rPr>
              <w:t>投标</w:t>
            </w:r>
            <w:r>
              <w:rPr>
                <w:rFonts w:ascii="宋体" w:hAnsi="宋体" w:cs="宋体"/>
                <w:color w:val="auto"/>
                <w:szCs w:val="21"/>
                <w:highlight w:val="none"/>
              </w:rPr>
              <w:t>报价、</w:t>
            </w:r>
            <w:r>
              <w:rPr>
                <w:rFonts w:hint="eastAsia" w:ascii="宋体" w:hAnsi="宋体" w:cs="宋体"/>
                <w:color w:val="auto"/>
                <w:szCs w:val="21"/>
                <w:highlight w:val="none"/>
              </w:rPr>
              <w:t>总</w:t>
            </w:r>
            <w:r>
              <w:rPr>
                <w:rFonts w:ascii="宋体" w:hAnsi="宋体" w:cs="宋体"/>
                <w:color w:val="auto"/>
                <w:szCs w:val="21"/>
                <w:highlight w:val="none"/>
              </w:rPr>
              <w:t>设计费</w:t>
            </w:r>
            <w:r>
              <w:rPr>
                <w:rFonts w:hint="eastAsia" w:ascii="宋体" w:hAnsi="宋体" w:cs="宋体"/>
                <w:color w:val="auto"/>
                <w:szCs w:val="21"/>
                <w:highlight w:val="none"/>
              </w:rPr>
              <w:t>投标</w:t>
            </w:r>
            <w:r>
              <w:rPr>
                <w:rFonts w:ascii="宋体" w:hAnsi="宋体" w:cs="宋体"/>
                <w:color w:val="auto"/>
                <w:szCs w:val="21"/>
                <w:highlight w:val="none"/>
              </w:rPr>
              <w:t>报价和</w:t>
            </w:r>
            <w:r>
              <w:rPr>
                <w:rFonts w:hint="eastAsia" w:ascii="宋体" w:hAnsi="宋体" w:cs="宋体"/>
                <w:color w:val="auto"/>
                <w:szCs w:val="21"/>
                <w:highlight w:val="none"/>
              </w:rPr>
              <w:t>总</w:t>
            </w:r>
            <w:r>
              <w:rPr>
                <w:rFonts w:ascii="宋体" w:hAnsi="宋体" w:cs="宋体"/>
                <w:color w:val="auto"/>
                <w:szCs w:val="21"/>
                <w:highlight w:val="none"/>
              </w:rPr>
              <w:t>建安工程费</w:t>
            </w:r>
            <w:r>
              <w:rPr>
                <w:rFonts w:hint="eastAsia" w:ascii="宋体" w:hAnsi="宋体" w:cs="宋体"/>
                <w:color w:val="auto"/>
                <w:szCs w:val="21"/>
                <w:highlight w:val="none"/>
              </w:rPr>
              <w:t>投标</w:t>
            </w:r>
            <w:r>
              <w:rPr>
                <w:rFonts w:ascii="宋体" w:hAnsi="宋体" w:cs="宋体"/>
                <w:color w:val="auto"/>
                <w:szCs w:val="21"/>
                <w:highlight w:val="none"/>
              </w:rPr>
              <w:t>报价）；f工期；g投标人的加密打包投标文件电脑机器特征码等主要内容，并记录在案。未在规定时间内解密的投标文件不参与开标、评标。</w:t>
            </w:r>
          </w:p>
          <w:p w14:paraId="6FCA9375">
            <w:pPr>
              <w:spacing w:line="360" w:lineRule="auto"/>
              <w:rPr>
                <w:rFonts w:ascii="宋体" w:hAnsi="宋体" w:cs="宋体"/>
                <w:color w:val="auto"/>
                <w:szCs w:val="21"/>
                <w:highlight w:val="none"/>
              </w:rPr>
            </w:pPr>
            <w:r>
              <w:rPr>
                <w:rFonts w:ascii="宋体" w:hAnsi="宋体" w:cs="宋体"/>
                <w:color w:val="auto"/>
                <w:szCs w:val="21"/>
                <w:highlight w:val="none"/>
              </w:rPr>
              <w:t>（3）截标后，开标开始时间因故推迟的，相关评标信息仍以原定的开标开始时间的信息为准。</w:t>
            </w:r>
          </w:p>
          <w:p w14:paraId="3C5EE5C3">
            <w:pPr>
              <w:spacing w:line="360" w:lineRule="auto"/>
              <w:rPr>
                <w:rFonts w:ascii="宋体" w:hAnsi="宋体" w:cs="宋体"/>
                <w:color w:val="auto"/>
                <w:szCs w:val="21"/>
                <w:highlight w:val="none"/>
              </w:rPr>
            </w:pPr>
            <w:r>
              <w:rPr>
                <w:rFonts w:ascii="宋体" w:hAnsi="宋体" w:cs="宋体"/>
                <w:color w:val="auto"/>
                <w:szCs w:val="21"/>
                <w:highlight w:val="none"/>
              </w:rPr>
              <w:t>（4）备用光盘（或U盘）的读取按投标人须知前附表“10 电子招标投标”第6点的规定执行。</w:t>
            </w:r>
          </w:p>
          <w:p w14:paraId="4A2C02DC">
            <w:pPr>
              <w:spacing w:line="360" w:lineRule="auto"/>
              <w:rPr>
                <w:rFonts w:ascii="宋体" w:hAnsi="宋体" w:cs="宋体"/>
                <w:color w:val="auto"/>
                <w:szCs w:val="21"/>
                <w:highlight w:val="none"/>
              </w:rPr>
            </w:pPr>
            <w:r>
              <w:rPr>
                <w:rFonts w:ascii="宋体" w:hAnsi="宋体" w:cs="宋体"/>
                <w:color w:val="auto"/>
                <w:szCs w:val="21"/>
                <w:highlight w:val="none"/>
              </w:rPr>
              <w:t>（5）投标人可选择在开标室参与开标或准时在线参加在线开标，也可不参加开标。参加在线开标的投标人登录广州交易集团有限公司（广州公共资源交易中心）交易平台实时查看开标、唱标情况。广州交易集团有限公司（广州公共资源交易中心）交易平台生成开标记录并向社会公众公布。</w:t>
            </w:r>
          </w:p>
          <w:p w14:paraId="42D86262">
            <w:pPr>
              <w:spacing w:line="360" w:lineRule="auto"/>
              <w:rPr>
                <w:rFonts w:ascii="宋体" w:hAnsi="宋体" w:cs="宋体"/>
                <w:color w:val="auto"/>
                <w:szCs w:val="21"/>
                <w:highlight w:val="none"/>
              </w:rPr>
            </w:pPr>
            <w:r>
              <w:rPr>
                <w:rFonts w:ascii="宋体" w:hAnsi="宋体" w:cs="宋体"/>
                <w:color w:val="auto"/>
                <w:szCs w:val="21"/>
                <w:highlight w:val="none"/>
              </w:rPr>
              <w:t>（6）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应当在唱标结束后的规定时间内、使用单位数字证书登录广州交易集团有限公司（广州公共资源交易中心）交易平台后通过广州交易集团有限公司（广州公共资源交易中心）交易平台提出。招标人授权招标代理机构工作人员使用招标代理机构数字证书登录广州交易集团有限公司（广州公共资源交易中心）交易平台答复异议，异议答复是招标人真实意思表示。未答复的，开标程序不得结束。</w:t>
            </w:r>
          </w:p>
          <w:p w14:paraId="497D8833">
            <w:pPr>
              <w:spacing w:line="360" w:lineRule="auto"/>
              <w:rPr>
                <w:rFonts w:ascii="宋体" w:hAnsi="宋体" w:cs="宋体"/>
                <w:color w:val="auto"/>
                <w:szCs w:val="21"/>
                <w:highlight w:val="none"/>
              </w:rPr>
            </w:pPr>
            <w:r>
              <w:rPr>
                <w:rFonts w:ascii="宋体" w:hAnsi="宋体" w:cs="宋体"/>
                <w:color w:val="auto"/>
                <w:szCs w:val="21"/>
                <w:highlight w:val="none"/>
              </w:rPr>
              <w:t>（7）投标人未参加开标或在规定的时间内未提出异议的，视为对开标无异议。</w:t>
            </w:r>
          </w:p>
          <w:p w14:paraId="251FA7F5">
            <w:pPr>
              <w:spacing w:line="360" w:lineRule="auto"/>
              <w:rPr>
                <w:rFonts w:ascii="宋体" w:hAnsi="宋体" w:cs="新宋体"/>
                <w:color w:val="auto"/>
                <w:szCs w:val="21"/>
                <w:highlight w:val="none"/>
                <w:u w:val="single"/>
              </w:rPr>
            </w:pPr>
            <w:r>
              <w:rPr>
                <w:rFonts w:ascii="宋体" w:hAnsi="宋体" w:cs="宋体"/>
                <w:color w:val="auto"/>
                <w:szCs w:val="21"/>
                <w:highlight w:val="none"/>
              </w:rPr>
              <w:t>（8）开标时，两个（含两个）以上的投标人加密打包投标文件电脑机器特征码一致的，不参与下一程序，并由评标委员会否决其投标。</w:t>
            </w:r>
          </w:p>
        </w:tc>
      </w:tr>
      <w:tr w14:paraId="04210933">
        <w:tblPrEx>
          <w:tblCellMar>
            <w:top w:w="0" w:type="dxa"/>
            <w:left w:w="108" w:type="dxa"/>
            <w:bottom w:w="0" w:type="dxa"/>
            <w:right w:w="108" w:type="dxa"/>
          </w:tblCellMar>
        </w:tblPrEx>
        <w:trPr>
          <w:trHeight w:val="454" w:hRule="atLeast"/>
          <w:jc w:val="center"/>
        </w:trPr>
        <w:tc>
          <w:tcPr>
            <w:tcW w:w="883" w:type="dxa"/>
            <w:tcBorders>
              <w:top w:val="single" w:color="auto" w:sz="4" w:space="0"/>
              <w:left w:val="single" w:color="000000" w:sz="4" w:space="0"/>
              <w:bottom w:val="single" w:color="000000" w:sz="4" w:space="0"/>
              <w:right w:val="single" w:color="000000" w:sz="4" w:space="0"/>
            </w:tcBorders>
            <w:vAlign w:val="center"/>
          </w:tcPr>
          <w:p w14:paraId="0FD66FE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6.1.1</w:t>
            </w:r>
          </w:p>
        </w:tc>
        <w:tc>
          <w:tcPr>
            <w:tcW w:w="2509" w:type="dxa"/>
            <w:tcBorders>
              <w:top w:val="single" w:color="auto" w:sz="4" w:space="0"/>
              <w:left w:val="single" w:color="000000" w:sz="4" w:space="0"/>
              <w:bottom w:val="single" w:color="000000" w:sz="4" w:space="0"/>
              <w:right w:val="single" w:color="000000" w:sz="4" w:space="0"/>
            </w:tcBorders>
            <w:vAlign w:val="center"/>
          </w:tcPr>
          <w:p w14:paraId="2A6E6C00">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评标委员会的组建</w:t>
            </w:r>
          </w:p>
        </w:tc>
        <w:tc>
          <w:tcPr>
            <w:tcW w:w="6633" w:type="dxa"/>
            <w:tcBorders>
              <w:top w:val="single" w:color="auto" w:sz="4" w:space="0"/>
              <w:left w:val="single" w:color="000000" w:sz="4" w:space="0"/>
              <w:bottom w:val="single" w:color="000000" w:sz="4" w:space="0"/>
              <w:right w:val="single" w:color="000000" w:sz="4" w:space="0"/>
            </w:tcBorders>
            <w:vAlign w:val="center"/>
          </w:tcPr>
          <w:p w14:paraId="4286E1C4">
            <w:pPr>
              <w:spacing w:line="360" w:lineRule="auto"/>
              <w:rPr>
                <w:rFonts w:ascii="宋体" w:hAnsi="宋体"/>
                <w:color w:val="auto"/>
                <w:highlight w:val="none"/>
                <w:u w:val="single"/>
              </w:rPr>
            </w:pPr>
            <w:r>
              <w:rPr>
                <w:rFonts w:hint="eastAsia" w:ascii="宋体" w:hAnsi="宋体"/>
                <w:color w:val="auto"/>
                <w:highlight w:val="none"/>
                <w:u w:val="single"/>
              </w:rPr>
              <w:t>评标由招标人依法组建的评标委员会负责。</w:t>
            </w:r>
          </w:p>
          <w:p w14:paraId="7DD1EE6D">
            <w:pPr>
              <w:spacing w:line="360" w:lineRule="auto"/>
              <w:rPr>
                <w:rFonts w:ascii="宋体" w:hAnsi="宋体"/>
                <w:color w:val="auto"/>
                <w:highlight w:val="none"/>
                <w:u w:val="single"/>
              </w:rPr>
            </w:pPr>
            <w:r>
              <w:rPr>
                <w:rFonts w:hint="eastAsia" w:ascii="宋体" w:hAnsi="宋体" w:cs="宋体"/>
                <w:color w:val="auto"/>
                <w:szCs w:val="21"/>
                <w:highlight w:val="none"/>
                <w:u w:val="single"/>
              </w:rPr>
              <w:t>评标委员会构成：共</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业主代表（即招标人代表）3人，专家6人】，除业主代表外</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名专家确定方式：在广东省综合评标评审专家库中随机抽取。</w:t>
            </w:r>
          </w:p>
        </w:tc>
      </w:tr>
      <w:tr w14:paraId="5E23D0D8">
        <w:tblPrEx>
          <w:tblCellMar>
            <w:top w:w="0" w:type="dxa"/>
            <w:left w:w="108" w:type="dxa"/>
            <w:bottom w:w="0" w:type="dxa"/>
            <w:right w:w="108" w:type="dxa"/>
          </w:tblCellMar>
        </w:tblPrEx>
        <w:trPr>
          <w:trHeight w:val="454" w:hRule="atLeast"/>
          <w:jc w:val="center"/>
        </w:trPr>
        <w:tc>
          <w:tcPr>
            <w:tcW w:w="883" w:type="dxa"/>
            <w:tcBorders>
              <w:top w:val="single" w:color="auto" w:sz="4" w:space="0"/>
              <w:left w:val="single" w:color="000000" w:sz="4" w:space="0"/>
              <w:bottom w:val="single" w:color="000000" w:sz="4" w:space="0"/>
              <w:right w:val="single" w:color="000000" w:sz="4" w:space="0"/>
            </w:tcBorders>
            <w:vAlign w:val="center"/>
          </w:tcPr>
          <w:p w14:paraId="1BD51CDD">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cs="宋体"/>
                <w:color w:val="auto"/>
                <w:kern w:val="1"/>
                <w:szCs w:val="21"/>
                <w:highlight w:val="none"/>
                <w:lang w:val="en-US" w:eastAsia="zh-CN"/>
              </w:rPr>
              <w:t>6.5</w:t>
            </w:r>
          </w:p>
        </w:tc>
        <w:tc>
          <w:tcPr>
            <w:tcW w:w="2509" w:type="dxa"/>
            <w:tcBorders>
              <w:top w:val="single" w:color="auto" w:sz="4" w:space="0"/>
              <w:left w:val="single" w:color="000000" w:sz="4" w:space="0"/>
              <w:bottom w:val="single" w:color="000000" w:sz="4" w:space="0"/>
              <w:right w:val="single" w:color="000000" w:sz="4" w:space="0"/>
            </w:tcBorders>
            <w:vAlign w:val="center"/>
          </w:tcPr>
          <w:p w14:paraId="63A1D99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定标委员会的组建</w:t>
            </w:r>
          </w:p>
        </w:tc>
        <w:tc>
          <w:tcPr>
            <w:tcW w:w="6633" w:type="dxa"/>
            <w:tcBorders>
              <w:top w:val="single" w:color="auto" w:sz="4" w:space="0"/>
              <w:left w:val="single" w:color="000000" w:sz="4" w:space="0"/>
              <w:bottom w:val="single" w:color="000000" w:sz="4" w:space="0"/>
              <w:right w:val="single" w:color="000000" w:sz="4" w:space="0"/>
            </w:tcBorders>
            <w:vAlign w:val="center"/>
          </w:tcPr>
          <w:p w14:paraId="772D74EE">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由招标人组建。</w:t>
            </w:r>
          </w:p>
        </w:tc>
      </w:tr>
      <w:tr w14:paraId="5275E44B">
        <w:tblPrEx>
          <w:tblCellMar>
            <w:top w:w="0" w:type="dxa"/>
            <w:left w:w="108" w:type="dxa"/>
            <w:bottom w:w="0" w:type="dxa"/>
            <w:right w:w="108" w:type="dxa"/>
          </w:tblCellMar>
        </w:tblPrEx>
        <w:trPr>
          <w:trHeight w:val="454" w:hRule="atLeast"/>
          <w:jc w:val="center"/>
        </w:trPr>
        <w:tc>
          <w:tcPr>
            <w:tcW w:w="883" w:type="dxa"/>
            <w:tcBorders>
              <w:top w:val="single" w:color="auto" w:sz="4" w:space="0"/>
              <w:left w:val="single" w:color="000000" w:sz="4" w:space="0"/>
              <w:bottom w:val="single" w:color="000000" w:sz="4" w:space="0"/>
              <w:right w:val="single" w:color="000000" w:sz="4" w:space="0"/>
            </w:tcBorders>
            <w:vAlign w:val="center"/>
          </w:tcPr>
          <w:p w14:paraId="1AEED944">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cs="宋体"/>
                <w:color w:val="auto"/>
                <w:kern w:val="1"/>
                <w:szCs w:val="21"/>
                <w:highlight w:val="none"/>
                <w:lang w:val="en-US" w:eastAsia="zh-CN"/>
              </w:rPr>
              <w:t>6.3</w:t>
            </w:r>
          </w:p>
        </w:tc>
        <w:tc>
          <w:tcPr>
            <w:tcW w:w="2509" w:type="dxa"/>
            <w:tcBorders>
              <w:top w:val="single" w:color="auto" w:sz="4" w:space="0"/>
              <w:left w:val="single" w:color="000000" w:sz="4" w:space="0"/>
              <w:bottom w:val="single" w:color="000000" w:sz="4" w:space="0"/>
              <w:right w:val="single" w:color="000000" w:sz="4" w:space="0"/>
            </w:tcBorders>
            <w:vAlign w:val="center"/>
          </w:tcPr>
          <w:p w14:paraId="59C29363">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cs="宋体"/>
                <w:color w:val="auto"/>
                <w:kern w:val="1"/>
                <w:szCs w:val="21"/>
                <w:highlight w:val="none"/>
                <w:lang w:val="en-US" w:eastAsia="zh-CN"/>
              </w:rPr>
              <w:t>评标</w:t>
            </w:r>
          </w:p>
        </w:tc>
        <w:tc>
          <w:tcPr>
            <w:tcW w:w="6633" w:type="dxa"/>
            <w:tcBorders>
              <w:top w:val="single" w:color="auto" w:sz="4" w:space="0"/>
              <w:left w:val="single" w:color="000000" w:sz="4" w:space="0"/>
              <w:bottom w:val="single" w:color="000000" w:sz="4" w:space="0"/>
              <w:right w:val="single" w:color="000000" w:sz="4" w:space="0"/>
            </w:tcBorders>
            <w:vAlign w:val="center"/>
          </w:tcPr>
          <w:p w14:paraId="3768176B">
            <w:pPr>
              <w:spacing w:line="360" w:lineRule="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评标委员会</w:t>
            </w:r>
            <w:r>
              <w:rPr>
                <w:rFonts w:hint="eastAsia" w:ascii="宋体" w:hAnsi="宋体" w:cs="宋体"/>
                <w:color w:val="auto"/>
                <w:kern w:val="1"/>
                <w:szCs w:val="21"/>
                <w:highlight w:val="none"/>
                <w:u w:val="single"/>
              </w:rPr>
              <w:t>按照投标文件（评标部分）总得分由高到低的顺序推荐前20名次的合格投标人不排序进入定标阶段，若通过初步评审的合格投标人大于等于</w:t>
            </w:r>
            <w:r>
              <w:rPr>
                <w:rFonts w:hint="eastAsia" w:ascii="宋体" w:hAnsi="宋体" w:cs="宋体"/>
                <w:color w:val="auto"/>
                <w:kern w:val="1"/>
                <w:szCs w:val="21"/>
                <w:highlight w:val="none"/>
                <w:u w:val="single"/>
                <w:lang w:val="en-US" w:eastAsia="zh-CN"/>
              </w:rPr>
              <w:t>3</w:t>
            </w:r>
            <w:r>
              <w:rPr>
                <w:rFonts w:hint="eastAsia" w:ascii="宋体" w:hAnsi="宋体" w:cs="宋体"/>
                <w:color w:val="auto"/>
                <w:kern w:val="1"/>
                <w:szCs w:val="21"/>
                <w:highlight w:val="none"/>
                <w:u w:val="single"/>
              </w:rPr>
              <w:t>家，小于等于20家的，则全部通过初步评审的合格投标人不排序进入定标阶段；若通过初步评审的合格投标人大于20家的，按投标文件（评标部分）总得分从高到低进行排序，推荐排序位于前20名次的合格投标人不排序进入定标阶段（若前20名次的合格投标人中存在投标文件（评标部分）总得分相同的，则按第三章“评标、定标办法”第1款的原则确定排序。）。</w:t>
            </w:r>
          </w:p>
        </w:tc>
      </w:tr>
      <w:tr w14:paraId="16921E62">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572545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7.4.1</w:t>
            </w:r>
          </w:p>
        </w:tc>
        <w:tc>
          <w:tcPr>
            <w:tcW w:w="2509" w:type="dxa"/>
            <w:tcBorders>
              <w:top w:val="single" w:color="000000" w:sz="4" w:space="0"/>
              <w:left w:val="single" w:color="000000" w:sz="4" w:space="0"/>
              <w:bottom w:val="single" w:color="000000" w:sz="4" w:space="0"/>
              <w:right w:val="single" w:color="000000" w:sz="4" w:space="0"/>
            </w:tcBorders>
            <w:vAlign w:val="center"/>
          </w:tcPr>
          <w:p w14:paraId="6EC345E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履约担保</w:t>
            </w:r>
          </w:p>
        </w:tc>
        <w:tc>
          <w:tcPr>
            <w:tcW w:w="6633" w:type="dxa"/>
            <w:tcBorders>
              <w:top w:val="single" w:color="000000" w:sz="4" w:space="0"/>
              <w:left w:val="single" w:color="000000" w:sz="4" w:space="0"/>
              <w:bottom w:val="single" w:color="000000" w:sz="4" w:space="0"/>
              <w:right w:val="single" w:color="000000" w:sz="4" w:space="0"/>
            </w:tcBorders>
            <w:vAlign w:val="center"/>
          </w:tcPr>
          <w:p w14:paraId="068E887D">
            <w:pPr>
              <w:spacing w:line="360" w:lineRule="auto"/>
              <w:rPr>
                <w:rFonts w:ascii="宋体" w:hAnsi="宋体" w:cs="宋体"/>
                <w:color w:val="auto"/>
                <w:szCs w:val="21"/>
                <w:highlight w:val="none"/>
              </w:rPr>
            </w:pPr>
            <w:r>
              <w:rPr>
                <w:rFonts w:hint="eastAsia" w:ascii="宋体" w:hAnsi="宋体" w:cs="宋体"/>
                <w:color w:val="auto"/>
                <w:szCs w:val="21"/>
                <w:highlight w:val="none"/>
              </w:rPr>
              <w:t>履约担保的形式：</w:t>
            </w:r>
            <w:r>
              <w:rPr>
                <w:rFonts w:hint="eastAsia" w:ascii="宋体" w:hAnsi="宋体"/>
                <w:color w:val="auto"/>
                <w:highlight w:val="none"/>
              </w:rPr>
              <w:t>以银行保函形式向招标人递交履约担保；该银行保函应由在中国注册的银行开具。（若不提交，招标人有权取消其中标资格，并没收其补交的投标保证金。）</w:t>
            </w:r>
          </w:p>
          <w:p w14:paraId="1ED9C519">
            <w:pPr>
              <w:spacing w:line="360" w:lineRule="auto"/>
              <w:rPr>
                <w:color w:val="auto"/>
                <w:highlight w:val="none"/>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每期</w:t>
            </w:r>
            <w:r>
              <w:rPr>
                <w:rFonts w:hint="eastAsia" w:ascii="宋体" w:hAnsi="宋体" w:cs="宋体"/>
                <w:color w:val="auto"/>
                <w:szCs w:val="21"/>
                <w:highlight w:val="none"/>
              </w:rPr>
              <w:t>合同总价的</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%。若为联合体投标，</w:t>
            </w:r>
            <w:r>
              <w:rPr>
                <w:rFonts w:hint="eastAsia" w:ascii="宋体" w:hAnsi="宋体" w:cs="宋体"/>
                <w:color w:val="auto"/>
                <w:szCs w:val="21"/>
                <w:highlight w:val="none"/>
                <w:lang w:val="en-US" w:eastAsia="zh-CN"/>
              </w:rPr>
              <w:t>按联合体各方每期中标价的10%递交履约担保</w:t>
            </w:r>
            <w:r>
              <w:rPr>
                <w:rFonts w:hint="eastAsia" w:ascii="宋体" w:hAnsi="宋体" w:cs="宋体"/>
                <w:color w:val="auto"/>
                <w:szCs w:val="21"/>
                <w:highlight w:val="none"/>
              </w:rPr>
              <w:t>。</w:t>
            </w:r>
          </w:p>
          <w:p w14:paraId="4DD8B005">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担保期限从提供</w:t>
            </w:r>
            <w:r>
              <w:rPr>
                <w:rFonts w:hint="eastAsia" w:ascii="宋体" w:hAnsi="宋体" w:cs="宋体"/>
                <w:color w:val="auto"/>
                <w:szCs w:val="21"/>
                <w:highlight w:val="none"/>
                <w:lang w:val="en-US" w:eastAsia="zh-CN"/>
              </w:rPr>
              <w:t>每期</w:t>
            </w:r>
            <w:r>
              <w:rPr>
                <w:rFonts w:hint="eastAsia" w:ascii="宋体" w:hAnsi="宋体" w:cs="宋体"/>
                <w:color w:val="auto"/>
                <w:szCs w:val="21"/>
                <w:highlight w:val="none"/>
              </w:rPr>
              <w:t>履约担保之日起至</w:t>
            </w:r>
            <w:r>
              <w:rPr>
                <w:rFonts w:hint="eastAsia" w:ascii="宋体" w:hAnsi="宋体" w:cs="宋体"/>
                <w:color w:val="auto"/>
                <w:szCs w:val="21"/>
                <w:highlight w:val="none"/>
                <w:lang w:val="en-US" w:eastAsia="zh-CN"/>
              </w:rPr>
              <w:t>每期</w:t>
            </w:r>
            <w:r>
              <w:rPr>
                <w:rFonts w:hint="eastAsia" w:ascii="宋体" w:hAnsi="宋体" w:cs="宋体"/>
                <w:color w:val="auto"/>
                <w:szCs w:val="21"/>
                <w:highlight w:val="none"/>
              </w:rPr>
              <w:t>合同工程结算审定完成并移交工程档案后止。（履约担保到期但本项目未工程结算的，无论何种原因，投标人承诺无条件续保，如履约担保到期不提供续保则承担一般违约责任）</w:t>
            </w:r>
          </w:p>
        </w:tc>
      </w:tr>
      <w:tr w14:paraId="75DB239F">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6D8BF2E">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9</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1DDBD466">
            <w:pPr>
              <w:spacing w:line="360" w:lineRule="auto"/>
              <w:rPr>
                <w:rFonts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14:paraId="233D2110">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42A7870">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9.1</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0CDA90BE">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建设工程质量检测单位：</w:t>
            </w:r>
          </w:p>
          <w:p w14:paraId="2EB1AD93">
            <w:pPr>
              <w:spacing w:line="360" w:lineRule="auto"/>
              <w:rPr>
                <w:rFonts w:ascii="Times New Roman" w:hAnsi="Times New Roman" w:cs="Times New Roman"/>
                <w:color w:val="auto"/>
                <w:szCs w:val="21"/>
                <w:highlight w:val="none"/>
              </w:rPr>
            </w:pPr>
            <w:r>
              <w:rPr>
                <w:rFonts w:hint="eastAsia" w:ascii="宋体" w:hAnsi="宋体" w:cs="宋体"/>
                <w:color w:val="auto"/>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35D1D923">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1200B54">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9.2</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43BBEED5">
            <w:pPr>
              <w:spacing w:line="360" w:lineRule="auto"/>
              <w:rPr>
                <w:rFonts w:ascii="宋体" w:hAnsi="宋体" w:cs="宋体"/>
                <w:color w:val="auto"/>
                <w:szCs w:val="21"/>
                <w:highlight w:val="none"/>
              </w:rPr>
            </w:pPr>
            <w:r>
              <w:rPr>
                <w:rFonts w:ascii="宋体" w:hAnsi="宋体" w:cs="宋体"/>
                <w:color w:val="auto"/>
                <w:szCs w:val="21"/>
                <w:highlight w:val="none"/>
              </w:rPr>
              <w:t>在招标和合同实施期间，招标人要求投标人和承包人遵守最高的道德标准。</w:t>
            </w:r>
          </w:p>
          <w:p w14:paraId="5F9B9BAD">
            <w:pPr>
              <w:spacing w:line="360" w:lineRule="auto"/>
              <w:rPr>
                <w:rFonts w:ascii="宋体" w:hAnsi="宋体" w:cs="宋体"/>
                <w:color w:val="auto"/>
                <w:szCs w:val="21"/>
                <w:highlight w:val="none"/>
              </w:rPr>
            </w:pPr>
            <w:r>
              <w:rPr>
                <w:rFonts w:ascii="宋体" w:hAnsi="宋体" w:cs="宋体"/>
                <w:color w:val="auto"/>
                <w:szCs w:val="21"/>
                <w:highlight w:val="none"/>
              </w:rPr>
              <w:t>1、对本条款的规定，特定义如下词汇：</w:t>
            </w:r>
          </w:p>
          <w:p w14:paraId="58ABFE5F">
            <w:pPr>
              <w:spacing w:line="360" w:lineRule="auto"/>
              <w:rPr>
                <w:rFonts w:ascii="宋体" w:hAnsi="宋体" w:cs="宋体"/>
                <w:color w:val="auto"/>
                <w:szCs w:val="21"/>
                <w:highlight w:val="none"/>
              </w:rPr>
            </w:pPr>
            <w:r>
              <w:rPr>
                <w:rFonts w:ascii="宋体" w:hAnsi="宋体" w:cs="宋体"/>
                <w:color w:val="auto"/>
                <w:szCs w:val="21"/>
                <w:highlight w:val="none"/>
              </w:rPr>
              <w:t>1）“腐败行为”是指在招标或合同执行期间，通过提供、给予、接受或索要任何有价值的东西，从而影响招标人有关人员工作的行为；</w:t>
            </w:r>
          </w:p>
          <w:p w14:paraId="31DC5D40">
            <w:pPr>
              <w:spacing w:line="360" w:lineRule="auto"/>
              <w:rPr>
                <w:rFonts w:ascii="宋体" w:hAnsi="宋体" w:cs="宋体"/>
                <w:color w:val="auto"/>
                <w:szCs w:val="21"/>
                <w:highlight w:val="none"/>
              </w:rPr>
            </w:pPr>
            <w:r>
              <w:rPr>
                <w:rFonts w:ascii="宋体" w:hAnsi="宋体" w:cs="宋体"/>
                <w:color w:val="auto"/>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9C13979">
            <w:pPr>
              <w:spacing w:line="360" w:lineRule="auto"/>
              <w:rPr>
                <w:rFonts w:ascii="宋体" w:hAnsi="宋体"/>
                <w:color w:val="auto"/>
                <w:highlight w:val="none"/>
              </w:rPr>
            </w:pPr>
            <w:r>
              <w:rPr>
                <w:rFonts w:ascii="宋体" w:hAnsi="宋体" w:cs="宋体"/>
                <w:color w:val="auto"/>
                <w:szCs w:val="21"/>
                <w:highlight w:val="none"/>
              </w:rPr>
              <w:t>2、如果投标人被认定在本招标的竞争中有腐败或欺诈行为，则会被取消投标资格。</w:t>
            </w:r>
          </w:p>
        </w:tc>
      </w:tr>
      <w:tr w14:paraId="3319F8B3">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1B4E971B">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9.3</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3D4528A8">
            <w:pPr>
              <w:spacing w:line="360" w:lineRule="auto"/>
              <w:rPr>
                <w:rFonts w:ascii="宋体" w:hAnsi="宋体" w:cs="宋体"/>
                <w:color w:val="auto"/>
                <w:kern w:val="1"/>
                <w:szCs w:val="21"/>
                <w:highlight w:val="none"/>
              </w:rPr>
            </w:pPr>
            <w:r>
              <w:rPr>
                <w:rFonts w:ascii="宋体" w:hAnsi="宋体" w:cs="宋体"/>
                <w:color w:val="auto"/>
                <w:kern w:val="1"/>
                <w:szCs w:val="21"/>
                <w:highlight w:val="none"/>
              </w:rPr>
              <w:t>承包方式：包勘察、包设计、包工、包料、包设备、包工期、包质量、包造价控制、包安全、包文明施工、包项目协调管理、</w:t>
            </w:r>
            <w:r>
              <w:rPr>
                <w:rFonts w:hint="eastAsia" w:ascii="宋体" w:hAnsi="宋体" w:cs="宋体"/>
                <w:color w:val="auto"/>
                <w:kern w:val="1"/>
                <w:szCs w:val="21"/>
                <w:highlight w:val="none"/>
                <w:lang w:val="en-US" w:eastAsia="zh-CN"/>
              </w:rPr>
              <w:t>协助</w:t>
            </w:r>
            <w:r>
              <w:rPr>
                <w:rFonts w:ascii="宋体" w:hAnsi="宋体" w:cs="宋体"/>
                <w:color w:val="auto"/>
                <w:kern w:val="1"/>
                <w:szCs w:val="21"/>
                <w:highlight w:val="none"/>
              </w:rPr>
              <w:t>办理房产证、包验收移交、包竣工资料收集整理</w:t>
            </w:r>
            <w:r>
              <w:rPr>
                <w:rFonts w:hint="eastAsia" w:ascii="宋体" w:hAnsi="宋体" w:cs="宋体"/>
                <w:color w:val="auto"/>
                <w:kern w:val="1"/>
                <w:szCs w:val="21"/>
                <w:highlight w:val="none"/>
              </w:rPr>
              <w:t>，本项目为“交钥匙”工程</w:t>
            </w:r>
            <w:r>
              <w:rPr>
                <w:rFonts w:ascii="宋体" w:hAnsi="宋体" w:cs="宋体"/>
                <w:color w:val="auto"/>
                <w:kern w:val="1"/>
                <w:szCs w:val="21"/>
                <w:highlight w:val="none"/>
              </w:rPr>
              <w:t>。综合单价包干、工程量按实结算的承包方式。项目措施费按合同条款规定。</w:t>
            </w:r>
          </w:p>
          <w:p w14:paraId="16528767">
            <w:pPr>
              <w:widowControl/>
              <w:spacing w:line="360" w:lineRule="auto"/>
              <w:rPr>
                <w:rFonts w:ascii="宋体" w:hAnsi="宋体" w:cs="宋体"/>
                <w:color w:val="auto"/>
                <w:kern w:val="1"/>
                <w:szCs w:val="21"/>
                <w:highlight w:val="none"/>
              </w:rPr>
            </w:pPr>
            <w:r>
              <w:rPr>
                <w:rFonts w:ascii="宋体" w:hAnsi="宋体" w:cs="宋体"/>
                <w:color w:val="auto"/>
                <w:kern w:val="1"/>
                <w:szCs w:val="21"/>
                <w:highlight w:val="none"/>
              </w:rPr>
              <w:t>结算方式具体按合同条款规定。</w:t>
            </w:r>
          </w:p>
          <w:p w14:paraId="7C19C23E">
            <w:pPr>
              <w:widowControl/>
              <w:spacing w:line="360" w:lineRule="auto"/>
              <w:rPr>
                <w:rFonts w:ascii="宋体" w:hAnsi="宋体" w:cs="宋体"/>
                <w:color w:val="auto"/>
                <w:szCs w:val="21"/>
                <w:highlight w:val="none"/>
              </w:rPr>
            </w:pPr>
            <w:r>
              <w:rPr>
                <w:rFonts w:ascii="宋体" w:hAnsi="宋体" w:cs="宋体"/>
                <w:color w:val="auto"/>
                <w:szCs w:val="21"/>
                <w:highlight w:val="none"/>
              </w:rPr>
              <w:t>项目在施工阶段，因工程实施环境变化等任何因素引起的、设计及施工调整，设计和施工最终造价不得超过最高投标限价。</w:t>
            </w:r>
          </w:p>
          <w:p w14:paraId="00013F3E">
            <w:pPr>
              <w:spacing w:line="360" w:lineRule="auto"/>
              <w:rPr>
                <w:rFonts w:ascii="宋体" w:hAnsi="宋体"/>
                <w:color w:val="auto"/>
                <w:highlight w:val="none"/>
              </w:rPr>
            </w:pPr>
            <w:r>
              <w:rPr>
                <w:rFonts w:ascii="宋体" w:hAnsi="宋体" w:cs="宋体"/>
                <w:color w:val="auto"/>
                <w:szCs w:val="21"/>
                <w:highlight w:val="none"/>
              </w:rPr>
              <w:t>本工程实行全过程限额设计施工，限额投资。</w:t>
            </w:r>
            <w:r>
              <w:rPr>
                <w:rFonts w:hint="eastAsia" w:ascii="宋体" w:hAnsi="宋体" w:cs="宋体"/>
                <w:color w:val="auto"/>
                <w:highlight w:val="none"/>
                <w:u w:val="single"/>
              </w:rPr>
              <w:t>如设计人和联合体成员原因导致建安工程费突破限额目标，设计人和联合体各方共同承担因突破限额部分的费用。</w:t>
            </w:r>
            <w:r>
              <w:rPr>
                <w:rFonts w:ascii="宋体" w:hAnsi="宋体" w:cs="宋体"/>
                <w:color w:val="auto"/>
                <w:szCs w:val="21"/>
                <w:highlight w:val="none"/>
              </w:rPr>
              <w:t>工程变更需经过</w:t>
            </w:r>
            <w:r>
              <w:rPr>
                <w:rFonts w:hint="eastAsia" w:ascii="宋体" w:hAnsi="宋体" w:cs="宋体"/>
                <w:color w:val="auto"/>
                <w:szCs w:val="21"/>
                <w:highlight w:val="none"/>
              </w:rPr>
              <w:t>招标</w:t>
            </w:r>
            <w:r>
              <w:rPr>
                <w:rFonts w:ascii="宋体" w:hAnsi="宋体" w:cs="宋体"/>
                <w:color w:val="auto"/>
                <w:szCs w:val="21"/>
                <w:highlight w:val="none"/>
              </w:rPr>
              <w:t>单位审定后方可实施。</w:t>
            </w:r>
          </w:p>
        </w:tc>
      </w:tr>
      <w:tr w14:paraId="24BD974D">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4704D95">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9.4</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29146C32">
            <w:pPr>
              <w:spacing w:line="360" w:lineRule="auto"/>
              <w:rPr>
                <w:rFonts w:ascii="宋体" w:hAnsi="宋体"/>
                <w:color w:val="auto"/>
                <w:highlight w:val="none"/>
              </w:rPr>
            </w:pPr>
            <w:r>
              <w:rPr>
                <w:rFonts w:ascii="宋体" w:hAnsi="宋体" w:cs="宋体"/>
                <w:color w:val="auto"/>
                <w:kern w:val="1"/>
                <w:szCs w:val="21"/>
                <w:highlight w:val="none"/>
              </w:rPr>
              <w:t>施工图即使通过审查备案，但如未达到国家、地方的行业标准、规范等及招标人需求任务书规定标准和深度，招标人要求完善的，属于设计失误（由招标人牵头认定是否设计失误），招标人不承担任何费用</w:t>
            </w:r>
            <w:r>
              <w:rPr>
                <w:rFonts w:hint="eastAsia" w:ascii="宋体" w:hAnsi="宋体" w:cs="宋体"/>
                <w:color w:val="auto"/>
                <w:kern w:val="1"/>
                <w:szCs w:val="21"/>
                <w:highlight w:val="none"/>
              </w:rPr>
              <w:t>，中标人应承担因完善所产生的费用</w:t>
            </w:r>
            <w:r>
              <w:rPr>
                <w:rFonts w:ascii="宋体" w:hAnsi="宋体" w:cs="宋体"/>
                <w:color w:val="auto"/>
                <w:kern w:val="1"/>
                <w:szCs w:val="21"/>
                <w:highlight w:val="none"/>
              </w:rPr>
              <w:t>。</w:t>
            </w:r>
          </w:p>
        </w:tc>
      </w:tr>
      <w:tr w14:paraId="470F469B">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E77E896">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9.5</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2E4342CB">
            <w:pPr>
              <w:pStyle w:val="23"/>
              <w:tabs>
                <w:tab w:val="left" w:pos="0"/>
              </w:tabs>
              <w:spacing w:line="360" w:lineRule="auto"/>
              <w:ind w:firstLine="0" w:firstLineChars="0"/>
              <w:jc w:val="left"/>
              <w:rPr>
                <w:rFonts w:ascii="宋体" w:hAnsi="宋体" w:cs="宋体"/>
                <w:color w:val="auto"/>
                <w:szCs w:val="21"/>
                <w:highlight w:val="none"/>
              </w:rPr>
            </w:pPr>
            <w:r>
              <w:rPr>
                <w:rFonts w:ascii="宋体" w:hAnsi="宋体" w:cs="宋体"/>
                <w:color w:val="auto"/>
                <w:szCs w:val="21"/>
                <w:highlight w:val="none"/>
              </w:rPr>
              <w:t>1、中标人需按照粤建管[2007]39号文的规定、广州市建委穗建筑[1999]175号文及《建筑施工安全检查标准》（JGJ59-2011）、穗建质函[2014]3205号文的有关规定做好安全文明施工各项工作，否则由招标人另行委托队伍施工，其费用由中标人自行负责。</w:t>
            </w:r>
          </w:p>
          <w:p w14:paraId="6B65499A">
            <w:pPr>
              <w:pStyle w:val="23"/>
              <w:tabs>
                <w:tab w:val="left" w:pos="0"/>
              </w:tabs>
              <w:spacing w:line="360" w:lineRule="auto"/>
              <w:ind w:firstLine="0" w:firstLineChars="0"/>
              <w:jc w:val="left"/>
              <w:rPr>
                <w:rFonts w:ascii="宋体" w:hAnsi="宋体" w:cs="宋体"/>
                <w:color w:val="auto"/>
                <w:szCs w:val="21"/>
                <w:highlight w:val="none"/>
              </w:rPr>
            </w:pPr>
            <w:r>
              <w:rPr>
                <w:rFonts w:ascii="宋体" w:hAnsi="宋体" w:cs="宋体"/>
                <w:color w:val="auto"/>
                <w:szCs w:val="21"/>
                <w:highlight w:val="none"/>
              </w:rPr>
              <w:t>2、中标人</w:t>
            </w:r>
            <w:r>
              <w:rPr>
                <w:rFonts w:hint="eastAsia" w:ascii="宋体" w:hAnsi="宋体" w:cs="宋体"/>
                <w:color w:val="auto"/>
                <w:szCs w:val="21"/>
                <w:highlight w:val="none"/>
              </w:rPr>
              <w:t>（联合体投标的</w:t>
            </w:r>
            <w:r>
              <w:rPr>
                <w:rFonts w:hint="eastAsia" w:ascii="宋体" w:hAnsi="宋体" w:cs="宋体"/>
                <w:color w:val="auto"/>
                <w:szCs w:val="21"/>
                <w:highlight w:val="none"/>
                <w:lang w:val="en-US" w:eastAsia="zh-CN"/>
              </w:rPr>
              <w:t>按联合体各方每期中标价的10%递交履约担保</w:t>
            </w:r>
            <w:r>
              <w:rPr>
                <w:rFonts w:hint="eastAsia" w:ascii="宋体" w:hAnsi="宋体" w:cs="宋体"/>
                <w:color w:val="auto"/>
                <w:szCs w:val="21"/>
                <w:highlight w:val="none"/>
              </w:rPr>
              <w:t>)</w:t>
            </w:r>
            <w:r>
              <w:rPr>
                <w:rFonts w:ascii="宋体" w:hAnsi="宋体" w:cs="宋体"/>
                <w:color w:val="auto"/>
                <w:szCs w:val="21"/>
                <w:highlight w:val="none"/>
              </w:rPr>
              <w:t>必须根据招标文件规定的格式及时间要求及时出具履约保函，如中标人无法及时提供履约保函的，视为自动放弃中标资格，招标人可以按照评标委员会提出的中标候选人名单排序依次确定其他中标候选人为中标人,也可以重新招标。原中标人将自愿停止参加</w:t>
            </w:r>
            <w:r>
              <w:rPr>
                <w:rFonts w:hint="eastAsia" w:ascii="宋体" w:hAnsi="宋体" w:cs="宋体"/>
                <w:color w:val="auto"/>
                <w:szCs w:val="21"/>
                <w:highlight w:val="none"/>
              </w:rPr>
              <w:t>广州市番禺区石碁镇桥山村股份合作经济社</w:t>
            </w:r>
            <w:r>
              <w:rPr>
                <w:rFonts w:ascii="宋体" w:hAnsi="宋体" w:cs="宋体"/>
                <w:color w:val="auto"/>
                <w:szCs w:val="21"/>
                <w:highlight w:val="none"/>
              </w:rPr>
              <w:t>的招标投标活动十二个月。</w:t>
            </w:r>
          </w:p>
          <w:p w14:paraId="788F8335">
            <w:pPr>
              <w:pStyle w:val="23"/>
              <w:tabs>
                <w:tab w:val="left" w:pos="0"/>
              </w:tabs>
              <w:spacing w:line="360" w:lineRule="auto"/>
              <w:ind w:firstLine="0" w:firstLineChars="0"/>
              <w:jc w:val="left"/>
              <w:rPr>
                <w:rFonts w:ascii="宋体" w:hAnsi="宋体" w:cs="宋体"/>
                <w:color w:val="auto"/>
                <w:szCs w:val="21"/>
                <w:highlight w:val="none"/>
              </w:rPr>
            </w:pPr>
            <w:r>
              <w:rPr>
                <w:rFonts w:ascii="宋体" w:hAnsi="宋体" w:cs="宋体"/>
                <w:color w:val="auto"/>
                <w:szCs w:val="21"/>
                <w:highlight w:val="none"/>
              </w:rPr>
              <w:t>3、投标人如在本项目中存在串通投标、弄虚作假、行贿情形的，中标无效，该投标人将被招标人列入黑名单并限制其投标。行政监督部门将对其违法行为进行行政处罚并通报。</w:t>
            </w:r>
          </w:p>
          <w:p w14:paraId="611E2FC6">
            <w:pPr>
              <w:spacing w:line="360" w:lineRule="auto"/>
              <w:rPr>
                <w:rFonts w:ascii="宋体" w:hAnsi="宋体"/>
                <w:color w:val="auto"/>
                <w:highlight w:val="none"/>
              </w:rPr>
            </w:pPr>
            <w:r>
              <w:rPr>
                <w:rFonts w:ascii="宋体" w:hAnsi="宋体" w:cs="宋体"/>
                <w:color w:val="auto"/>
                <w:szCs w:val="21"/>
                <w:highlight w:val="none"/>
              </w:rPr>
              <w:t>4、投标人拟任的</w:t>
            </w:r>
            <w:r>
              <w:rPr>
                <w:rFonts w:hint="eastAsia" w:ascii="宋体" w:hAnsi="宋体" w:cs="宋体"/>
                <w:color w:val="auto"/>
                <w:szCs w:val="21"/>
                <w:highlight w:val="none"/>
                <w:lang w:val="en-US" w:eastAsia="zh-CN"/>
              </w:rPr>
              <w:t>项目负责人（兼</w:t>
            </w:r>
            <w:r>
              <w:rPr>
                <w:rFonts w:hint="eastAsia" w:ascii="宋体" w:hAnsi="宋体" w:cs="宋体"/>
                <w:color w:val="auto"/>
                <w:szCs w:val="21"/>
                <w:highlight w:val="none"/>
              </w:rPr>
              <w:t>施工负责人</w:t>
            </w:r>
            <w:r>
              <w:rPr>
                <w:rFonts w:hint="eastAsia" w:ascii="宋体" w:hAnsi="宋体" w:cs="宋体"/>
                <w:color w:val="auto"/>
                <w:szCs w:val="21"/>
                <w:highlight w:val="none"/>
                <w:lang w:eastAsia="zh-CN"/>
              </w:rPr>
              <w:t>）</w:t>
            </w:r>
            <w:r>
              <w:rPr>
                <w:rFonts w:ascii="宋体" w:hAnsi="宋体" w:cs="宋体"/>
                <w:color w:val="auto"/>
                <w:szCs w:val="21"/>
                <w:highlight w:val="none"/>
              </w:rPr>
              <w:t>不得同时在两个或者两个以上工程项目担任工程总承包项目经理、施工项目负责人。投标人拟任</w:t>
            </w:r>
            <w:r>
              <w:rPr>
                <w:rFonts w:hint="eastAsia" w:ascii="宋体" w:hAnsi="宋体" w:cs="宋体"/>
                <w:color w:val="auto"/>
                <w:szCs w:val="21"/>
                <w:highlight w:val="none"/>
                <w:lang w:val="en-US" w:eastAsia="zh-CN"/>
              </w:rPr>
              <w:t>项目负责人（兼</w:t>
            </w:r>
            <w:r>
              <w:rPr>
                <w:rFonts w:hint="eastAsia" w:ascii="宋体" w:hAnsi="宋体" w:cs="宋体"/>
                <w:color w:val="auto"/>
                <w:szCs w:val="21"/>
                <w:highlight w:val="none"/>
              </w:rPr>
              <w:t>施工负责人</w:t>
            </w:r>
            <w:r>
              <w:rPr>
                <w:rFonts w:hint="eastAsia" w:ascii="宋体" w:hAnsi="宋体" w:cs="宋体"/>
                <w:color w:val="auto"/>
                <w:szCs w:val="21"/>
                <w:highlight w:val="none"/>
                <w:lang w:eastAsia="zh-CN"/>
              </w:rPr>
              <w:t>）</w:t>
            </w:r>
            <w:r>
              <w:rPr>
                <w:rFonts w:ascii="宋体" w:hAnsi="宋体" w:cs="宋体"/>
                <w:color w:val="auto"/>
                <w:szCs w:val="21"/>
                <w:highlight w:val="none"/>
              </w:rPr>
              <w:t>未被其他项目锁定，或没有在其他项目担任</w:t>
            </w:r>
            <w:r>
              <w:rPr>
                <w:rFonts w:hint="eastAsia" w:ascii="宋体" w:hAnsi="宋体" w:cs="宋体"/>
                <w:color w:val="auto"/>
                <w:szCs w:val="21"/>
                <w:highlight w:val="none"/>
                <w:lang w:val="en-US" w:eastAsia="zh-CN"/>
              </w:rPr>
              <w:t>项目负责人或</w:t>
            </w:r>
            <w:r>
              <w:rPr>
                <w:rFonts w:hint="eastAsia" w:ascii="宋体" w:hAnsi="宋体" w:cs="宋体"/>
                <w:color w:val="auto"/>
                <w:szCs w:val="21"/>
                <w:highlight w:val="none"/>
              </w:rPr>
              <w:t>施工负责人</w:t>
            </w:r>
            <w:r>
              <w:rPr>
                <w:rFonts w:ascii="宋体" w:hAnsi="宋体" w:cs="宋体"/>
                <w:color w:val="auto"/>
                <w:szCs w:val="21"/>
                <w:highlight w:val="none"/>
              </w:rPr>
              <w:t>。投标人拟任的专职安全员，不得同时在两个或者两个以上工程项目担任专职安全员。</w:t>
            </w:r>
          </w:p>
        </w:tc>
      </w:tr>
      <w:tr w14:paraId="4961DA2F">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19A5548F">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9.6</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21BFE971">
            <w:pPr>
              <w:spacing w:line="360" w:lineRule="auto"/>
              <w:rPr>
                <w:rFonts w:ascii="宋体" w:hAnsi="宋体"/>
                <w:color w:val="auto"/>
                <w:highlight w:val="none"/>
              </w:rPr>
            </w:pPr>
            <w:r>
              <w:rPr>
                <w:rFonts w:ascii="宋体" w:hAnsi="宋体" w:cs="宋体"/>
                <w:bCs/>
                <w:color w:val="auto"/>
                <w:szCs w:val="21"/>
                <w:highlight w:val="none"/>
              </w:rPr>
              <w:t>施工保修期限：按照《建设工程质量管理条例》规定。</w:t>
            </w:r>
          </w:p>
        </w:tc>
      </w:tr>
      <w:tr w14:paraId="37B8C1B0">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3C0ED3F">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9.7</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0F424E8B">
            <w:pPr>
              <w:spacing w:line="360" w:lineRule="auto"/>
              <w:rPr>
                <w:rFonts w:ascii="宋体" w:hAnsi="宋体" w:cs="宋体"/>
                <w:bCs/>
                <w:color w:val="auto"/>
                <w:szCs w:val="21"/>
                <w:highlight w:val="none"/>
              </w:rPr>
            </w:pPr>
            <w:r>
              <w:rPr>
                <w:rFonts w:hint="eastAsia" w:ascii="宋体" w:hAnsi="宋体" w:cs="宋体"/>
                <w:color w:val="auto"/>
                <w:sz w:val="22"/>
                <w:highlight w:val="none"/>
              </w:rPr>
              <w:t>联合体各成员向招标人共同承担连带责任，包括但不限于在本项目整个运营期间就运营方的履约行为共同承担连带责任。</w:t>
            </w:r>
          </w:p>
        </w:tc>
      </w:tr>
      <w:tr w14:paraId="2C63DA30">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6D8FC7E">
            <w:pPr>
              <w:widowControl/>
              <w:spacing w:line="360" w:lineRule="auto"/>
              <w:jc w:val="center"/>
              <w:rPr>
                <w:rFonts w:ascii="宋体" w:hAnsi="宋体" w:cs="宋体"/>
                <w:color w:val="auto"/>
                <w:szCs w:val="21"/>
                <w:highlight w:val="none"/>
              </w:rPr>
            </w:pPr>
            <w:r>
              <w:rPr>
                <w:rFonts w:hint="eastAsia" w:ascii="宋体" w:hAnsi="宋体" w:cs="宋体"/>
                <w:color w:val="auto"/>
                <w:kern w:val="1"/>
                <w:szCs w:val="21"/>
                <w:highlight w:val="none"/>
              </w:rPr>
              <w:t>10</w:t>
            </w:r>
          </w:p>
        </w:tc>
        <w:tc>
          <w:tcPr>
            <w:tcW w:w="2509" w:type="dxa"/>
            <w:tcBorders>
              <w:top w:val="single" w:color="000000" w:sz="4" w:space="0"/>
              <w:left w:val="single" w:color="000000" w:sz="4" w:space="0"/>
              <w:bottom w:val="single" w:color="000000" w:sz="4" w:space="0"/>
              <w:right w:val="single" w:color="auto" w:sz="4" w:space="0"/>
            </w:tcBorders>
            <w:vAlign w:val="center"/>
          </w:tcPr>
          <w:p w14:paraId="48E3D0FF">
            <w:pPr>
              <w:pStyle w:val="23"/>
              <w:tabs>
                <w:tab w:val="left" w:pos="0"/>
              </w:tabs>
              <w:spacing w:line="360" w:lineRule="auto"/>
              <w:ind w:firstLine="0" w:firstLineChars="0"/>
              <w:jc w:val="left"/>
              <w:rPr>
                <w:rFonts w:ascii="宋体" w:hAnsi="宋体" w:cs="宋体"/>
                <w:color w:val="auto"/>
                <w:szCs w:val="21"/>
                <w:highlight w:val="none"/>
              </w:rPr>
            </w:pPr>
            <w:r>
              <w:rPr>
                <w:rFonts w:hint="eastAsia" w:ascii="宋体" w:hAnsi="宋体" w:cs="宋体"/>
                <w:color w:val="auto"/>
                <w:kern w:val="1"/>
                <w:szCs w:val="21"/>
                <w:highlight w:val="none"/>
              </w:rPr>
              <w:t>电子招标投标</w:t>
            </w:r>
          </w:p>
        </w:tc>
        <w:tc>
          <w:tcPr>
            <w:tcW w:w="6633" w:type="dxa"/>
            <w:tcBorders>
              <w:top w:val="single" w:color="000000" w:sz="4" w:space="0"/>
              <w:left w:val="single" w:color="auto" w:sz="4" w:space="0"/>
              <w:bottom w:val="single" w:color="000000" w:sz="4" w:space="0"/>
              <w:right w:val="single" w:color="000000" w:sz="4" w:space="0"/>
            </w:tcBorders>
            <w:vAlign w:val="center"/>
          </w:tcPr>
          <w:p w14:paraId="16BEB2D0">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□否</w:t>
            </w:r>
          </w:p>
          <w:p w14:paraId="4E184059">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是，</w:t>
            </w:r>
            <w:r>
              <w:rPr>
                <w:rFonts w:ascii="宋体" w:hAnsi="宋体" w:cs="宋体"/>
                <w:color w:val="auto"/>
                <w:szCs w:val="21"/>
                <w:highlight w:val="none"/>
              </w:rPr>
              <w:t>具体要求：1、投标文件形式：投标文件全部采用电子文档，投标文件应按</w:t>
            </w:r>
            <w:r>
              <w:rPr>
                <w:rFonts w:ascii="宋体" w:hAnsi="宋体" w:cs="宋体"/>
                <w:color w:val="auto"/>
                <w:szCs w:val="21"/>
                <w:highlight w:val="none"/>
                <w:u w:val="single"/>
              </w:rPr>
              <w:t>广州交易集团有限公司（广州公共资源交易中心）交易平台</w:t>
            </w:r>
            <w:r>
              <w:rPr>
                <w:rFonts w:ascii="宋体" w:hAnsi="宋体" w:cs="宋体"/>
                <w:color w:val="auto"/>
                <w:szCs w:val="21"/>
                <w:highlight w:val="none"/>
              </w:rPr>
              <w:t>相关操作指南编制。如不按上述要求编制引起系统无法检索、读取相关信息的，其后果由投标人承担。投标文件所附证书证件均为</w:t>
            </w:r>
            <w:r>
              <w:rPr>
                <w:rFonts w:hint="eastAsia" w:ascii="宋体" w:hAnsi="宋体" w:cs="宋体"/>
                <w:color w:val="auto"/>
                <w:szCs w:val="21"/>
                <w:highlight w:val="none"/>
                <w:lang w:val="en-US" w:eastAsia="zh-CN"/>
              </w:rPr>
              <w:t>清晰</w:t>
            </w:r>
            <w:r>
              <w:rPr>
                <w:rFonts w:ascii="宋体" w:hAnsi="宋体" w:cs="宋体"/>
                <w:color w:val="auto"/>
                <w:szCs w:val="21"/>
                <w:highlight w:val="none"/>
              </w:rPr>
              <w:t>扫描件，并采用单位数字证书，按招标文件要求在相应位置加盖电子印章。投标文件中需个人签字或盖章的，应加盖个人电子印章或在线下完成后扫描上传。具体操作详见</w:t>
            </w:r>
            <w:r>
              <w:rPr>
                <w:rFonts w:ascii="宋体" w:hAnsi="宋体" w:cs="宋体"/>
                <w:color w:val="auto"/>
                <w:szCs w:val="21"/>
                <w:highlight w:val="none"/>
                <w:u w:val="single"/>
              </w:rPr>
              <w:t>广州交易集团有限公司（广州公共资源交易中心）交易平台</w:t>
            </w:r>
            <w:r>
              <w:rPr>
                <w:rFonts w:ascii="宋体" w:hAnsi="宋体" w:cs="宋体"/>
                <w:color w:val="auto"/>
                <w:szCs w:val="21"/>
                <w:highlight w:val="none"/>
              </w:rPr>
              <w:t>相关操作指南。</w:t>
            </w:r>
          </w:p>
          <w:p w14:paraId="09EF2349">
            <w:pPr>
              <w:spacing w:line="360" w:lineRule="auto"/>
              <w:rPr>
                <w:rFonts w:ascii="宋体" w:hAnsi="宋体" w:cs="宋体"/>
                <w:color w:val="auto"/>
                <w:szCs w:val="21"/>
                <w:highlight w:val="none"/>
              </w:rPr>
            </w:pPr>
            <w:r>
              <w:rPr>
                <w:rFonts w:ascii="宋体" w:hAnsi="宋体" w:cs="宋体"/>
                <w:color w:val="auto"/>
                <w:szCs w:val="21"/>
                <w:highlight w:val="none"/>
              </w:rPr>
              <w:t>2、投标文件的修改与撤回：投标人修改或撤回已递交的投标文件，需在</w:t>
            </w:r>
            <w:r>
              <w:rPr>
                <w:rFonts w:ascii="宋体" w:hAnsi="宋体" w:cs="宋体"/>
                <w:color w:val="auto"/>
                <w:szCs w:val="21"/>
                <w:highlight w:val="none"/>
                <w:u w:val="single"/>
              </w:rPr>
              <w:t>广州交易集团有限公司（广州公共资源交易中心）交易平台</w:t>
            </w:r>
            <w:r>
              <w:rPr>
                <w:rFonts w:ascii="宋体" w:hAnsi="宋体" w:cs="宋体"/>
                <w:color w:val="auto"/>
                <w:szCs w:val="21"/>
                <w:highlight w:val="none"/>
              </w:rPr>
              <w:t>发出撤回通知，并按要求加盖电子印章。</w:t>
            </w:r>
            <w:r>
              <w:rPr>
                <w:rFonts w:ascii="宋体" w:hAnsi="宋体" w:cs="宋体"/>
                <w:color w:val="auto"/>
                <w:szCs w:val="21"/>
                <w:highlight w:val="none"/>
                <w:u w:val="single"/>
              </w:rPr>
              <w:t>广州交易集团有限公司（广州公共资源交易中心）</w:t>
            </w:r>
            <w:r>
              <w:rPr>
                <w:rFonts w:ascii="宋体" w:hAnsi="宋体" w:cs="宋体"/>
                <w:color w:val="auto"/>
                <w:szCs w:val="21"/>
                <w:highlight w:val="none"/>
              </w:rPr>
              <w:t>电子招标投标交易平台收到通知后，即时向投标人发出确认回执通知。</w:t>
            </w:r>
          </w:p>
          <w:p w14:paraId="313994C8">
            <w:pPr>
              <w:spacing w:line="360" w:lineRule="auto"/>
              <w:rPr>
                <w:rFonts w:ascii="宋体" w:hAnsi="宋体" w:cs="宋体"/>
                <w:color w:val="auto"/>
                <w:kern w:val="1"/>
                <w:szCs w:val="21"/>
                <w:highlight w:val="none"/>
              </w:rPr>
            </w:pPr>
            <w:r>
              <w:rPr>
                <w:rFonts w:ascii="宋体" w:hAnsi="宋体" w:cs="宋体"/>
                <w:color w:val="auto"/>
                <w:szCs w:val="21"/>
                <w:highlight w:val="none"/>
              </w:rPr>
              <w:t>3、</w:t>
            </w:r>
            <w:r>
              <w:rPr>
                <w:rFonts w:ascii="宋体" w:hAnsi="宋体" w:cs="宋体"/>
                <w:color w:val="auto"/>
                <w:kern w:val="1"/>
                <w:szCs w:val="21"/>
                <w:highlight w:val="none"/>
              </w:rPr>
              <w:t>（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14:paraId="70D88374">
            <w:pPr>
              <w:spacing w:line="360" w:lineRule="auto"/>
              <w:rPr>
                <w:rFonts w:ascii="宋体" w:hAnsi="宋体" w:cs="宋体"/>
                <w:color w:val="auto"/>
                <w:szCs w:val="21"/>
                <w:highlight w:val="none"/>
              </w:rPr>
            </w:pPr>
            <w:r>
              <w:rPr>
                <w:rFonts w:ascii="宋体" w:hAnsi="宋体" w:cs="宋体"/>
                <w:color w:val="auto"/>
                <w:szCs w:val="21"/>
                <w:highlight w:val="none"/>
              </w:rPr>
              <w:t>4、投标文件的递交：</w:t>
            </w:r>
          </w:p>
          <w:p w14:paraId="26A4817C">
            <w:pPr>
              <w:spacing w:line="360" w:lineRule="auto"/>
              <w:rPr>
                <w:rFonts w:ascii="宋体" w:hAnsi="宋体" w:cs="宋体"/>
                <w:color w:val="auto"/>
                <w:szCs w:val="21"/>
                <w:highlight w:val="none"/>
              </w:rPr>
            </w:pPr>
            <w:r>
              <w:rPr>
                <w:rFonts w:ascii="宋体" w:hAnsi="宋体" w:cs="宋体"/>
                <w:color w:val="auto"/>
                <w:szCs w:val="21"/>
                <w:highlight w:val="none"/>
              </w:rPr>
              <w:t>①投标文件递交的截止时间（投标截止时间，下同）为  年  月  日  时  分，投标人应在截止时间前通过电子招标投标交易平台递交电子投标文件。（具体时间以广州交易集团有限公司（广州公共资源交易中心）网站发布为准。）</w:t>
            </w:r>
          </w:p>
          <w:p w14:paraId="29C8C809">
            <w:pPr>
              <w:spacing w:line="360" w:lineRule="auto"/>
              <w:rPr>
                <w:rFonts w:ascii="宋体" w:hAnsi="宋体" w:cs="宋体"/>
                <w:color w:val="auto"/>
                <w:szCs w:val="21"/>
                <w:highlight w:val="none"/>
              </w:rPr>
            </w:pPr>
            <w:r>
              <w:rPr>
                <w:rFonts w:ascii="宋体" w:hAnsi="宋体" w:cs="宋体"/>
                <w:color w:val="auto"/>
                <w:szCs w:val="21"/>
                <w:highlight w:val="none"/>
              </w:rPr>
              <w:t>②提交投标文件备用光盘(或U盘)。</w:t>
            </w:r>
          </w:p>
          <w:p w14:paraId="727E736A">
            <w:pPr>
              <w:spacing w:line="360" w:lineRule="auto"/>
              <w:rPr>
                <w:rFonts w:ascii="宋体" w:hAnsi="宋体" w:cs="宋体"/>
                <w:color w:val="auto"/>
                <w:szCs w:val="21"/>
                <w:highlight w:val="none"/>
              </w:rPr>
            </w:pPr>
            <w:r>
              <w:rPr>
                <w:rFonts w:ascii="宋体" w:hAnsi="宋体" w:cs="宋体"/>
                <w:color w:val="auto"/>
                <w:szCs w:val="21"/>
                <w:highlight w:val="none"/>
              </w:rPr>
              <w:t>投标文件备用光盘(或U盘)递交时间：  年  月  日  时  分至  年  月  日  时  分，地点：广州交易集团有限公司（广州公共资源交易中心）</w:t>
            </w:r>
            <w:r>
              <w:rPr>
                <w:rFonts w:ascii="宋体" w:hAnsi="宋体" w:cs="宋体"/>
                <w:color w:val="auto"/>
                <w:kern w:val="1"/>
                <w:szCs w:val="21"/>
                <w:highlight w:val="none"/>
              </w:rPr>
              <w:t>开标室。</w:t>
            </w:r>
            <w:r>
              <w:rPr>
                <w:rFonts w:ascii="宋体" w:hAnsi="宋体" w:cs="宋体"/>
                <w:color w:val="auto"/>
                <w:szCs w:val="21"/>
                <w:highlight w:val="none"/>
              </w:rPr>
              <w:t>（具体时间和地点以广州交易集团有限公司（广州公共资源交易中心）网站发布为准。）</w:t>
            </w:r>
          </w:p>
          <w:p w14:paraId="0667F1D2">
            <w:pPr>
              <w:spacing w:line="360" w:lineRule="auto"/>
              <w:rPr>
                <w:rFonts w:ascii="宋体" w:hAnsi="宋体" w:cs="宋体"/>
                <w:color w:val="auto"/>
                <w:szCs w:val="21"/>
                <w:highlight w:val="none"/>
              </w:rPr>
            </w:pPr>
            <w:r>
              <w:rPr>
                <w:rFonts w:ascii="宋体" w:hAnsi="宋体" w:cs="宋体"/>
                <w:color w:val="auto"/>
                <w:szCs w:val="21"/>
                <w:highlight w:val="none"/>
              </w:rPr>
              <w:t>③投标人完成电子投标上传后，电子招标投标交易平台即时向投标人发出递交回执通知。递交时间以递交回执通知载明的传输时间为准。</w:t>
            </w:r>
          </w:p>
          <w:p w14:paraId="6724B7DB">
            <w:pPr>
              <w:spacing w:line="360" w:lineRule="auto"/>
              <w:rPr>
                <w:rFonts w:ascii="宋体" w:hAnsi="宋体" w:cs="宋体"/>
                <w:color w:val="auto"/>
                <w:szCs w:val="21"/>
                <w:highlight w:val="none"/>
              </w:rPr>
            </w:pPr>
            <w:r>
              <w:rPr>
                <w:rFonts w:ascii="宋体" w:hAnsi="宋体" w:cs="宋体"/>
                <w:color w:val="auto"/>
                <w:szCs w:val="21"/>
                <w:highlight w:val="none"/>
              </w:rPr>
              <w:t>④逾期送达的投标文件，电子招标投标交易平台将予以拒收。</w:t>
            </w:r>
          </w:p>
          <w:p w14:paraId="50C5572F">
            <w:pPr>
              <w:spacing w:line="360" w:lineRule="auto"/>
              <w:rPr>
                <w:rFonts w:ascii="宋体" w:hAnsi="宋体" w:cs="宋体"/>
                <w:color w:val="auto"/>
                <w:szCs w:val="21"/>
                <w:highlight w:val="none"/>
              </w:rPr>
            </w:pPr>
            <w:r>
              <w:rPr>
                <w:rFonts w:ascii="宋体" w:hAnsi="宋体" w:cs="宋体"/>
                <w:color w:val="auto"/>
                <w:szCs w:val="21"/>
                <w:highlight w:val="none"/>
              </w:rPr>
              <w:t>5、投标文件加密要求：</w:t>
            </w:r>
          </w:p>
          <w:p w14:paraId="52A50068">
            <w:pPr>
              <w:spacing w:line="360" w:lineRule="auto"/>
              <w:rPr>
                <w:rFonts w:ascii="宋体" w:hAnsi="宋体" w:cs="宋体"/>
                <w:color w:val="auto"/>
                <w:szCs w:val="21"/>
                <w:highlight w:val="none"/>
              </w:rPr>
            </w:pPr>
            <w:r>
              <w:rPr>
                <w:rFonts w:ascii="宋体" w:hAnsi="宋体" w:cs="宋体"/>
                <w:color w:val="auto"/>
                <w:szCs w:val="21"/>
                <w:highlight w:val="none"/>
              </w:rPr>
              <w:t>①网上递交的电子投标文件须进行加密。具体操作详见</w:t>
            </w:r>
            <w:r>
              <w:rPr>
                <w:rFonts w:ascii="宋体" w:hAnsi="宋体" w:cs="宋体"/>
                <w:color w:val="auto"/>
                <w:szCs w:val="21"/>
                <w:highlight w:val="none"/>
                <w:u w:val="single"/>
              </w:rPr>
              <w:t>广州交易集团有限公司（广州公共资源交易中心）交易平台</w:t>
            </w:r>
            <w:r>
              <w:rPr>
                <w:rFonts w:ascii="宋体" w:hAnsi="宋体" w:cs="宋体"/>
                <w:color w:val="auto"/>
                <w:szCs w:val="21"/>
                <w:highlight w:val="none"/>
              </w:rPr>
              <w:t>相关操作指南。</w:t>
            </w:r>
          </w:p>
          <w:p w14:paraId="722065A5">
            <w:pPr>
              <w:spacing w:line="360" w:lineRule="auto"/>
              <w:rPr>
                <w:rFonts w:ascii="宋体" w:hAnsi="宋体" w:cs="宋体"/>
                <w:color w:val="auto"/>
                <w:szCs w:val="21"/>
                <w:highlight w:val="none"/>
              </w:rPr>
            </w:pPr>
            <w:r>
              <w:rPr>
                <w:rFonts w:ascii="宋体" w:hAnsi="宋体" w:cs="宋体"/>
                <w:color w:val="auto"/>
                <w:szCs w:val="21"/>
                <w:highlight w:val="none"/>
              </w:rPr>
              <w:t>②未按要求加密的投标文件，招标人将予以拒收。</w:t>
            </w:r>
          </w:p>
          <w:p w14:paraId="244FC34C">
            <w:pPr>
              <w:spacing w:line="360" w:lineRule="auto"/>
              <w:rPr>
                <w:rFonts w:ascii="宋体" w:hAnsi="宋体" w:cs="宋体"/>
                <w:color w:val="auto"/>
                <w:szCs w:val="21"/>
                <w:highlight w:val="none"/>
              </w:rPr>
            </w:pPr>
            <w:r>
              <w:rPr>
                <w:rFonts w:ascii="宋体" w:hAnsi="宋体" w:cs="宋体"/>
                <w:color w:val="auto"/>
                <w:szCs w:val="21"/>
                <w:highlight w:val="none"/>
              </w:rPr>
              <w:t>6、投标文件解密失败的补救方案：</w:t>
            </w:r>
          </w:p>
          <w:p w14:paraId="1F533802">
            <w:pPr>
              <w:spacing w:line="360" w:lineRule="auto"/>
              <w:rPr>
                <w:rFonts w:ascii="宋体" w:hAnsi="宋体" w:cs="宋体"/>
                <w:color w:val="auto"/>
                <w:szCs w:val="21"/>
                <w:highlight w:val="none"/>
              </w:rPr>
            </w:pPr>
            <w:r>
              <w:rPr>
                <w:rFonts w:ascii="宋体" w:hAnsi="宋体" w:cs="宋体"/>
                <w:color w:val="auto"/>
                <w:szCs w:val="21"/>
                <w:highlight w:val="none"/>
              </w:rPr>
              <w:t>在规定时间内，因投标人之外原因(指网络瘫痪、服务器损坏、交易系统故障短期无法恢复)导致的电子投标文件解密失败，在开标现场读取备用光盘(或U盘)内容，继续开标程序。若出现招标人无法正常解密或导入开标系统的情况，在开标现场读取已成功解密</w:t>
            </w:r>
            <w:r>
              <w:rPr>
                <w:rFonts w:hint="eastAsia" w:ascii="宋体" w:hAnsi="宋体" w:cs="宋体"/>
                <w:color w:val="auto"/>
                <w:szCs w:val="21"/>
                <w:highlight w:val="none"/>
              </w:rPr>
              <w:t>以及</w:t>
            </w:r>
            <w:r>
              <w:rPr>
                <w:rFonts w:ascii="宋体" w:hAnsi="宋体" w:cs="宋体"/>
                <w:color w:val="auto"/>
                <w:szCs w:val="21"/>
                <w:highlight w:val="none"/>
              </w:rPr>
              <w:t>因投标人之外的原因导致电子投标文件解密失败的投标人递交的备用光盘(或U盘)内容。出现上述情况的，评标委员会对其投标文件的评审以备用光盘(或U盘)内容为准。因投标人之外原因解密失败且未递交备用光盘(或U盘)的，视为撤回投标文件。</w:t>
            </w:r>
          </w:p>
          <w:p w14:paraId="6E7D0F8C">
            <w:pPr>
              <w:pStyle w:val="23"/>
              <w:tabs>
                <w:tab w:val="left" w:pos="0"/>
              </w:tabs>
              <w:spacing w:line="360" w:lineRule="auto"/>
              <w:ind w:firstLine="0" w:firstLineChars="0"/>
              <w:rPr>
                <w:rFonts w:ascii="宋体" w:hAnsi="宋体" w:cs="宋体"/>
                <w:color w:val="auto"/>
                <w:szCs w:val="21"/>
                <w:highlight w:val="none"/>
              </w:rPr>
            </w:pPr>
            <w:r>
              <w:rPr>
                <w:rFonts w:ascii="宋体" w:hAnsi="宋体" w:cs="宋体"/>
                <w:color w:val="auto"/>
                <w:szCs w:val="21"/>
                <w:highlight w:val="none"/>
              </w:rPr>
              <w:t>除发生上述情况外，开标评标均以投标人通过</w:t>
            </w:r>
            <w:r>
              <w:rPr>
                <w:rFonts w:ascii="宋体" w:hAnsi="宋体" w:cs="宋体"/>
                <w:color w:val="auto"/>
                <w:szCs w:val="21"/>
                <w:highlight w:val="none"/>
                <w:u w:val="single"/>
              </w:rPr>
              <w:t>广州交易集团有限公司（广州公共资源交易中心）交易平台</w:t>
            </w:r>
            <w:r>
              <w:rPr>
                <w:rFonts w:ascii="宋体" w:hAnsi="宋体" w:cs="宋体"/>
                <w:color w:val="auto"/>
                <w:szCs w:val="21"/>
                <w:highlight w:val="none"/>
              </w:rPr>
              <w:t>网上递交的电子投标文件为准。</w:t>
            </w:r>
          </w:p>
        </w:tc>
      </w:tr>
      <w:tr w14:paraId="20873A2F">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03E8B7E">
            <w:pPr>
              <w:widowControl/>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w:t>
            </w:r>
          </w:p>
        </w:tc>
        <w:tc>
          <w:tcPr>
            <w:tcW w:w="2509" w:type="dxa"/>
            <w:tcBorders>
              <w:top w:val="single" w:color="000000" w:sz="4" w:space="0"/>
              <w:left w:val="single" w:color="000000" w:sz="4" w:space="0"/>
              <w:bottom w:val="single" w:color="000000" w:sz="4" w:space="0"/>
              <w:right w:val="single" w:color="auto" w:sz="4" w:space="0"/>
            </w:tcBorders>
            <w:vAlign w:val="center"/>
          </w:tcPr>
          <w:p w14:paraId="74EA92FA">
            <w:pPr>
              <w:pStyle w:val="23"/>
              <w:tabs>
                <w:tab w:val="left" w:pos="0"/>
              </w:tabs>
              <w:spacing w:line="360" w:lineRule="auto"/>
              <w:ind w:firstLine="0" w:firstLineChars="0"/>
              <w:jc w:val="left"/>
              <w:rPr>
                <w:rFonts w:ascii="宋体" w:hAnsi="宋体" w:cs="宋体"/>
                <w:color w:val="auto"/>
                <w:kern w:val="1"/>
                <w:szCs w:val="21"/>
                <w:highlight w:val="none"/>
              </w:rPr>
            </w:pPr>
            <w:r>
              <w:rPr>
                <w:rFonts w:hint="eastAsia" w:ascii="宋体" w:hAnsi="宋体" w:cs="宋体"/>
                <w:color w:val="auto"/>
                <w:kern w:val="1"/>
                <w:szCs w:val="21"/>
                <w:highlight w:val="none"/>
              </w:rPr>
              <w:t>交易服务费</w:t>
            </w:r>
          </w:p>
        </w:tc>
        <w:tc>
          <w:tcPr>
            <w:tcW w:w="6633" w:type="dxa"/>
            <w:tcBorders>
              <w:top w:val="single" w:color="000000" w:sz="4" w:space="0"/>
              <w:left w:val="single" w:color="auto" w:sz="4" w:space="0"/>
              <w:bottom w:val="single" w:color="000000" w:sz="4" w:space="0"/>
              <w:right w:val="single" w:color="000000" w:sz="4" w:space="0"/>
            </w:tcBorders>
            <w:vAlign w:val="center"/>
          </w:tcPr>
          <w:p w14:paraId="1FD8C9FE">
            <w:pPr>
              <w:pStyle w:val="23"/>
              <w:tabs>
                <w:tab w:val="left" w:pos="0"/>
              </w:tabs>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u w:val="single"/>
              </w:rPr>
              <w:t>广州交易集团有限公司（广州公共资源交易中心）交易服务费由中标人负责，由广州交易集团有限公司（广州公共资源交易中心）向中标人开具增值税发票。</w:t>
            </w:r>
          </w:p>
        </w:tc>
      </w:tr>
      <w:tr w14:paraId="7EC9A4D8">
        <w:tblPrEx>
          <w:tblCellMar>
            <w:top w:w="0" w:type="dxa"/>
            <w:left w:w="108" w:type="dxa"/>
            <w:bottom w:w="0" w:type="dxa"/>
            <w:right w:w="108" w:type="dxa"/>
          </w:tblCellMar>
        </w:tblPrEx>
        <w:trPr>
          <w:trHeight w:val="454"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1164E7F">
            <w:pPr>
              <w:widowControl/>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12</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346F7679">
            <w:pPr>
              <w:pStyle w:val="23"/>
              <w:tabs>
                <w:tab w:val="left" w:pos="0"/>
              </w:tabs>
              <w:spacing w:line="360" w:lineRule="auto"/>
              <w:ind w:firstLine="0" w:firstLineChars="0"/>
              <w:rPr>
                <w:rFonts w:ascii="宋体" w:hAnsi="宋体" w:cs="宋体"/>
                <w:color w:val="auto"/>
                <w:szCs w:val="21"/>
                <w:highlight w:val="none"/>
                <w:u w:val="single"/>
              </w:rPr>
            </w:pPr>
            <w:r>
              <w:rPr>
                <w:rFonts w:hint="eastAsia" w:ascii="宋体" w:hAnsi="宋体" w:cs="宋体"/>
                <w:color w:val="auto"/>
                <w:szCs w:val="21"/>
                <w:highlight w:val="none"/>
                <w:u w:val="single"/>
              </w:rPr>
              <w:t>由于不可抗力（如资金筹措、政策调整等）原因导致本项目无法实施，投标人自行承担在招投标期间发生的相关费用，招标人不作补偿。</w:t>
            </w:r>
          </w:p>
        </w:tc>
      </w:tr>
    </w:tbl>
    <w:p w14:paraId="0557A215">
      <w:pPr>
        <w:pStyle w:val="4"/>
        <w:spacing w:before="0" w:after="0" w:line="360" w:lineRule="auto"/>
        <w:rPr>
          <w:rFonts w:ascii="宋体" w:hAnsi="宋体" w:eastAsia="宋体" w:cs="宋体"/>
          <w:color w:val="auto"/>
          <w:highlight w:val="none"/>
          <w:lang w:val="zh-CN"/>
        </w:rPr>
      </w:pPr>
      <w:bookmarkStart w:id="38" w:name="_Toc247527553"/>
      <w:bookmarkEnd w:id="38"/>
      <w:bookmarkStart w:id="39" w:name="_Toc247513952"/>
      <w:bookmarkEnd w:id="39"/>
      <w:bookmarkStart w:id="40" w:name="_Toc357089511"/>
      <w:bookmarkEnd w:id="40"/>
      <w:bookmarkStart w:id="41" w:name="_Toc144974497"/>
      <w:bookmarkEnd w:id="41"/>
      <w:bookmarkStart w:id="42" w:name="_Toc152045529"/>
      <w:bookmarkEnd w:id="42"/>
      <w:bookmarkStart w:id="43" w:name="_Toc300834949"/>
      <w:bookmarkEnd w:id="43"/>
      <w:bookmarkStart w:id="44" w:name="_Toc443505822"/>
      <w:bookmarkEnd w:id="44"/>
      <w:bookmarkStart w:id="45" w:name="_Toc152042305"/>
      <w:bookmarkEnd w:id="45"/>
      <w:bookmarkStart w:id="46" w:name="_Toc362816480"/>
      <w:bookmarkEnd w:id="46"/>
      <w:r>
        <w:rPr>
          <w:rFonts w:hint="eastAsia" w:ascii="宋体" w:hAnsi="宋体" w:eastAsia="宋体" w:cs="宋体"/>
          <w:color w:val="auto"/>
          <w:highlight w:val="none"/>
          <w:lang w:val="zh-CN"/>
        </w:rPr>
        <w:br w:type="page"/>
      </w:r>
      <w:bookmarkStart w:id="47" w:name="_Toc224"/>
      <w:bookmarkEnd w:id="47"/>
      <w:bookmarkStart w:id="48" w:name="_Toc13193"/>
      <w:bookmarkEnd w:id="48"/>
      <w:bookmarkStart w:id="49" w:name="_Toc152005895"/>
      <w:bookmarkStart w:id="50" w:name="_Toc5620296"/>
      <w:bookmarkStart w:id="51" w:name="_Toc32412"/>
      <w:bookmarkStart w:id="52" w:name="_Toc13234"/>
      <w:bookmarkStart w:id="53" w:name="_Toc15796"/>
      <w:r>
        <w:rPr>
          <w:rFonts w:hint="eastAsia" w:ascii="宋体" w:hAnsi="宋体" w:eastAsia="宋体" w:cs="宋体"/>
          <w:color w:val="auto"/>
          <w:highlight w:val="none"/>
          <w:lang w:val="zh-CN"/>
        </w:rPr>
        <w:t>1. 总则</w:t>
      </w:r>
      <w:bookmarkEnd w:id="49"/>
      <w:bookmarkEnd w:id="50"/>
      <w:bookmarkEnd w:id="51"/>
      <w:bookmarkEnd w:id="52"/>
      <w:bookmarkEnd w:id="53"/>
    </w:p>
    <w:p w14:paraId="20BBA9CC">
      <w:pPr>
        <w:pStyle w:val="5"/>
        <w:spacing w:line="360" w:lineRule="auto"/>
        <w:ind w:firstLine="118"/>
        <w:rPr>
          <w:rFonts w:ascii="宋体" w:hAnsi="宋体" w:eastAsia="宋体"/>
          <w:b/>
          <w:color w:val="auto"/>
          <w:sz w:val="24"/>
          <w:szCs w:val="24"/>
          <w:highlight w:val="none"/>
        </w:rPr>
      </w:pPr>
      <w:bookmarkStart w:id="54" w:name="_Toc356469178"/>
      <w:bookmarkEnd w:id="54"/>
      <w:bookmarkStart w:id="55" w:name="_Toc247527554"/>
      <w:bookmarkEnd w:id="55"/>
      <w:bookmarkStart w:id="56" w:name="_Toc362816481"/>
      <w:bookmarkEnd w:id="56"/>
      <w:bookmarkStart w:id="57" w:name="_Toc247513953"/>
      <w:bookmarkEnd w:id="57"/>
      <w:bookmarkStart w:id="58" w:name="_Toc152042306"/>
      <w:bookmarkEnd w:id="58"/>
      <w:bookmarkStart w:id="59" w:name="_Toc152045530"/>
      <w:bookmarkEnd w:id="59"/>
      <w:bookmarkStart w:id="60" w:name="_Toc144974498"/>
      <w:bookmarkEnd w:id="60"/>
      <w:bookmarkStart w:id="61" w:name="_Toc357089512"/>
      <w:bookmarkEnd w:id="61"/>
      <w:bookmarkStart w:id="62" w:name="_Toc300834950"/>
      <w:bookmarkEnd w:id="62"/>
      <w:bookmarkStart w:id="63" w:name="_Toc25590"/>
      <w:bookmarkStart w:id="64" w:name="_Toc5620297"/>
      <w:bookmarkStart w:id="65" w:name="_Toc152005896"/>
      <w:bookmarkStart w:id="66" w:name="_Toc14593"/>
      <w:bookmarkStart w:id="67" w:name="_Toc10053"/>
      <w:r>
        <w:rPr>
          <w:rFonts w:hint="eastAsia" w:ascii="宋体" w:hAnsi="宋体" w:eastAsia="宋体"/>
          <w:b/>
          <w:color w:val="auto"/>
          <w:sz w:val="24"/>
          <w:szCs w:val="24"/>
          <w:highlight w:val="none"/>
        </w:rPr>
        <w:t>1.1 项目概况</w:t>
      </w:r>
      <w:bookmarkEnd w:id="63"/>
      <w:bookmarkEnd w:id="64"/>
      <w:bookmarkEnd w:id="65"/>
      <w:bookmarkEnd w:id="66"/>
      <w:bookmarkEnd w:id="67"/>
    </w:p>
    <w:p w14:paraId="58EA8A1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1.1.1 根据《中华人民共和国招标投标法》等有关法律、法规和规章的规定，本招标项目已具备招标条件，</w:t>
      </w:r>
      <w:r>
        <w:rPr>
          <w:rFonts w:hint="eastAsia" w:ascii="宋体" w:hAnsi="宋体" w:cs="宋体"/>
          <w:color w:val="auto"/>
          <w:kern w:val="1"/>
          <w:szCs w:val="21"/>
          <w:highlight w:val="none"/>
          <w:u w:val="single"/>
        </w:rPr>
        <w:t>现对该项目勘察设计施工总承包及运营（EPCO）进行招标</w:t>
      </w:r>
      <w:r>
        <w:rPr>
          <w:rFonts w:hint="eastAsia" w:ascii="宋体" w:hAnsi="宋体" w:cs="宋体"/>
          <w:color w:val="auto"/>
          <w:kern w:val="1"/>
          <w:szCs w:val="21"/>
          <w:highlight w:val="none"/>
        </w:rPr>
        <w:t>。</w:t>
      </w:r>
    </w:p>
    <w:p w14:paraId="4542626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1.1.2 招标人：见投标人须知前附表。</w:t>
      </w:r>
    </w:p>
    <w:p w14:paraId="58F284D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1.1.3 招标代理机构：见投标人须知前附表。</w:t>
      </w:r>
    </w:p>
    <w:p w14:paraId="699F252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1.1.4 招标项目名称：见投标人须知前附表。</w:t>
      </w:r>
    </w:p>
    <w:p w14:paraId="7E6E3BBB">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1.1.5 项目建设地点：见投标人须知前附表。</w:t>
      </w:r>
    </w:p>
    <w:p w14:paraId="334433C5">
      <w:pPr>
        <w:pStyle w:val="5"/>
        <w:spacing w:line="360" w:lineRule="auto"/>
        <w:ind w:firstLine="118"/>
        <w:rPr>
          <w:rFonts w:ascii="宋体" w:hAnsi="宋体" w:eastAsia="宋体"/>
          <w:b/>
          <w:color w:val="auto"/>
          <w:sz w:val="24"/>
          <w:szCs w:val="24"/>
          <w:highlight w:val="none"/>
        </w:rPr>
      </w:pPr>
      <w:bookmarkStart w:id="68" w:name="_Toc152045531"/>
      <w:bookmarkEnd w:id="68"/>
      <w:bookmarkStart w:id="69" w:name="_Toc247527555"/>
      <w:bookmarkEnd w:id="69"/>
      <w:bookmarkStart w:id="70" w:name="_Toc152042307"/>
      <w:bookmarkEnd w:id="70"/>
      <w:bookmarkStart w:id="71" w:name="_Toc144974499"/>
      <w:bookmarkEnd w:id="71"/>
      <w:bookmarkStart w:id="72" w:name="_Toc247513954"/>
      <w:bookmarkEnd w:id="72"/>
      <w:bookmarkStart w:id="73" w:name="_Toc362816482"/>
      <w:bookmarkEnd w:id="73"/>
      <w:bookmarkStart w:id="74" w:name="_Toc357089513"/>
      <w:bookmarkEnd w:id="74"/>
      <w:bookmarkStart w:id="75" w:name="_Toc356469179"/>
      <w:bookmarkEnd w:id="75"/>
      <w:bookmarkStart w:id="76" w:name="_Toc300834951"/>
      <w:bookmarkEnd w:id="76"/>
      <w:bookmarkStart w:id="77" w:name="_Toc152005897"/>
      <w:bookmarkStart w:id="78" w:name="_Toc28844"/>
      <w:bookmarkStart w:id="79" w:name="_Toc5620298"/>
      <w:bookmarkStart w:id="80" w:name="_Toc7424"/>
      <w:bookmarkStart w:id="81" w:name="_Toc27025"/>
      <w:r>
        <w:rPr>
          <w:rFonts w:hint="eastAsia" w:ascii="宋体" w:hAnsi="宋体" w:eastAsia="宋体"/>
          <w:b/>
          <w:color w:val="auto"/>
          <w:sz w:val="24"/>
          <w:szCs w:val="24"/>
          <w:highlight w:val="none"/>
        </w:rPr>
        <w:t>1.2 项目的资金来源和落实情况</w:t>
      </w:r>
      <w:bookmarkEnd w:id="77"/>
      <w:bookmarkEnd w:id="78"/>
      <w:bookmarkEnd w:id="79"/>
      <w:bookmarkEnd w:id="80"/>
      <w:bookmarkEnd w:id="81"/>
    </w:p>
    <w:p w14:paraId="0E1B3A63">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1.2.1 资金来源及比例：见投标人须知前附表。</w:t>
      </w:r>
    </w:p>
    <w:p w14:paraId="3F6A1091">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1.2.2 资金落实情况：见投标人须知前附表。</w:t>
      </w:r>
    </w:p>
    <w:p w14:paraId="1F0CA1E7">
      <w:pPr>
        <w:pStyle w:val="5"/>
        <w:spacing w:line="360" w:lineRule="auto"/>
        <w:ind w:firstLine="118"/>
        <w:rPr>
          <w:rFonts w:ascii="宋体" w:hAnsi="宋体" w:eastAsia="宋体"/>
          <w:b/>
          <w:color w:val="auto"/>
          <w:sz w:val="24"/>
          <w:szCs w:val="24"/>
          <w:highlight w:val="none"/>
        </w:rPr>
      </w:pPr>
      <w:bookmarkStart w:id="82" w:name="_Toc356469180"/>
      <w:bookmarkEnd w:id="82"/>
      <w:bookmarkStart w:id="83" w:name="_Toc300834952"/>
      <w:bookmarkEnd w:id="83"/>
      <w:bookmarkStart w:id="84" w:name="_Toc357089514"/>
      <w:bookmarkEnd w:id="84"/>
      <w:bookmarkStart w:id="85" w:name="_Toc152042308"/>
      <w:bookmarkEnd w:id="85"/>
      <w:bookmarkStart w:id="86" w:name="_Toc247527556"/>
      <w:bookmarkEnd w:id="86"/>
      <w:bookmarkStart w:id="87" w:name="_Toc144974500"/>
      <w:bookmarkEnd w:id="87"/>
      <w:bookmarkStart w:id="88" w:name="_Toc152045532"/>
      <w:bookmarkEnd w:id="88"/>
      <w:bookmarkStart w:id="89" w:name="_Toc362816483"/>
      <w:bookmarkEnd w:id="89"/>
      <w:bookmarkStart w:id="90" w:name="_Toc247513955"/>
      <w:bookmarkEnd w:id="90"/>
      <w:bookmarkStart w:id="91" w:name="_Toc27428"/>
      <w:bookmarkStart w:id="92" w:name="_Toc152005898"/>
      <w:bookmarkStart w:id="93" w:name="_Toc5620299"/>
      <w:bookmarkStart w:id="94" w:name="_Toc29052"/>
      <w:bookmarkStart w:id="95" w:name="_Toc8864"/>
      <w:r>
        <w:rPr>
          <w:rFonts w:hint="eastAsia" w:ascii="宋体" w:hAnsi="宋体" w:eastAsia="宋体"/>
          <w:b/>
          <w:color w:val="auto"/>
          <w:sz w:val="24"/>
          <w:szCs w:val="24"/>
          <w:highlight w:val="none"/>
        </w:rPr>
        <w:t>1.3 招标范围、计划工期和质量标准</w:t>
      </w:r>
      <w:bookmarkEnd w:id="91"/>
      <w:bookmarkEnd w:id="92"/>
      <w:bookmarkEnd w:id="93"/>
      <w:bookmarkEnd w:id="94"/>
      <w:bookmarkEnd w:id="95"/>
    </w:p>
    <w:p w14:paraId="503818B7">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1.3.1 招标范围：见投标人须知前附表。</w:t>
      </w:r>
    </w:p>
    <w:p w14:paraId="7662AC29">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1.3.2 计划工期：见投标人须知前附表。</w:t>
      </w:r>
    </w:p>
    <w:p w14:paraId="71FD5257">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1.3.3 质量标准：见投标人须知前附表。</w:t>
      </w:r>
    </w:p>
    <w:p w14:paraId="6D7C262B">
      <w:pPr>
        <w:pStyle w:val="5"/>
        <w:spacing w:line="360" w:lineRule="auto"/>
        <w:ind w:firstLine="118"/>
        <w:rPr>
          <w:rFonts w:ascii="宋体" w:hAnsi="宋体" w:eastAsia="宋体"/>
          <w:b/>
          <w:color w:val="auto"/>
          <w:sz w:val="24"/>
          <w:szCs w:val="24"/>
          <w:highlight w:val="none"/>
        </w:rPr>
      </w:pPr>
      <w:bookmarkStart w:id="96" w:name="_Toc152042310"/>
      <w:bookmarkEnd w:id="96"/>
      <w:bookmarkStart w:id="97" w:name="_Toc300834954"/>
      <w:bookmarkEnd w:id="97"/>
      <w:bookmarkStart w:id="98" w:name="_Toc144974502"/>
      <w:bookmarkEnd w:id="98"/>
      <w:bookmarkStart w:id="99" w:name="_Toc247527558"/>
      <w:bookmarkEnd w:id="99"/>
      <w:bookmarkStart w:id="100" w:name="_Toc152045534"/>
      <w:bookmarkEnd w:id="100"/>
      <w:bookmarkStart w:id="101" w:name="_Toc247513957"/>
      <w:bookmarkEnd w:id="101"/>
      <w:bookmarkStart w:id="102" w:name="_Toc31933"/>
      <w:bookmarkStart w:id="103" w:name="_Toc152005899"/>
      <w:bookmarkStart w:id="104" w:name="_Toc31609"/>
      <w:bookmarkStart w:id="105" w:name="_Toc15284"/>
      <w:bookmarkStart w:id="106" w:name="_Toc5620300"/>
      <w:r>
        <w:rPr>
          <w:rFonts w:hint="eastAsia" w:ascii="宋体" w:hAnsi="宋体" w:eastAsia="宋体"/>
          <w:b/>
          <w:color w:val="auto"/>
          <w:sz w:val="24"/>
          <w:szCs w:val="24"/>
          <w:highlight w:val="none"/>
        </w:rPr>
        <w:t>1.4投标人资格要求</w:t>
      </w:r>
      <w:bookmarkEnd w:id="102"/>
      <w:bookmarkEnd w:id="103"/>
      <w:bookmarkEnd w:id="104"/>
      <w:bookmarkEnd w:id="105"/>
      <w:bookmarkEnd w:id="106"/>
    </w:p>
    <w:p w14:paraId="5F7FFA7F">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rPr>
        <w:t>1.4.1投标人应具备承担本招标项目资质条件、能力和信誉。</w:t>
      </w:r>
    </w:p>
    <w:p w14:paraId="6D7A0FCF">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（1）资质要求：见投标人须知前附表；</w:t>
      </w:r>
    </w:p>
    <w:p w14:paraId="640668A0">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（2）财务要求：见投标人须知前附表；</w:t>
      </w:r>
    </w:p>
    <w:p w14:paraId="7D7C67BF">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（3）业绩要求：见投标人须知前附表；</w:t>
      </w:r>
    </w:p>
    <w:p w14:paraId="1F4469E9">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（4）信誉要求：见投标人须知前附表；</w:t>
      </w:r>
    </w:p>
    <w:p w14:paraId="746AC2D9">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ascii="宋体" w:hAnsi="宋体" w:cs="宋体"/>
          <w:color w:val="auto"/>
          <w:highlight w:val="none"/>
          <w:lang w:val="en-US" w:eastAsia="zh-CN"/>
        </w:rPr>
        <w:t>项目负责人（兼</w:t>
      </w:r>
      <w:r>
        <w:rPr>
          <w:rFonts w:hint="eastAsia" w:ascii="宋体" w:hAnsi="宋体" w:cs="宋体"/>
          <w:color w:val="auto"/>
          <w:highlight w:val="none"/>
        </w:rPr>
        <w:t>施工负责人</w:t>
      </w:r>
      <w:r>
        <w:rPr>
          <w:rFonts w:hint="eastAsia" w:ascii="宋体" w:hAnsi="宋体" w:cs="宋体"/>
          <w:color w:val="auto"/>
          <w:highlight w:val="none"/>
          <w:lang w:eastAsia="zh-CN"/>
        </w:rPr>
        <w:t>）</w:t>
      </w:r>
      <w:r>
        <w:rPr>
          <w:rFonts w:hint="eastAsia" w:ascii="宋体" w:hAnsi="宋体" w:cs="宋体"/>
          <w:color w:val="auto"/>
          <w:highlight w:val="none"/>
        </w:rPr>
        <w:t>的资格要求：见投标人须知前附表；</w:t>
      </w:r>
    </w:p>
    <w:p w14:paraId="5983CD10">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）设计负责人的资格要求：见投标人须知前附表；</w:t>
      </w:r>
    </w:p>
    <w:p w14:paraId="7EE51D3F">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）技术负责人的资格要求：见投标人须知前附表；</w:t>
      </w:r>
    </w:p>
    <w:p w14:paraId="2BF28EC2">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）专职安全员的资格要求：见投标人须知前附表；</w:t>
      </w:r>
    </w:p>
    <w:p w14:paraId="0749526C">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）施工机械设备：见投标人须知前附表；</w:t>
      </w:r>
    </w:p>
    <w:p w14:paraId="2F3FC9D5">
      <w:pPr>
        <w:spacing w:line="360" w:lineRule="auto"/>
        <w:ind w:firstLine="315" w:firstLineChars="150"/>
        <w:rPr>
          <w:rFonts w:ascii="宋体" w:hAnsi="宋体" w:cs="宋体"/>
          <w:color w:val="auto"/>
          <w:kern w:val="1"/>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）其他要求：见投标人须知前附表。</w:t>
      </w:r>
    </w:p>
    <w:p w14:paraId="3B944D0E">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1.4.2 投标人须知前附表规定接受联合体投标的，除应符合本章第1.4.1项和投标人须知前附表的要求外，还应遵守以下规定： </w:t>
      </w:r>
    </w:p>
    <w:p w14:paraId="6273A76C">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（1）联合体各方应按招标文件提供的格式签订联合体共同投标协议书，明确联合体牵头人和各方权利义务；</w:t>
      </w:r>
    </w:p>
    <w:p w14:paraId="5C894E34">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（2）由同一专业的单位组成的联合体，按照资质等级较低的单位确定资质等级；</w:t>
      </w:r>
    </w:p>
    <w:p w14:paraId="4CD3C607">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（3）联合体各方不得再以自己名义单独或参加其他联合体在本招标项目中投标。</w:t>
      </w:r>
    </w:p>
    <w:p w14:paraId="1C067042">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1.4.3 投标人不得存在下列情形之一：</w:t>
      </w:r>
    </w:p>
    <w:p w14:paraId="206DE30A">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（1）为招标人不具有独立法人资格的附属机构（单位）；</w:t>
      </w:r>
    </w:p>
    <w:p w14:paraId="751D5CD3">
      <w:pPr>
        <w:spacing w:line="360" w:lineRule="auto"/>
        <w:ind w:firstLine="420"/>
        <w:rPr>
          <w:rFonts w:ascii="宋体" w:hAnsi="宋体" w:cs="宋体"/>
          <w:strike/>
          <w:color w:val="auto"/>
          <w:kern w:val="1"/>
          <w:highlight w:val="none"/>
        </w:rPr>
      </w:pPr>
      <w:r>
        <w:rPr>
          <w:rFonts w:hint="eastAsia" w:ascii="宋体" w:hAnsi="宋体" w:cs="宋体"/>
          <w:strike/>
          <w:color w:val="auto"/>
          <w:kern w:val="1"/>
          <w:highlight w:val="none"/>
        </w:rPr>
        <w:t>（2）为本标段前期准备提供设计或咨询服务或者与本项目设计人或提供咨询服务的机构存在附属关系的；</w:t>
      </w:r>
    </w:p>
    <w:p w14:paraId="13D376B9">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（3）为本标段监理人或者与本标段监理人存在隶属关系或者其他利害关系；</w:t>
      </w:r>
    </w:p>
    <w:p w14:paraId="4BE12B6D">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（4）为本标段的代建人；</w:t>
      </w:r>
    </w:p>
    <w:p w14:paraId="140C314A">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（5）为本标段提供招标代理服务的；</w:t>
      </w:r>
    </w:p>
    <w:p w14:paraId="4073B483">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（6）与本标段的监理人或代建人或招标代理机构同为一个法定代表人的；</w:t>
      </w:r>
    </w:p>
    <w:p w14:paraId="3B63C0F2">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（7）与本标段的监理人或代建人或招标代理机构互相控股或参股的；</w:t>
      </w:r>
    </w:p>
    <w:p w14:paraId="117BD236">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（8）与本标段的监理人或代建人或招标代理机构相互任职或工作的；</w:t>
      </w:r>
    </w:p>
    <w:p w14:paraId="672F1A2E">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（9）与本标段的检测机构有隶属关系或者其他利害关系；</w:t>
      </w:r>
    </w:p>
    <w:p w14:paraId="461148AE">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（10）与招标人存在利害关系且可能影响招标公正性； </w:t>
      </w:r>
    </w:p>
    <w:p w14:paraId="5C4D856C">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573C929E">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（12）被责令停产停业、暂扣或者吊销许可证、暂扣或者吊销执照的（本项事实应当以根据《中华人民共和国行政处罚法》依法作出并已经生效的行政处罚决定为认定依据。）；</w:t>
      </w:r>
    </w:p>
    <w:p w14:paraId="0E92C8F6">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（13）进入清算程序，或被宣布破产，或其他丧失履约能力的情形；</w:t>
      </w:r>
    </w:p>
    <w:p w14:paraId="7B5CF9B0">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1068906">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w:t>
      </w:r>
      <w:r>
        <w:rPr>
          <w:rFonts w:ascii="宋体" w:hAnsi="宋体" w:cs="宋体"/>
          <w:color w:val="auto"/>
          <w:kern w:val="1"/>
          <w:highlight w:val="none"/>
        </w:rPr>
        <w:t>15</w:t>
      </w:r>
      <w:r>
        <w:rPr>
          <w:rFonts w:hint="eastAsia" w:ascii="宋体" w:hAnsi="宋体" w:cs="宋体"/>
          <w:color w:val="auto"/>
          <w:kern w:val="1"/>
          <w:highlight w:val="none"/>
        </w:rPr>
        <w:t>）法律法规规定的其他情形。</w:t>
      </w:r>
    </w:p>
    <w:p w14:paraId="05F70C3E">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1.4.4 单位负责人为同一人或者存在控股、管理关系的不同单位，不得同时参加本招标项目投标。</w:t>
      </w:r>
    </w:p>
    <w:p w14:paraId="11E395D6">
      <w:pPr>
        <w:pStyle w:val="5"/>
        <w:spacing w:line="360" w:lineRule="auto"/>
        <w:ind w:firstLine="118"/>
        <w:rPr>
          <w:rFonts w:ascii="宋体" w:hAnsi="宋体" w:eastAsia="宋体"/>
          <w:b/>
          <w:color w:val="auto"/>
          <w:sz w:val="24"/>
          <w:szCs w:val="24"/>
          <w:highlight w:val="none"/>
        </w:rPr>
      </w:pPr>
      <w:bookmarkStart w:id="107" w:name="_Toc247513958"/>
      <w:bookmarkEnd w:id="107"/>
      <w:bookmarkStart w:id="108" w:name="_Toc152042311"/>
      <w:bookmarkEnd w:id="108"/>
      <w:bookmarkStart w:id="109" w:name="_Toc362816485"/>
      <w:bookmarkEnd w:id="109"/>
      <w:bookmarkStart w:id="110" w:name="_Toc356469182"/>
      <w:bookmarkEnd w:id="110"/>
      <w:bookmarkStart w:id="111" w:name="_Toc152045535"/>
      <w:bookmarkEnd w:id="111"/>
      <w:bookmarkStart w:id="112" w:name="_Toc144974503"/>
      <w:bookmarkEnd w:id="112"/>
      <w:bookmarkStart w:id="113" w:name="_Toc300834955"/>
      <w:bookmarkEnd w:id="113"/>
      <w:bookmarkStart w:id="114" w:name="_Toc247527559"/>
      <w:bookmarkEnd w:id="114"/>
      <w:bookmarkStart w:id="115" w:name="_Toc357089516"/>
      <w:bookmarkEnd w:id="115"/>
      <w:bookmarkStart w:id="116" w:name="_Toc21668"/>
      <w:bookmarkStart w:id="117" w:name="_Toc5620301"/>
      <w:bookmarkStart w:id="118" w:name="_Toc152005900"/>
      <w:bookmarkStart w:id="119" w:name="_Toc29330"/>
      <w:bookmarkStart w:id="120" w:name="_Toc6447"/>
      <w:r>
        <w:rPr>
          <w:rFonts w:hint="eastAsia" w:ascii="宋体" w:hAnsi="宋体" w:eastAsia="宋体"/>
          <w:b/>
          <w:color w:val="auto"/>
          <w:sz w:val="24"/>
          <w:szCs w:val="24"/>
          <w:highlight w:val="none"/>
        </w:rPr>
        <w:t>1.5 费用承担和设计成果补偿</w:t>
      </w:r>
      <w:bookmarkEnd w:id="116"/>
      <w:bookmarkEnd w:id="117"/>
      <w:bookmarkEnd w:id="118"/>
      <w:bookmarkEnd w:id="119"/>
      <w:bookmarkEnd w:id="120"/>
    </w:p>
    <w:p w14:paraId="56C78A93">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1.5.1 投标人准备和参加投标活动发生的费用自理。</w:t>
      </w:r>
    </w:p>
    <w:p w14:paraId="30BCFDB6">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1.5.2 </w:t>
      </w:r>
      <w:r>
        <w:rPr>
          <w:rFonts w:hint="eastAsia" w:ascii="宋体" w:hAnsi="宋体" w:cs="宋体"/>
          <w:color w:val="auto"/>
          <w:kern w:val="1"/>
          <w:highlight w:val="none"/>
          <w:u w:val="single"/>
        </w:rPr>
        <w:t>招标人在征得未中标人的同意后有权免费使用未中标人设计成果。</w:t>
      </w:r>
    </w:p>
    <w:p w14:paraId="038DE6B0">
      <w:pPr>
        <w:pStyle w:val="5"/>
        <w:spacing w:line="360" w:lineRule="auto"/>
        <w:ind w:firstLine="118"/>
        <w:rPr>
          <w:rFonts w:ascii="宋体" w:hAnsi="宋体" w:eastAsia="宋体"/>
          <w:b/>
          <w:color w:val="auto"/>
          <w:sz w:val="24"/>
          <w:szCs w:val="24"/>
          <w:highlight w:val="none"/>
        </w:rPr>
      </w:pPr>
      <w:bookmarkStart w:id="121" w:name="_Toc362816486"/>
      <w:bookmarkEnd w:id="121"/>
      <w:bookmarkStart w:id="122" w:name="_Toc300834956"/>
      <w:bookmarkEnd w:id="122"/>
      <w:bookmarkStart w:id="123" w:name="_Toc152045536"/>
      <w:bookmarkEnd w:id="123"/>
      <w:bookmarkStart w:id="124" w:name="_Toc356469183"/>
      <w:bookmarkEnd w:id="124"/>
      <w:bookmarkStart w:id="125" w:name="_Toc247513959"/>
      <w:bookmarkEnd w:id="125"/>
      <w:bookmarkStart w:id="126" w:name="_Toc144974504"/>
      <w:bookmarkEnd w:id="126"/>
      <w:bookmarkStart w:id="127" w:name="_Toc247527560"/>
      <w:bookmarkEnd w:id="127"/>
      <w:bookmarkStart w:id="128" w:name="_Toc357089517"/>
      <w:bookmarkEnd w:id="128"/>
      <w:bookmarkStart w:id="129" w:name="_Toc152042312"/>
      <w:bookmarkEnd w:id="129"/>
      <w:bookmarkStart w:id="130" w:name="_Toc152005901"/>
      <w:bookmarkStart w:id="131" w:name="_Toc6929"/>
      <w:bookmarkStart w:id="132" w:name="_Toc14287"/>
      <w:bookmarkStart w:id="133" w:name="_Toc22269"/>
      <w:bookmarkStart w:id="134" w:name="_Toc5620302"/>
      <w:r>
        <w:rPr>
          <w:rFonts w:hint="eastAsia" w:ascii="宋体" w:hAnsi="宋体" w:eastAsia="宋体"/>
          <w:b/>
          <w:color w:val="auto"/>
          <w:sz w:val="24"/>
          <w:szCs w:val="24"/>
          <w:highlight w:val="none"/>
        </w:rPr>
        <w:t>1.6 保密</w:t>
      </w:r>
      <w:bookmarkEnd w:id="130"/>
      <w:bookmarkEnd w:id="131"/>
      <w:bookmarkEnd w:id="132"/>
      <w:bookmarkEnd w:id="133"/>
      <w:bookmarkEnd w:id="134"/>
    </w:p>
    <w:p w14:paraId="171ED728">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参与招标投标活动的各方应对招标文件和投标文件中的商业和技术等秘密保密，否则应承担相应的法律责任。</w:t>
      </w:r>
    </w:p>
    <w:p w14:paraId="18B882B5">
      <w:pPr>
        <w:pStyle w:val="5"/>
        <w:spacing w:line="360" w:lineRule="auto"/>
        <w:ind w:firstLine="118"/>
        <w:rPr>
          <w:rFonts w:ascii="宋体" w:hAnsi="宋体" w:eastAsia="宋体"/>
          <w:b/>
          <w:color w:val="auto"/>
          <w:sz w:val="24"/>
          <w:szCs w:val="24"/>
          <w:highlight w:val="none"/>
        </w:rPr>
      </w:pPr>
      <w:bookmarkStart w:id="135" w:name="_Toc247513960"/>
      <w:bookmarkEnd w:id="135"/>
      <w:bookmarkStart w:id="136" w:name="_Toc356469184"/>
      <w:bookmarkEnd w:id="136"/>
      <w:bookmarkStart w:id="137" w:name="_Toc362816487"/>
      <w:bookmarkEnd w:id="137"/>
      <w:bookmarkStart w:id="138" w:name="_Toc300834957"/>
      <w:bookmarkEnd w:id="138"/>
      <w:bookmarkStart w:id="139" w:name="_Toc144974505"/>
      <w:bookmarkEnd w:id="139"/>
      <w:bookmarkStart w:id="140" w:name="_Toc247527561"/>
      <w:bookmarkEnd w:id="140"/>
      <w:bookmarkStart w:id="141" w:name="_Toc152045537"/>
      <w:bookmarkEnd w:id="141"/>
      <w:bookmarkStart w:id="142" w:name="_Toc357089518"/>
      <w:bookmarkEnd w:id="142"/>
      <w:bookmarkStart w:id="143" w:name="_Toc152042313"/>
      <w:bookmarkEnd w:id="143"/>
      <w:bookmarkStart w:id="144" w:name="_Toc23256"/>
      <w:bookmarkStart w:id="145" w:name="_Toc20794"/>
      <w:bookmarkStart w:id="146" w:name="_Toc27059"/>
      <w:bookmarkStart w:id="147" w:name="_Toc5620303"/>
      <w:bookmarkStart w:id="148" w:name="_Toc152005902"/>
      <w:r>
        <w:rPr>
          <w:rFonts w:hint="eastAsia" w:ascii="宋体" w:hAnsi="宋体" w:eastAsia="宋体"/>
          <w:b/>
          <w:color w:val="auto"/>
          <w:sz w:val="24"/>
          <w:szCs w:val="24"/>
          <w:highlight w:val="none"/>
        </w:rPr>
        <w:t>1.7 语言文字</w:t>
      </w:r>
      <w:bookmarkEnd w:id="144"/>
      <w:bookmarkEnd w:id="145"/>
      <w:bookmarkEnd w:id="146"/>
      <w:bookmarkEnd w:id="147"/>
      <w:bookmarkEnd w:id="148"/>
    </w:p>
    <w:p w14:paraId="206006C4">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招标投标文件使用的语言文字为中文。专用术语使用外文的，应附有中文注释。</w:t>
      </w:r>
    </w:p>
    <w:p w14:paraId="3D3AD7B0">
      <w:pPr>
        <w:pStyle w:val="5"/>
        <w:spacing w:line="360" w:lineRule="auto"/>
        <w:ind w:firstLine="118"/>
        <w:rPr>
          <w:rFonts w:ascii="宋体" w:hAnsi="宋体" w:eastAsia="宋体"/>
          <w:b/>
          <w:color w:val="auto"/>
          <w:sz w:val="24"/>
          <w:szCs w:val="24"/>
          <w:highlight w:val="none"/>
        </w:rPr>
      </w:pPr>
      <w:bookmarkStart w:id="149" w:name="_Toc152045538"/>
      <w:bookmarkEnd w:id="149"/>
      <w:bookmarkStart w:id="150" w:name="_Toc144974506"/>
      <w:bookmarkEnd w:id="150"/>
      <w:bookmarkStart w:id="151" w:name="_Toc247527562"/>
      <w:bookmarkEnd w:id="151"/>
      <w:bookmarkStart w:id="152" w:name="_Toc356469185"/>
      <w:bookmarkEnd w:id="152"/>
      <w:bookmarkStart w:id="153" w:name="_Toc152042314"/>
      <w:bookmarkEnd w:id="153"/>
      <w:bookmarkStart w:id="154" w:name="_Toc247513961"/>
      <w:bookmarkEnd w:id="154"/>
      <w:bookmarkStart w:id="155" w:name="_Toc357089519"/>
      <w:bookmarkEnd w:id="155"/>
      <w:bookmarkStart w:id="156" w:name="_Toc300834958"/>
      <w:bookmarkEnd w:id="156"/>
      <w:bookmarkStart w:id="157" w:name="_Toc362816488"/>
      <w:bookmarkEnd w:id="157"/>
      <w:bookmarkStart w:id="158" w:name="_Toc152005903"/>
      <w:bookmarkStart w:id="159" w:name="_Toc9356"/>
      <w:bookmarkStart w:id="160" w:name="_Toc5620304"/>
      <w:bookmarkStart w:id="161" w:name="_Toc23133"/>
      <w:bookmarkStart w:id="162" w:name="_Toc6912"/>
      <w:r>
        <w:rPr>
          <w:rFonts w:hint="eastAsia" w:ascii="宋体" w:hAnsi="宋体" w:eastAsia="宋体"/>
          <w:b/>
          <w:color w:val="auto"/>
          <w:sz w:val="24"/>
          <w:szCs w:val="24"/>
          <w:highlight w:val="none"/>
        </w:rPr>
        <w:t>1.8 计量单位</w:t>
      </w:r>
      <w:bookmarkEnd w:id="158"/>
      <w:bookmarkEnd w:id="159"/>
      <w:bookmarkEnd w:id="160"/>
      <w:bookmarkEnd w:id="161"/>
      <w:bookmarkEnd w:id="162"/>
    </w:p>
    <w:p w14:paraId="0710C59C">
      <w:pPr>
        <w:spacing w:line="360" w:lineRule="auto"/>
        <w:ind w:firstLine="420" w:firstLineChars="200"/>
        <w:rPr>
          <w:rFonts w:ascii="宋体" w:hAnsi="宋体" w:cs="宋体"/>
          <w:color w:val="auto"/>
          <w:highlight w:val="none"/>
        </w:rPr>
      </w:pPr>
      <w:r>
        <w:rPr>
          <w:rFonts w:hint="eastAsia" w:ascii="宋体" w:hAnsi="宋体" w:cs="宋体"/>
          <w:color w:val="auto"/>
          <w:kern w:val="1"/>
          <w:highlight w:val="none"/>
        </w:rPr>
        <w:t xml:space="preserve">1.8.1 </w:t>
      </w:r>
      <w:r>
        <w:rPr>
          <w:rFonts w:hint="eastAsia" w:ascii="宋体" w:hAnsi="宋体" w:cs="宋体"/>
          <w:color w:val="auto"/>
          <w:highlight w:val="none"/>
        </w:rPr>
        <w:t>所有计量均采用中华人民共和国法定计量单位。</w:t>
      </w:r>
    </w:p>
    <w:p w14:paraId="3438869C">
      <w:pPr>
        <w:spacing w:line="360" w:lineRule="auto"/>
        <w:ind w:firstLine="420"/>
        <w:rPr>
          <w:rFonts w:ascii="宋体" w:hAnsi="宋体" w:cs="宋体"/>
          <w:color w:val="auto"/>
          <w:kern w:val="1"/>
          <w:highlight w:val="none"/>
        </w:rPr>
      </w:pPr>
      <w:r>
        <w:rPr>
          <w:rFonts w:hint="eastAsia" w:ascii="宋体" w:hAnsi="宋体" w:cs="宋体"/>
          <w:color w:val="auto"/>
          <w:kern w:val="1"/>
          <w:highlight w:val="none"/>
          <w:u w:val="single"/>
        </w:rPr>
        <w:t>1.8.2 本工程投标报价采用的币种为人民币。</w:t>
      </w:r>
    </w:p>
    <w:p w14:paraId="61B0F48B">
      <w:pPr>
        <w:pStyle w:val="5"/>
        <w:spacing w:line="360" w:lineRule="auto"/>
        <w:ind w:firstLine="118"/>
        <w:rPr>
          <w:rFonts w:ascii="宋体" w:hAnsi="宋体" w:eastAsia="宋体"/>
          <w:b/>
          <w:color w:val="auto"/>
          <w:sz w:val="24"/>
          <w:szCs w:val="24"/>
          <w:highlight w:val="none"/>
        </w:rPr>
      </w:pPr>
      <w:bookmarkStart w:id="163" w:name="_Toc357089520"/>
      <w:bookmarkEnd w:id="163"/>
      <w:bookmarkStart w:id="164" w:name="_Toc144974507"/>
      <w:bookmarkEnd w:id="164"/>
      <w:bookmarkStart w:id="165" w:name="_Toc300834959"/>
      <w:bookmarkEnd w:id="165"/>
      <w:bookmarkStart w:id="166" w:name="_Toc356469186"/>
      <w:bookmarkEnd w:id="166"/>
      <w:bookmarkStart w:id="167" w:name="_Toc152045539"/>
      <w:bookmarkEnd w:id="167"/>
      <w:bookmarkStart w:id="168" w:name="_Toc362816489"/>
      <w:bookmarkEnd w:id="168"/>
      <w:bookmarkStart w:id="169" w:name="_Toc247513962"/>
      <w:bookmarkEnd w:id="169"/>
      <w:bookmarkStart w:id="170" w:name="_Toc247527563"/>
      <w:bookmarkEnd w:id="170"/>
      <w:bookmarkStart w:id="171" w:name="_Toc152042315"/>
      <w:bookmarkEnd w:id="171"/>
      <w:bookmarkStart w:id="172" w:name="_Toc152005904"/>
      <w:bookmarkStart w:id="173" w:name="_Toc9654"/>
      <w:bookmarkStart w:id="174" w:name="_Toc9836"/>
      <w:bookmarkStart w:id="175" w:name="_Toc5620305"/>
      <w:bookmarkStart w:id="176" w:name="_Toc18268"/>
      <w:r>
        <w:rPr>
          <w:rFonts w:hint="eastAsia" w:ascii="宋体" w:hAnsi="宋体" w:eastAsia="宋体"/>
          <w:b/>
          <w:color w:val="auto"/>
          <w:sz w:val="24"/>
          <w:szCs w:val="24"/>
          <w:highlight w:val="none"/>
        </w:rPr>
        <w:t>1.9 踏勘现场</w:t>
      </w:r>
      <w:bookmarkEnd w:id="172"/>
      <w:bookmarkEnd w:id="173"/>
      <w:bookmarkEnd w:id="174"/>
      <w:bookmarkEnd w:id="175"/>
      <w:bookmarkEnd w:id="176"/>
    </w:p>
    <w:p w14:paraId="02116C60">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1.9.1 投标人须知前附表规定组织踏勘现场的，招标人按投标人须知前附表规定的时间、地点组织投标人踏勘项目现场。 </w:t>
      </w:r>
    </w:p>
    <w:p w14:paraId="532E25A3">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1.9.2 投标人踏勘现场发生的费用自理。</w:t>
      </w:r>
    </w:p>
    <w:p w14:paraId="0D3FAEBE">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1.9.3 除招标人的原因外，投标人自行负责在踏勘现场中所发生的人员伤亡和财产损失。</w:t>
      </w:r>
    </w:p>
    <w:p w14:paraId="1DF280C3">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1.9.4</w:t>
      </w:r>
      <w:r>
        <w:rPr>
          <w:rFonts w:hint="eastAsia" w:ascii="宋体" w:hAnsi="宋体" w:cs="宋体"/>
          <w:color w:val="auto"/>
          <w:kern w:val="1"/>
          <w:highlight w:val="none"/>
          <w:u w:val="single"/>
        </w:rPr>
        <w:t>招标人不组织统一踏勘现场，由投标人自行踏勘，投标人不进行踏勘的，视为已熟知现场条件，自行承担相关风险。招标人不对投标人自行踏勘现场作出的判断和决策负责。</w:t>
      </w:r>
    </w:p>
    <w:p w14:paraId="1C1375ED">
      <w:pPr>
        <w:pStyle w:val="5"/>
        <w:spacing w:line="360" w:lineRule="auto"/>
        <w:ind w:firstLine="118"/>
        <w:rPr>
          <w:rFonts w:ascii="宋体" w:hAnsi="宋体" w:eastAsia="宋体"/>
          <w:b/>
          <w:color w:val="auto"/>
          <w:sz w:val="24"/>
          <w:szCs w:val="24"/>
          <w:highlight w:val="none"/>
        </w:rPr>
      </w:pPr>
      <w:bookmarkStart w:id="177" w:name="_Toc357089521"/>
      <w:bookmarkEnd w:id="177"/>
      <w:bookmarkStart w:id="178" w:name="_Toc247513963"/>
      <w:bookmarkEnd w:id="178"/>
      <w:bookmarkStart w:id="179" w:name="_Toc247527564"/>
      <w:bookmarkEnd w:id="179"/>
      <w:bookmarkStart w:id="180" w:name="_Toc152045540"/>
      <w:bookmarkEnd w:id="180"/>
      <w:bookmarkStart w:id="181" w:name="_Toc152042316"/>
      <w:bookmarkEnd w:id="181"/>
      <w:bookmarkStart w:id="182" w:name="_Toc362816490"/>
      <w:bookmarkEnd w:id="182"/>
      <w:bookmarkStart w:id="183" w:name="_Toc300834960"/>
      <w:bookmarkEnd w:id="183"/>
      <w:bookmarkStart w:id="184" w:name="_Toc144974508"/>
      <w:bookmarkEnd w:id="184"/>
      <w:bookmarkStart w:id="185" w:name="_Toc356469187"/>
      <w:bookmarkEnd w:id="185"/>
      <w:bookmarkStart w:id="186" w:name="_Toc25429"/>
      <w:bookmarkStart w:id="187" w:name="_Toc31216"/>
      <w:bookmarkStart w:id="188" w:name="_Toc5620306"/>
      <w:bookmarkStart w:id="189" w:name="_Toc24262"/>
      <w:bookmarkStart w:id="190" w:name="_Toc152005905"/>
      <w:r>
        <w:rPr>
          <w:rFonts w:hint="eastAsia" w:ascii="宋体" w:hAnsi="宋体" w:eastAsia="宋体"/>
          <w:b/>
          <w:color w:val="auto"/>
          <w:sz w:val="24"/>
          <w:szCs w:val="24"/>
          <w:highlight w:val="none"/>
        </w:rPr>
        <w:t>1.10 投标预备会</w:t>
      </w:r>
      <w:bookmarkEnd w:id="186"/>
      <w:bookmarkEnd w:id="187"/>
      <w:bookmarkEnd w:id="188"/>
      <w:bookmarkEnd w:id="189"/>
      <w:bookmarkEnd w:id="190"/>
    </w:p>
    <w:p w14:paraId="4384CD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1.10.1</w:t>
      </w:r>
      <w:r>
        <w:rPr>
          <w:rFonts w:hint="eastAsia" w:ascii="宋体" w:hAnsi="宋体" w:cs="宋体"/>
          <w:color w:val="auto"/>
          <w:highlight w:val="none"/>
          <w:u w:val="single"/>
        </w:rPr>
        <w:t>本项目不召开投标预备会。</w:t>
      </w:r>
    </w:p>
    <w:p w14:paraId="3BA94248">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 xml:space="preserve">1.10.2 </w:t>
      </w:r>
      <w:r>
        <w:rPr>
          <w:rFonts w:hint="eastAsia" w:ascii="宋体" w:hAnsi="宋体" w:cs="宋体"/>
          <w:color w:val="auto"/>
          <w:highlight w:val="none"/>
          <w:u w:val="single"/>
        </w:rPr>
        <w:t>投标人对本项目有疑问应在投标人须知前附表规定的时间前，通过登录广州交易集团有限公司（广州公共资源交易中心）网站交易系统将问题提交给招标人或招标代理机构。</w:t>
      </w:r>
    </w:p>
    <w:p w14:paraId="30251A65">
      <w:pPr>
        <w:spacing w:line="360" w:lineRule="auto"/>
        <w:ind w:firstLine="420"/>
        <w:rPr>
          <w:rFonts w:ascii="宋体" w:hAnsi="宋体" w:cs="宋体"/>
          <w:color w:val="auto"/>
          <w:kern w:val="1"/>
          <w:highlight w:val="none"/>
          <w:u w:val="single"/>
        </w:rPr>
      </w:pPr>
      <w:r>
        <w:rPr>
          <w:rFonts w:hint="eastAsia" w:ascii="宋体" w:hAnsi="宋体" w:cs="宋体"/>
          <w:color w:val="auto"/>
          <w:highlight w:val="none"/>
          <w:u w:val="single"/>
        </w:rPr>
        <w:t>1.10.3招标人在投标人须知前附表规定的时间内，将对投标人所提问题的澄清，在广州交易集团有限公司（广州公共资源交易中心）网站通过项目答疑专区网上公开发布，发出即视作收到，以广州交易集团有限公司（广州公共资源交易中心）网站发布时间作为送达时间。无需投标人确认。投标人应自行关注，招标人不再一一通知。该澄清内容为招标文件的组成部分。</w:t>
      </w:r>
    </w:p>
    <w:p w14:paraId="5A8CDF84">
      <w:pPr>
        <w:pStyle w:val="5"/>
        <w:spacing w:line="360" w:lineRule="auto"/>
        <w:ind w:firstLine="118"/>
        <w:rPr>
          <w:rFonts w:ascii="宋体" w:hAnsi="宋体" w:eastAsia="宋体"/>
          <w:b/>
          <w:color w:val="auto"/>
          <w:sz w:val="24"/>
          <w:szCs w:val="24"/>
          <w:highlight w:val="none"/>
        </w:rPr>
      </w:pPr>
      <w:bookmarkStart w:id="191" w:name="_Toc247513964"/>
      <w:bookmarkEnd w:id="191"/>
      <w:bookmarkStart w:id="192" w:name="_Toc300834961"/>
      <w:bookmarkEnd w:id="192"/>
      <w:bookmarkStart w:id="193" w:name="_Toc152045541"/>
      <w:bookmarkEnd w:id="193"/>
      <w:bookmarkStart w:id="194" w:name="_Toc144974509"/>
      <w:bookmarkEnd w:id="194"/>
      <w:bookmarkStart w:id="195" w:name="_Toc356469188"/>
      <w:bookmarkEnd w:id="195"/>
      <w:bookmarkStart w:id="196" w:name="_Toc362816491"/>
      <w:bookmarkEnd w:id="196"/>
      <w:bookmarkStart w:id="197" w:name="_Toc152042317"/>
      <w:bookmarkEnd w:id="197"/>
      <w:bookmarkStart w:id="198" w:name="_Toc247527565"/>
      <w:bookmarkEnd w:id="198"/>
      <w:bookmarkStart w:id="199" w:name="_Toc357089522"/>
      <w:bookmarkEnd w:id="199"/>
      <w:bookmarkStart w:id="200" w:name="_Toc4945"/>
      <w:bookmarkStart w:id="201" w:name="_Toc15380"/>
      <w:bookmarkStart w:id="202" w:name="_Toc152005906"/>
      <w:bookmarkStart w:id="203" w:name="_Toc5620307"/>
      <w:bookmarkStart w:id="204" w:name="_Toc32045"/>
      <w:r>
        <w:rPr>
          <w:rFonts w:hint="eastAsia" w:ascii="宋体" w:hAnsi="宋体" w:eastAsia="宋体"/>
          <w:b/>
          <w:color w:val="auto"/>
          <w:sz w:val="24"/>
          <w:szCs w:val="24"/>
          <w:highlight w:val="none"/>
        </w:rPr>
        <w:t>1.11 分包</w:t>
      </w:r>
      <w:bookmarkEnd w:id="200"/>
      <w:bookmarkEnd w:id="201"/>
      <w:bookmarkEnd w:id="202"/>
      <w:bookmarkEnd w:id="203"/>
      <w:bookmarkEnd w:id="204"/>
    </w:p>
    <w:p w14:paraId="1B5919CB">
      <w:pP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1.11.1 投标人须知前附表规定应当由分包人实施的非主体、非关键性工作，投标人应当按照第五章“发包人要求”的规定提供分包人侯选名单及其相应资料。</w:t>
      </w:r>
    </w:p>
    <w:p w14:paraId="5D7F3775">
      <w:pP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1.11.2 招标人允许投标人在中标后将中标项目的部分非主体、非关键性工作进行分包的，应符合投标人须知前附表规定的分包内容、资质要求等限制性条件。</w:t>
      </w:r>
    </w:p>
    <w:p w14:paraId="7E5223C2">
      <w:pPr>
        <w:pStyle w:val="5"/>
        <w:spacing w:line="360" w:lineRule="auto"/>
        <w:ind w:firstLine="118"/>
        <w:rPr>
          <w:rFonts w:ascii="宋体" w:hAnsi="宋体" w:eastAsia="宋体"/>
          <w:b/>
          <w:color w:val="auto"/>
          <w:sz w:val="24"/>
          <w:szCs w:val="24"/>
          <w:highlight w:val="none"/>
        </w:rPr>
      </w:pPr>
      <w:bookmarkStart w:id="205" w:name="_Toc362816492"/>
      <w:bookmarkEnd w:id="205"/>
      <w:bookmarkStart w:id="206" w:name="_Toc356469189"/>
      <w:bookmarkEnd w:id="206"/>
      <w:bookmarkStart w:id="207" w:name="_Toc247527566"/>
      <w:bookmarkEnd w:id="207"/>
      <w:bookmarkStart w:id="208" w:name="_Toc300834962"/>
      <w:bookmarkEnd w:id="208"/>
      <w:bookmarkStart w:id="209" w:name="_Toc357089523"/>
      <w:bookmarkEnd w:id="209"/>
      <w:bookmarkStart w:id="210" w:name="_Toc247513965"/>
      <w:bookmarkEnd w:id="210"/>
      <w:bookmarkStart w:id="211" w:name="_Toc152005907"/>
      <w:bookmarkStart w:id="212" w:name="_Toc5620308"/>
      <w:bookmarkStart w:id="213" w:name="_Toc1093"/>
      <w:bookmarkStart w:id="214" w:name="_Toc15683"/>
      <w:bookmarkStart w:id="215" w:name="_Toc7355"/>
      <w:r>
        <w:rPr>
          <w:rFonts w:hint="eastAsia" w:ascii="宋体" w:hAnsi="宋体" w:eastAsia="宋体"/>
          <w:b/>
          <w:color w:val="auto"/>
          <w:sz w:val="24"/>
          <w:szCs w:val="24"/>
          <w:highlight w:val="none"/>
        </w:rPr>
        <w:t>1.12 偏离</w:t>
      </w:r>
      <w:bookmarkEnd w:id="211"/>
      <w:bookmarkEnd w:id="212"/>
      <w:bookmarkEnd w:id="213"/>
      <w:bookmarkEnd w:id="214"/>
      <w:bookmarkEnd w:id="215"/>
    </w:p>
    <w:p w14:paraId="4D1C6A4C">
      <w:pP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投标人须知前附表允许投标文件偏离招标文件某些要求的，偏离应当符合招标文件规定的偏离范围和幅度。</w:t>
      </w:r>
    </w:p>
    <w:p w14:paraId="1F923FBD">
      <w:pPr>
        <w:pStyle w:val="4"/>
        <w:spacing w:line="360" w:lineRule="auto"/>
        <w:rPr>
          <w:rFonts w:ascii="宋体" w:hAnsi="宋体" w:eastAsia="宋体" w:cs="宋体"/>
          <w:color w:val="auto"/>
          <w:highlight w:val="none"/>
          <w:lang w:val="zh-CN"/>
        </w:rPr>
      </w:pPr>
      <w:bookmarkStart w:id="216" w:name="_Toc23951"/>
      <w:bookmarkEnd w:id="216"/>
      <w:bookmarkStart w:id="217" w:name="_Toc443505823"/>
      <w:bookmarkEnd w:id="217"/>
      <w:bookmarkStart w:id="218" w:name="_Toc300834963"/>
      <w:bookmarkEnd w:id="218"/>
      <w:bookmarkStart w:id="219" w:name="_Toc247527567"/>
      <w:bookmarkEnd w:id="219"/>
      <w:bookmarkStart w:id="220" w:name="_Toc144974510"/>
      <w:bookmarkEnd w:id="220"/>
      <w:bookmarkStart w:id="221" w:name="_Toc152045542"/>
      <w:bookmarkEnd w:id="221"/>
      <w:bookmarkStart w:id="222" w:name="_Toc362816493"/>
      <w:bookmarkEnd w:id="222"/>
      <w:bookmarkStart w:id="223" w:name="_Toc152042318"/>
      <w:bookmarkEnd w:id="223"/>
      <w:bookmarkStart w:id="224" w:name="_Toc25799"/>
      <w:bookmarkEnd w:id="224"/>
      <w:bookmarkStart w:id="225" w:name="_Toc247513966"/>
      <w:bookmarkEnd w:id="225"/>
      <w:bookmarkStart w:id="226" w:name="_Toc357089524"/>
      <w:bookmarkEnd w:id="226"/>
      <w:bookmarkStart w:id="227" w:name="_Toc5620309"/>
      <w:bookmarkStart w:id="228" w:name="_Toc15458"/>
      <w:bookmarkStart w:id="229" w:name="_Toc5039"/>
      <w:bookmarkStart w:id="230" w:name="_Toc152005908"/>
      <w:bookmarkStart w:id="231" w:name="_Toc10719"/>
      <w:r>
        <w:rPr>
          <w:rFonts w:hint="eastAsia" w:ascii="宋体" w:hAnsi="宋体" w:eastAsia="宋体" w:cs="宋体"/>
          <w:color w:val="auto"/>
          <w:highlight w:val="none"/>
          <w:lang w:val="zh-CN"/>
        </w:rPr>
        <w:t>2. 招标文件</w:t>
      </w:r>
      <w:bookmarkEnd w:id="227"/>
      <w:bookmarkEnd w:id="228"/>
      <w:bookmarkEnd w:id="229"/>
      <w:bookmarkEnd w:id="230"/>
      <w:bookmarkEnd w:id="231"/>
    </w:p>
    <w:p w14:paraId="0F99A67C">
      <w:pPr>
        <w:pStyle w:val="5"/>
        <w:spacing w:line="360" w:lineRule="auto"/>
        <w:ind w:firstLine="118"/>
        <w:rPr>
          <w:rFonts w:ascii="宋体" w:hAnsi="宋体" w:eastAsia="宋体"/>
          <w:b/>
          <w:color w:val="auto"/>
          <w:sz w:val="24"/>
          <w:szCs w:val="24"/>
          <w:highlight w:val="none"/>
        </w:rPr>
      </w:pPr>
      <w:bookmarkStart w:id="232" w:name="_Toc357089525"/>
      <w:bookmarkEnd w:id="232"/>
      <w:bookmarkStart w:id="233" w:name="_Toc356469191"/>
      <w:bookmarkEnd w:id="233"/>
      <w:bookmarkStart w:id="234" w:name="_Toc152042319"/>
      <w:bookmarkEnd w:id="234"/>
      <w:bookmarkStart w:id="235" w:name="_Toc362816494"/>
      <w:bookmarkEnd w:id="235"/>
      <w:bookmarkStart w:id="236" w:name="_Toc247527568"/>
      <w:bookmarkEnd w:id="236"/>
      <w:bookmarkStart w:id="237" w:name="_Toc247513967"/>
      <w:bookmarkEnd w:id="237"/>
      <w:bookmarkStart w:id="238" w:name="_Toc300834964"/>
      <w:bookmarkEnd w:id="238"/>
      <w:bookmarkStart w:id="239" w:name="_Toc144974511"/>
      <w:bookmarkEnd w:id="239"/>
      <w:bookmarkStart w:id="240" w:name="_Toc152045543"/>
      <w:bookmarkEnd w:id="240"/>
      <w:bookmarkStart w:id="241" w:name="_Toc5620310"/>
      <w:bookmarkStart w:id="242" w:name="_Toc8517"/>
      <w:bookmarkStart w:id="243" w:name="_Toc31144"/>
      <w:bookmarkStart w:id="244" w:name="_Toc152005909"/>
      <w:bookmarkStart w:id="245" w:name="_Toc2576"/>
      <w:r>
        <w:rPr>
          <w:rFonts w:hint="eastAsia" w:ascii="宋体" w:hAnsi="宋体" w:eastAsia="宋体"/>
          <w:b/>
          <w:color w:val="auto"/>
          <w:sz w:val="24"/>
          <w:szCs w:val="24"/>
          <w:highlight w:val="none"/>
        </w:rPr>
        <w:t>2.1 招标文件的组成</w:t>
      </w:r>
      <w:bookmarkEnd w:id="241"/>
      <w:bookmarkEnd w:id="242"/>
      <w:bookmarkEnd w:id="243"/>
      <w:bookmarkEnd w:id="244"/>
      <w:bookmarkEnd w:id="245"/>
    </w:p>
    <w:p w14:paraId="556C2502">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2.1.1本招标文件包括：</w:t>
      </w:r>
    </w:p>
    <w:p w14:paraId="18B379FF">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（1）招标公告</w:t>
      </w:r>
      <w:r>
        <w:rPr>
          <w:rFonts w:hint="eastAsia" w:ascii="宋体" w:hAnsi="宋体" w:cs="宋体"/>
          <w:color w:val="auto"/>
          <w:kern w:val="1"/>
          <w:highlight w:val="none"/>
          <w:u w:val="single"/>
        </w:rPr>
        <w:t>（另册）</w:t>
      </w:r>
      <w:r>
        <w:rPr>
          <w:rFonts w:hint="eastAsia" w:ascii="宋体" w:hAnsi="宋体" w:cs="宋体"/>
          <w:color w:val="auto"/>
          <w:kern w:val="1"/>
          <w:highlight w:val="none"/>
        </w:rPr>
        <w:t>；</w:t>
      </w:r>
    </w:p>
    <w:p w14:paraId="123733E9">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（2）投标人须知；</w:t>
      </w:r>
    </w:p>
    <w:p w14:paraId="048A2685">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（3）评标办法；</w:t>
      </w:r>
    </w:p>
    <w:p w14:paraId="0AB0927E">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（4）合同条款及格式</w:t>
      </w:r>
      <w:r>
        <w:rPr>
          <w:rFonts w:hint="eastAsia" w:ascii="宋体" w:hAnsi="宋体" w:cs="宋体"/>
          <w:color w:val="auto"/>
          <w:kern w:val="1"/>
          <w:highlight w:val="none"/>
          <w:u w:val="single"/>
        </w:rPr>
        <w:t>（另册）</w:t>
      </w:r>
      <w:r>
        <w:rPr>
          <w:rFonts w:hint="eastAsia" w:ascii="宋体" w:hAnsi="宋体" w:cs="宋体"/>
          <w:color w:val="auto"/>
          <w:kern w:val="1"/>
          <w:highlight w:val="none"/>
        </w:rPr>
        <w:t>；</w:t>
      </w:r>
    </w:p>
    <w:p w14:paraId="16A64B35">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（5）发包人要求</w:t>
      </w:r>
      <w:r>
        <w:rPr>
          <w:rFonts w:hint="eastAsia" w:ascii="宋体" w:hAnsi="宋体" w:cs="宋体"/>
          <w:color w:val="auto"/>
          <w:kern w:val="1"/>
          <w:highlight w:val="none"/>
          <w:u w:val="single"/>
        </w:rPr>
        <w:t>（另册）</w:t>
      </w:r>
      <w:r>
        <w:rPr>
          <w:rFonts w:hint="eastAsia" w:ascii="宋体" w:hAnsi="宋体" w:cs="宋体"/>
          <w:color w:val="auto"/>
          <w:kern w:val="1"/>
          <w:highlight w:val="none"/>
        </w:rPr>
        <w:t>；</w:t>
      </w:r>
    </w:p>
    <w:p w14:paraId="70E965BC">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（6）发包人提供的资料</w:t>
      </w:r>
      <w:r>
        <w:rPr>
          <w:rFonts w:hint="eastAsia" w:ascii="宋体" w:hAnsi="宋体" w:cs="宋体"/>
          <w:color w:val="auto"/>
          <w:kern w:val="1"/>
          <w:highlight w:val="none"/>
          <w:u w:val="single"/>
        </w:rPr>
        <w:t>（另册）</w:t>
      </w:r>
      <w:r>
        <w:rPr>
          <w:rFonts w:hint="eastAsia" w:ascii="宋体" w:hAnsi="宋体" w:cs="宋体"/>
          <w:color w:val="auto"/>
          <w:kern w:val="1"/>
          <w:highlight w:val="none"/>
        </w:rPr>
        <w:t>；</w:t>
      </w:r>
    </w:p>
    <w:p w14:paraId="2ACB0E70">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（7）</w:t>
      </w:r>
      <w:r>
        <w:rPr>
          <w:rFonts w:hint="eastAsia" w:ascii="宋体" w:hAnsi="宋体" w:cs="宋体"/>
          <w:color w:val="auto"/>
          <w:kern w:val="1"/>
          <w:highlight w:val="none"/>
          <w:u w:val="single"/>
        </w:rPr>
        <w:t>工程量清单（另册）</w:t>
      </w:r>
      <w:r>
        <w:rPr>
          <w:rFonts w:hint="eastAsia" w:ascii="宋体" w:hAnsi="宋体" w:cs="宋体"/>
          <w:color w:val="auto"/>
          <w:kern w:val="1"/>
          <w:highlight w:val="none"/>
        </w:rPr>
        <w:t>；</w:t>
      </w:r>
    </w:p>
    <w:p w14:paraId="53A748E7">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（8）投标文件格式；</w:t>
      </w:r>
    </w:p>
    <w:p w14:paraId="3DD8764F">
      <w:pPr>
        <w:spacing w:line="360" w:lineRule="auto"/>
        <w:ind w:firstLine="359" w:firstLineChars="171"/>
        <w:rPr>
          <w:rFonts w:ascii="宋体" w:hAnsi="宋体" w:cs="宋体"/>
          <w:color w:val="auto"/>
          <w:highlight w:val="none"/>
        </w:rPr>
      </w:pPr>
      <w:r>
        <w:rPr>
          <w:rFonts w:hint="eastAsia" w:ascii="宋体" w:hAnsi="宋体" w:cs="宋体"/>
          <w:color w:val="auto"/>
          <w:highlight w:val="none"/>
        </w:rPr>
        <w:t>（9）最高投标限价明细表；</w:t>
      </w:r>
    </w:p>
    <w:p w14:paraId="5BEF411B">
      <w:pPr>
        <w:spacing w:line="360" w:lineRule="auto"/>
        <w:ind w:firstLine="359"/>
        <w:rPr>
          <w:rFonts w:ascii="宋体" w:hAnsi="宋体" w:cs="宋体"/>
          <w:color w:val="auto"/>
          <w:kern w:val="1"/>
          <w:highlight w:val="none"/>
        </w:rPr>
      </w:pPr>
      <w:r>
        <w:rPr>
          <w:rFonts w:hint="eastAsia" w:ascii="宋体" w:hAnsi="宋体" w:cs="宋体"/>
          <w:color w:val="auto"/>
          <w:highlight w:val="none"/>
        </w:rPr>
        <w:t>（10）投标人须知前附表规定的其他资料。</w:t>
      </w:r>
    </w:p>
    <w:p w14:paraId="327242AC">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2.1.2根据本章第1.10款、第2.2款和第2.3款对招标文件所作的澄清、修改，构成招标文件的组成部分。</w:t>
      </w:r>
      <w:r>
        <w:rPr>
          <w:rFonts w:hint="eastAsia" w:ascii="宋体" w:hAnsi="宋体" w:cs="宋体"/>
          <w:color w:val="auto"/>
          <w:kern w:val="1"/>
          <w:highlight w:val="none"/>
          <w:u w:val="single"/>
        </w:rPr>
        <w:t>当招标文件的澄清、修改等在同一内容的表述不一致时，以最后发出的书面文件为准。</w:t>
      </w:r>
    </w:p>
    <w:p w14:paraId="6384CAAC">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注：招标人应在技术条件（工程建设标准）中明确施工现场件垃圾源头减量的具体要求和建筑垃圾综合利用产品的使用要求。</w:t>
      </w:r>
    </w:p>
    <w:p w14:paraId="1648C755">
      <w:pPr>
        <w:pStyle w:val="5"/>
        <w:spacing w:line="360" w:lineRule="auto"/>
        <w:ind w:firstLine="118"/>
        <w:rPr>
          <w:rFonts w:ascii="宋体" w:hAnsi="宋体" w:eastAsia="宋体"/>
          <w:b/>
          <w:color w:val="auto"/>
          <w:sz w:val="24"/>
          <w:szCs w:val="24"/>
          <w:highlight w:val="none"/>
        </w:rPr>
      </w:pPr>
      <w:bookmarkStart w:id="246" w:name="_Toc144974512"/>
      <w:bookmarkEnd w:id="246"/>
      <w:bookmarkStart w:id="247" w:name="_Toc152045544"/>
      <w:bookmarkEnd w:id="247"/>
      <w:bookmarkStart w:id="248" w:name="_Toc300834965"/>
      <w:bookmarkEnd w:id="248"/>
      <w:bookmarkStart w:id="249" w:name="_Toc247527569"/>
      <w:bookmarkEnd w:id="249"/>
      <w:bookmarkStart w:id="250" w:name="_Toc356469192"/>
      <w:bookmarkEnd w:id="250"/>
      <w:bookmarkStart w:id="251" w:name="_Toc357089526"/>
      <w:bookmarkEnd w:id="251"/>
      <w:bookmarkStart w:id="252" w:name="_Toc152042320"/>
      <w:bookmarkEnd w:id="252"/>
      <w:bookmarkStart w:id="253" w:name="_Toc362816495"/>
      <w:bookmarkEnd w:id="253"/>
      <w:bookmarkStart w:id="254" w:name="_Toc247513968"/>
      <w:bookmarkEnd w:id="254"/>
      <w:bookmarkStart w:id="255" w:name="_Toc5620311"/>
      <w:bookmarkStart w:id="256" w:name="_Toc152005910"/>
      <w:bookmarkStart w:id="257" w:name="_Toc6743"/>
      <w:bookmarkStart w:id="258" w:name="_Toc14885"/>
      <w:bookmarkStart w:id="259" w:name="_Toc17462"/>
      <w:r>
        <w:rPr>
          <w:rFonts w:hint="eastAsia" w:ascii="宋体" w:hAnsi="宋体" w:eastAsia="宋体"/>
          <w:b/>
          <w:color w:val="auto"/>
          <w:sz w:val="24"/>
          <w:szCs w:val="24"/>
          <w:highlight w:val="none"/>
        </w:rPr>
        <w:t>2.2 招标文件的澄清</w:t>
      </w:r>
      <w:bookmarkEnd w:id="255"/>
      <w:bookmarkEnd w:id="256"/>
      <w:bookmarkEnd w:id="257"/>
      <w:bookmarkEnd w:id="258"/>
      <w:bookmarkEnd w:id="259"/>
    </w:p>
    <w:p w14:paraId="6F0778F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2.2.1 投标人应仔细阅读和检查招标文件的全部内容。如发现缺页或附件不全，应及时向招标人提出，以便补齐。</w:t>
      </w:r>
      <w:r>
        <w:rPr>
          <w:rFonts w:hint="eastAsia" w:ascii="宋体" w:hAnsi="宋体" w:cs="宋体"/>
          <w:color w:val="auto"/>
          <w:kern w:val="1"/>
          <w:szCs w:val="21"/>
          <w:highlight w:val="none"/>
          <w:u w:val="single"/>
        </w:rPr>
        <w:t>如有疑问，</w:t>
      </w:r>
      <w:r>
        <w:rPr>
          <w:rFonts w:hint="eastAsia" w:ascii="宋体" w:hAnsi="宋体" w:cs="宋体"/>
          <w:color w:val="auto"/>
          <w:highlight w:val="none"/>
          <w:u w:val="single"/>
        </w:rPr>
        <w:t>可在规定的时间内通过广州交易集团有限公司（广州公共资源交易中心）网站交易系统将问题提交给招标人或招标代理机构，</w:t>
      </w:r>
      <w:r>
        <w:rPr>
          <w:rFonts w:hint="eastAsia" w:ascii="宋体" w:hAnsi="宋体" w:cs="宋体"/>
          <w:color w:val="auto"/>
          <w:highlight w:val="none"/>
        </w:rPr>
        <w:t>要求招标人对招标文件予以澄清。</w:t>
      </w:r>
    </w:p>
    <w:p w14:paraId="75C1B11F">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6714A5C5">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2.2.2</w:t>
      </w:r>
      <w:r>
        <w:rPr>
          <w:rFonts w:hint="eastAsia" w:ascii="宋体" w:hAnsi="宋体" w:cs="宋体"/>
          <w:color w:val="auto"/>
          <w:highlight w:val="none"/>
        </w:rPr>
        <w:t>招标文件的澄清</w:t>
      </w:r>
      <w:r>
        <w:rPr>
          <w:rFonts w:hint="eastAsia" w:ascii="宋体" w:hAnsi="宋体" w:cs="宋体"/>
          <w:color w:val="auto"/>
          <w:highlight w:val="none"/>
          <w:u w:val="single"/>
        </w:rPr>
        <w:t>在广州交易集团有限公司（广州公共资源交易中心）网站发布视为</w:t>
      </w:r>
      <w:r>
        <w:rPr>
          <w:rFonts w:hint="eastAsia" w:ascii="宋体" w:hAnsi="宋体" w:cs="宋体"/>
          <w:color w:val="auto"/>
          <w:highlight w:val="none"/>
        </w:rPr>
        <w:t>发给所有</w:t>
      </w:r>
      <w:r>
        <w:rPr>
          <w:rFonts w:hint="eastAsia" w:ascii="宋体" w:hAnsi="宋体" w:cs="宋体"/>
          <w:color w:val="auto"/>
          <w:highlight w:val="none"/>
          <w:u w:val="single"/>
        </w:rPr>
        <w:t>获取</w:t>
      </w:r>
      <w:r>
        <w:rPr>
          <w:rFonts w:hint="eastAsia" w:ascii="宋体" w:hAnsi="宋体" w:cs="宋体"/>
          <w:color w:val="auto"/>
          <w:highlight w:val="none"/>
        </w:rPr>
        <w:t>招标文件的投标人，但不指明澄清问题的来源。澄清发出的时间距投标人须知前附表规定的投标截止时间不足15天的，并且澄清内容影响投标文件编制的，将相应延长投标截止时间。</w:t>
      </w:r>
    </w:p>
    <w:p w14:paraId="4007633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2.2.3</w:t>
      </w:r>
      <w:r>
        <w:rPr>
          <w:rFonts w:hint="eastAsia" w:ascii="宋体" w:hAnsi="宋体" w:cs="宋体"/>
          <w:color w:val="auto"/>
          <w:highlight w:val="none"/>
          <w:u w:val="single"/>
        </w:rPr>
        <w:t>招标文件澄清在交易平台网站通过答疑纪要专区网上公开发布，发出即视作收到，以广州交易集团有限公司（广州公共资源交易中心）网站发布时间作为送达时间。无需投标人确认。投标人应自行关注，招标人不再一一通知。</w:t>
      </w:r>
    </w:p>
    <w:p w14:paraId="07B62856">
      <w:pPr>
        <w:pStyle w:val="5"/>
        <w:spacing w:line="360" w:lineRule="auto"/>
        <w:ind w:firstLine="118"/>
        <w:rPr>
          <w:rFonts w:ascii="宋体" w:hAnsi="宋体" w:eastAsia="宋体"/>
          <w:b/>
          <w:color w:val="auto"/>
          <w:sz w:val="24"/>
          <w:szCs w:val="24"/>
          <w:highlight w:val="none"/>
        </w:rPr>
      </w:pPr>
      <w:bookmarkStart w:id="260" w:name="_Toc356469193"/>
      <w:bookmarkEnd w:id="260"/>
      <w:bookmarkStart w:id="261" w:name="_Toc357089527"/>
      <w:bookmarkEnd w:id="261"/>
      <w:bookmarkStart w:id="262" w:name="_Toc144974513"/>
      <w:bookmarkEnd w:id="262"/>
      <w:bookmarkStart w:id="263" w:name="_Toc300834966"/>
      <w:bookmarkEnd w:id="263"/>
      <w:bookmarkStart w:id="264" w:name="_Toc152045545"/>
      <w:bookmarkEnd w:id="264"/>
      <w:bookmarkStart w:id="265" w:name="_Toc247513969"/>
      <w:bookmarkEnd w:id="265"/>
      <w:bookmarkStart w:id="266" w:name="_Toc362816496"/>
      <w:bookmarkEnd w:id="266"/>
      <w:bookmarkStart w:id="267" w:name="_Toc247527570"/>
      <w:bookmarkEnd w:id="267"/>
      <w:bookmarkStart w:id="268" w:name="_Toc152042321"/>
      <w:bookmarkEnd w:id="268"/>
      <w:bookmarkStart w:id="269" w:name="_Toc152005911"/>
      <w:bookmarkStart w:id="270" w:name="_Toc5620312"/>
      <w:bookmarkStart w:id="271" w:name="_Toc11509"/>
      <w:bookmarkStart w:id="272" w:name="_Toc3200"/>
      <w:bookmarkStart w:id="273" w:name="_Toc6226"/>
      <w:r>
        <w:rPr>
          <w:rFonts w:hint="eastAsia" w:ascii="宋体" w:hAnsi="宋体" w:eastAsia="宋体"/>
          <w:b/>
          <w:color w:val="auto"/>
          <w:sz w:val="24"/>
          <w:szCs w:val="24"/>
          <w:highlight w:val="none"/>
        </w:rPr>
        <w:t>2.3 招标文件的修改</w:t>
      </w:r>
      <w:bookmarkEnd w:id="269"/>
      <w:bookmarkEnd w:id="270"/>
      <w:bookmarkEnd w:id="271"/>
      <w:bookmarkEnd w:id="272"/>
      <w:bookmarkEnd w:id="273"/>
    </w:p>
    <w:p w14:paraId="2C0E35AA">
      <w:pPr>
        <w:pStyle w:val="18"/>
        <w:spacing w:after="0" w:line="360" w:lineRule="auto"/>
        <w:rPr>
          <w:rFonts w:ascii="宋体" w:hAnsi="宋体" w:cs="宋体"/>
          <w:color w:val="auto"/>
          <w:szCs w:val="21"/>
          <w:highlight w:val="none"/>
        </w:rPr>
      </w:pPr>
      <w:r>
        <w:rPr>
          <w:rFonts w:hint="eastAsia" w:ascii="宋体" w:hAnsi="宋体" w:cs="宋体"/>
          <w:color w:val="auto"/>
          <w:szCs w:val="21"/>
          <w:highlight w:val="none"/>
        </w:rPr>
        <w:t>2.3.1招标文件发出后,在提交投标文件截止时间15日前，招标人可对招标文件进行必要的澄清或修改。</w:t>
      </w:r>
    </w:p>
    <w:p w14:paraId="171403B7">
      <w:pPr>
        <w:pStyle w:val="18"/>
        <w:spacing w:after="0" w:line="360" w:lineRule="auto"/>
        <w:ind w:left="-1"/>
        <w:rPr>
          <w:rFonts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color w:val="auto"/>
          <w:szCs w:val="21"/>
          <w:highlight w:val="none"/>
          <w:u w:val="single"/>
        </w:rPr>
        <w:t>招标文件的澄清或修改在广州交易集团有限公司（广州公共资源交易中心）网站发布。招标文件的澄清或修改一经在广州交易集团有限公司（广州公共资源交易中心）网站发布，视作已发放给所有投标人，招标文件的修改内容作为招标文件的组成部分，具有约束作用。</w:t>
      </w:r>
    </w:p>
    <w:p w14:paraId="5BB10483">
      <w:pPr>
        <w:pStyle w:val="18"/>
        <w:spacing w:after="0"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7F6BD32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3B6CD797">
      <w:pPr>
        <w:pStyle w:val="4"/>
        <w:spacing w:line="360" w:lineRule="auto"/>
        <w:rPr>
          <w:rFonts w:ascii="宋体" w:hAnsi="宋体" w:eastAsia="宋体" w:cs="宋体"/>
          <w:color w:val="auto"/>
          <w:highlight w:val="none"/>
          <w:lang w:val="zh-CN"/>
        </w:rPr>
      </w:pPr>
      <w:bookmarkStart w:id="274" w:name="_Toc443505825"/>
      <w:bookmarkEnd w:id="274"/>
      <w:bookmarkStart w:id="275" w:name="_Toc410240234"/>
      <w:bookmarkEnd w:id="275"/>
      <w:bookmarkStart w:id="276" w:name="_Toc247513970"/>
      <w:bookmarkEnd w:id="276"/>
      <w:bookmarkStart w:id="277" w:name="_Toc6320"/>
      <w:bookmarkEnd w:id="277"/>
      <w:bookmarkStart w:id="278" w:name="_Toc300834967"/>
      <w:bookmarkEnd w:id="278"/>
      <w:bookmarkStart w:id="279" w:name="_Toc247527571"/>
      <w:bookmarkEnd w:id="279"/>
      <w:bookmarkStart w:id="280" w:name="_Toc357089528"/>
      <w:bookmarkEnd w:id="280"/>
      <w:bookmarkStart w:id="281" w:name="_Toc27122"/>
      <w:bookmarkEnd w:id="281"/>
      <w:bookmarkStart w:id="282" w:name="_Toc375931087"/>
      <w:bookmarkEnd w:id="282"/>
      <w:bookmarkStart w:id="283" w:name="_Toc362816497"/>
      <w:bookmarkEnd w:id="283"/>
      <w:bookmarkStart w:id="284" w:name="_Toc144974514"/>
      <w:bookmarkEnd w:id="284"/>
      <w:bookmarkStart w:id="285" w:name="_Toc152045546"/>
      <w:bookmarkEnd w:id="285"/>
      <w:bookmarkStart w:id="286" w:name="_Toc152042322"/>
      <w:bookmarkEnd w:id="286"/>
      <w:bookmarkStart w:id="287" w:name="_Toc8206"/>
      <w:bookmarkStart w:id="288" w:name="_Toc27732"/>
      <w:bookmarkStart w:id="289" w:name="_Toc17691"/>
      <w:bookmarkStart w:id="290" w:name="_Toc5620313"/>
      <w:bookmarkStart w:id="291" w:name="_Toc152005912"/>
      <w:r>
        <w:rPr>
          <w:rFonts w:hint="eastAsia" w:ascii="宋体" w:hAnsi="宋体" w:eastAsia="宋体" w:cs="宋体"/>
          <w:color w:val="auto"/>
          <w:highlight w:val="none"/>
          <w:lang w:val="zh-CN"/>
        </w:rPr>
        <w:t>3. 投标文件</w:t>
      </w:r>
      <w:bookmarkEnd w:id="287"/>
      <w:bookmarkEnd w:id="288"/>
      <w:bookmarkEnd w:id="289"/>
      <w:bookmarkEnd w:id="290"/>
      <w:bookmarkEnd w:id="291"/>
    </w:p>
    <w:p w14:paraId="42E998A0">
      <w:pPr>
        <w:pStyle w:val="5"/>
        <w:spacing w:before="0" w:after="0" w:line="360" w:lineRule="auto"/>
        <w:rPr>
          <w:rFonts w:ascii="宋体" w:hAnsi="宋体" w:eastAsia="宋体"/>
          <w:b/>
          <w:bCs/>
          <w:color w:val="auto"/>
          <w:sz w:val="24"/>
          <w:szCs w:val="24"/>
          <w:highlight w:val="none"/>
        </w:rPr>
      </w:pPr>
      <w:bookmarkStart w:id="292" w:name="_Toc152045547"/>
      <w:bookmarkEnd w:id="292"/>
      <w:bookmarkStart w:id="293" w:name="_Toc144974515"/>
      <w:bookmarkEnd w:id="293"/>
      <w:bookmarkStart w:id="294" w:name="_Toc152042323"/>
      <w:bookmarkEnd w:id="294"/>
      <w:bookmarkStart w:id="295" w:name="_Toc300834968"/>
      <w:bookmarkEnd w:id="295"/>
      <w:bookmarkStart w:id="296" w:name="_Toc247513971"/>
      <w:bookmarkEnd w:id="296"/>
      <w:bookmarkStart w:id="297" w:name="_Toc362816498"/>
      <w:bookmarkEnd w:id="297"/>
      <w:bookmarkStart w:id="298" w:name="_Toc356469195"/>
      <w:bookmarkEnd w:id="298"/>
      <w:bookmarkStart w:id="299" w:name="_Toc247527572"/>
      <w:bookmarkEnd w:id="299"/>
      <w:bookmarkStart w:id="300" w:name="_Toc357089529"/>
      <w:bookmarkEnd w:id="300"/>
      <w:bookmarkStart w:id="301" w:name="_Toc32416"/>
      <w:bookmarkStart w:id="302" w:name="_Toc13848"/>
      <w:bookmarkStart w:id="303" w:name="_Toc9754"/>
      <w:bookmarkStart w:id="304" w:name="_Toc5620314"/>
      <w:bookmarkStart w:id="305" w:name="_Toc152005913"/>
      <w:r>
        <w:rPr>
          <w:rFonts w:hint="eastAsia" w:ascii="宋体" w:hAnsi="宋体" w:eastAsia="宋体"/>
          <w:b/>
          <w:bCs/>
          <w:color w:val="auto"/>
          <w:sz w:val="24"/>
          <w:szCs w:val="24"/>
          <w:highlight w:val="none"/>
        </w:rPr>
        <w:t>3.1 投标文件的组成</w:t>
      </w:r>
      <w:bookmarkEnd w:id="301"/>
      <w:bookmarkEnd w:id="302"/>
      <w:bookmarkEnd w:id="303"/>
      <w:bookmarkEnd w:id="304"/>
      <w:bookmarkEnd w:id="305"/>
    </w:p>
    <w:p w14:paraId="3EA62B52">
      <w:pPr>
        <w:spacing w:line="360" w:lineRule="auto"/>
        <w:ind w:firstLine="420"/>
        <w:rPr>
          <w:rFonts w:ascii="宋体" w:hAnsi="宋体" w:cs="宋体"/>
          <w:color w:val="auto"/>
          <w:highlight w:val="none"/>
        </w:rPr>
      </w:pPr>
      <w:r>
        <w:rPr>
          <w:rFonts w:hint="eastAsia" w:ascii="宋体" w:hAnsi="宋体" w:cs="宋体"/>
          <w:color w:val="auto"/>
          <w:highlight w:val="none"/>
        </w:rPr>
        <w:t>3.1.1投标文件由评标部分及定标部分两部分组成。</w:t>
      </w:r>
    </w:p>
    <w:p w14:paraId="25FF2AAC">
      <w:pPr>
        <w:spacing w:line="360" w:lineRule="auto"/>
        <w:ind w:firstLine="420" w:firstLineChars="0"/>
        <w:rPr>
          <w:rFonts w:ascii="宋体" w:hAnsi="宋体" w:cs="宋体"/>
          <w:color w:val="auto"/>
          <w:highlight w:val="none"/>
        </w:rPr>
      </w:pPr>
      <w:r>
        <w:rPr>
          <w:rFonts w:hint="eastAsia" w:ascii="宋体" w:hAnsi="宋体" w:cs="宋体"/>
          <w:color w:val="auto"/>
          <w:highlight w:val="none"/>
        </w:rPr>
        <w:t>3.1.2投标文件（评标部分）由工程总承包实施及运营管理方案（含资格审查文件）、工程总承包实施及运营管理方案经济投标文件</w:t>
      </w:r>
      <w:r>
        <w:rPr>
          <w:rFonts w:hint="eastAsia" w:ascii="宋体" w:hAnsi="宋体" w:cs="宋体"/>
          <w:color w:val="auto"/>
          <w:highlight w:val="none"/>
          <w:lang w:val="en-US" w:eastAsia="zh-CN"/>
        </w:rPr>
        <w:t>两</w:t>
      </w:r>
      <w:r>
        <w:rPr>
          <w:rFonts w:hint="eastAsia" w:ascii="宋体" w:hAnsi="宋体" w:cs="宋体"/>
          <w:color w:val="auto"/>
          <w:highlight w:val="none"/>
        </w:rPr>
        <w:t>部分组成。如招标文件没有格式规定的，由投标人自行编制。</w:t>
      </w:r>
    </w:p>
    <w:p w14:paraId="2B86B9E1">
      <w:pPr>
        <w:spacing w:line="360" w:lineRule="auto"/>
        <w:ind w:firstLine="359" w:firstLineChars="171"/>
        <w:rPr>
          <w:rFonts w:ascii="宋体" w:hAnsi="宋体" w:cs="宋体"/>
          <w:color w:val="auto"/>
          <w:highlight w:val="none"/>
        </w:rPr>
      </w:pPr>
      <w:r>
        <w:rPr>
          <w:rFonts w:hint="eastAsia" w:ascii="宋体" w:hAnsi="宋体" w:cs="宋体"/>
          <w:color w:val="auto"/>
          <w:highlight w:val="none"/>
        </w:rPr>
        <w:t>3.1.</w:t>
      </w:r>
      <w:r>
        <w:rPr>
          <w:rFonts w:hint="eastAsia" w:ascii="宋体" w:hAnsi="宋体" w:cs="宋体"/>
          <w:color w:val="auto"/>
          <w:highlight w:val="none"/>
          <w:lang w:val="en-US" w:eastAsia="zh-CN"/>
        </w:rPr>
        <w:t>3</w:t>
      </w:r>
      <w:r>
        <w:rPr>
          <w:rFonts w:hint="eastAsia" w:ascii="宋体" w:hAnsi="宋体" w:cs="宋体"/>
          <w:color w:val="auto"/>
          <w:highlight w:val="none"/>
        </w:rPr>
        <w:t>工程总承包实施及运营管理方案（含资格审查文件）</w:t>
      </w:r>
    </w:p>
    <w:p w14:paraId="4D67A62E">
      <w:pPr>
        <w:adjustRightInd w:val="0"/>
        <w:snapToGrid w:val="0"/>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highlight w:val="none"/>
        </w:rPr>
        <w:t>（1）</w:t>
      </w:r>
      <w:r>
        <w:rPr>
          <w:rFonts w:hint="eastAsia" w:ascii="宋体" w:hAnsi="宋体" w:cs="宋体"/>
          <w:color w:val="auto"/>
          <w:kern w:val="1"/>
          <w:szCs w:val="21"/>
          <w:highlight w:val="none"/>
          <w:u w:val="single"/>
        </w:rPr>
        <w:t>封面：</w:t>
      </w:r>
      <w:bookmarkStart w:id="306" w:name="_Hlk56347369"/>
      <w:r>
        <w:rPr>
          <w:rFonts w:hint="eastAsia" w:ascii="宋体" w:hAnsi="宋体" w:cs="宋体"/>
          <w:color w:val="auto"/>
          <w:kern w:val="1"/>
          <w:szCs w:val="21"/>
          <w:highlight w:val="none"/>
          <w:u w:val="single"/>
        </w:rPr>
        <w:t>写明项目名称、投标文件、投标人单位及年月日；加盖投标人电子印章（联合体投标的，“投标人”一栏需书写所有联合体成员的单位全称，由牵头单位签署、盖章）；</w:t>
      </w:r>
      <w:bookmarkEnd w:id="306"/>
    </w:p>
    <w:p w14:paraId="72C4136C">
      <w:pPr>
        <w:spacing w:line="360" w:lineRule="auto"/>
        <w:ind w:firstLine="359" w:firstLineChars="171"/>
        <w:rPr>
          <w:rFonts w:ascii="宋体" w:hAnsi="宋体" w:cs="宋体"/>
          <w:color w:val="auto"/>
          <w:highlight w:val="none"/>
        </w:rPr>
      </w:pPr>
      <w:r>
        <w:rPr>
          <w:rFonts w:hint="eastAsia" w:ascii="宋体" w:hAnsi="宋体" w:cs="宋体"/>
          <w:color w:val="auto"/>
          <w:kern w:val="1"/>
          <w:szCs w:val="21"/>
          <w:highlight w:val="none"/>
        </w:rPr>
        <w:t>（2）</w:t>
      </w:r>
      <w:r>
        <w:rPr>
          <w:rFonts w:hint="eastAsia" w:ascii="宋体" w:hAnsi="宋体" w:cs="宋体"/>
          <w:color w:val="auto"/>
          <w:szCs w:val="21"/>
          <w:highlight w:val="none"/>
        </w:rPr>
        <w:t>目录；</w:t>
      </w:r>
    </w:p>
    <w:p w14:paraId="0B188D10">
      <w:pPr>
        <w:spacing w:line="360" w:lineRule="auto"/>
        <w:ind w:firstLine="359" w:firstLineChars="171"/>
        <w:rPr>
          <w:rFonts w:ascii="宋体" w:hAnsi="宋体" w:cs="宋体"/>
          <w:color w:val="auto"/>
          <w:highlight w:val="none"/>
        </w:rPr>
      </w:pPr>
      <w:r>
        <w:rPr>
          <w:rFonts w:hint="eastAsia" w:ascii="宋体" w:hAnsi="宋体" w:cs="宋体"/>
          <w:color w:val="auto"/>
          <w:highlight w:val="none"/>
        </w:rPr>
        <w:t>（3）资格审查部分；（</w:t>
      </w:r>
      <w:r>
        <w:rPr>
          <w:rFonts w:hint="eastAsia" w:ascii="宋体" w:hAnsi="宋体" w:cs="宋体"/>
          <w:color w:val="auto"/>
          <w:szCs w:val="21"/>
          <w:highlight w:val="none"/>
        </w:rPr>
        <w:t>1.按照招标公告附件三：《资格审查资料及其他取自广州交易集团有限公司（广州公共资源交易中心）企业信息库的资料一览表》进行编制。2.投标人认为应该提供的其他资料。</w:t>
      </w:r>
      <w:r>
        <w:rPr>
          <w:rFonts w:hint="eastAsia" w:ascii="宋体" w:hAnsi="宋体" w:cs="宋体"/>
          <w:color w:val="auto"/>
          <w:highlight w:val="none"/>
        </w:rPr>
        <w:t>）</w:t>
      </w:r>
    </w:p>
    <w:p w14:paraId="3ED4BF93">
      <w:pPr>
        <w:adjustRightInd w:val="0"/>
        <w:snapToGrid w:val="0"/>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（4）《</w:t>
      </w:r>
      <w:r>
        <w:rPr>
          <w:rFonts w:hint="eastAsia" w:ascii="宋体" w:hAnsi="宋体" w:cs="宋体"/>
          <w:color w:val="auto"/>
          <w:szCs w:val="21"/>
          <w:highlight w:val="none"/>
          <w:u w:val="single"/>
        </w:rPr>
        <w:t>投标函》</w:t>
      </w:r>
      <w:r>
        <w:rPr>
          <w:rFonts w:hint="eastAsia" w:ascii="宋体" w:hAnsi="宋体" w:cs="宋体"/>
          <w:color w:val="auto"/>
          <w:kern w:val="1"/>
          <w:szCs w:val="21"/>
          <w:highlight w:val="none"/>
          <w:u w:val="single"/>
        </w:rPr>
        <w:t>(按招标文件的要求填写)；</w:t>
      </w:r>
    </w:p>
    <w:p w14:paraId="6DA1756A">
      <w:pPr>
        <w:adjustRightInd w:val="0"/>
        <w:snapToGrid w:val="0"/>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 xml:space="preserve">（5）《勘察设计投标书》；(按招标文件的要求填写) </w:t>
      </w:r>
    </w:p>
    <w:p w14:paraId="4A288366">
      <w:pPr>
        <w:adjustRightInd w:val="0"/>
        <w:snapToGrid w:val="0"/>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（6）《技术投标书》及《技术投标书附表》；（按招标文件的要求填写）</w:t>
      </w:r>
    </w:p>
    <w:p w14:paraId="500BACF6">
      <w:pPr>
        <w:adjustRightInd w:val="0"/>
        <w:snapToGrid w:val="0"/>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（7）《投标承诺书》；(按招标文件的要求填写)</w:t>
      </w:r>
    </w:p>
    <w:p w14:paraId="667BD05F">
      <w:pPr>
        <w:adjustRightInd w:val="0"/>
        <w:snapToGrid w:val="0"/>
        <w:spacing w:line="360" w:lineRule="auto"/>
        <w:ind w:firstLine="420" w:firstLineChars="200"/>
        <w:rPr>
          <w:rFonts w:ascii="宋体" w:hAnsi="宋体" w:cs="宋体"/>
          <w:color w:val="auto"/>
          <w:kern w:val="1"/>
          <w:szCs w:val="21"/>
          <w:highlight w:val="none"/>
          <w:u w:val="single"/>
        </w:rPr>
      </w:pPr>
      <w:bookmarkStart w:id="307" w:name="_Hlk55921098"/>
      <w:r>
        <w:rPr>
          <w:rFonts w:hint="eastAsia" w:ascii="宋体" w:hAnsi="宋体" w:cs="宋体"/>
          <w:color w:val="auto"/>
          <w:kern w:val="1"/>
          <w:szCs w:val="21"/>
          <w:highlight w:val="none"/>
          <w:u w:val="single"/>
        </w:rPr>
        <w:t>（8）《法人代表人证明书》、《法人授权委托证明书》（若为联合体投标，由联合体牵头单位出具）；</w:t>
      </w:r>
      <w:bookmarkEnd w:id="307"/>
    </w:p>
    <w:p w14:paraId="7C6324AA">
      <w:pPr>
        <w:adjustRightInd w:val="0"/>
        <w:snapToGrid w:val="0"/>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（9）《拟投入本项目人员一览表》；(按招标文件的要求填写)</w:t>
      </w:r>
    </w:p>
    <w:p w14:paraId="26CC9E3B">
      <w:pPr>
        <w:adjustRightInd w:val="0"/>
        <w:snapToGrid w:val="0"/>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 xml:space="preserve">（10）《拟投入本项目主要负责人员简历表》；(按招标文件的要求填写) </w:t>
      </w:r>
    </w:p>
    <w:p w14:paraId="6F9D893B">
      <w:pPr>
        <w:adjustRightInd w:val="0"/>
        <w:snapToGrid w:val="0"/>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（11）</w:t>
      </w:r>
      <w:r>
        <w:rPr>
          <w:rFonts w:hint="eastAsia" w:ascii="宋体" w:hAnsi="宋体" w:cs="宋体"/>
          <w:color w:val="auto"/>
          <w:kern w:val="1"/>
          <w:szCs w:val="21"/>
          <w:highlight w:val="none"/>
          <w:u w:val="single"/>
          <w:lang w:val="en-US" w:eastAsia="zh-CN"/>
        </w:rPr>
        <w:t>实施方案（含勘察设计方案服务大纲、施工实施方案</w:t>
      </w:r>
      <w:r>
        <w:rPr>
          <w:rFonts w:hint="eastAsia" w:ascii="宋体" w:hAnsi="宋体" w:cs="宋体"/>
          <w:color w:val="auto"/>
          <w:kern w:val="1"/>
          <w:szCs w:val="21"/>
          <w:highlight w:val="none"/>
          <w:u w:val="single"/>
          <w:lang w:eastAsia="zh-CN"/>
        </w:rPr>
        <w:t>、</w:t>
      </w:r>
      <w:r>
        <w:rPr>
          <w:rFonts w:hint="eastAsia" w:ascii="宋体" w:hAnsi="宋体" w:cs="宋体"/>
          <w:color w:val="auto"/>
          <w:kern w:val="1"/>
          <w:szCs w:val="21"/>
          <w:highlight w:val="none"/>
          <w:u w:val="single"/>
          <w:lang w:val="en-US" w:eastAsia="zh-CN"/>
        </w:rPr>
        <w:t>运营实施方案）</w:t>
      </w:r>
      <w:r>
        <w:rPr>
          <w:rFonts w:hint="eastAsia" w:ascii="宋体" w:hAnsi="宋体" w:cs="宋体"/>
          <w:color w:val="auto"/>
          <w:kern w:val="1"/>
          <w:szCs w:val="21"/>
          <w:highlight w:val="none"/>
          <w:u w:val="single"/>
        </w:rPr>
        <w:t>；（按照招标文件要求填写）</w:t>
      </w:r>
    </w:p>
    <w:p w14:paraId="101E2A2A">
      <w:pPr>
        <w:adjustRightInd w:val="0"/>
        <w:snapToGrid w:val="0"/>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（12）《参与编制工程总承包实施及运营管理方案技术投标文件人员名单》；（按照招标文件要求填写）</w:t>
      </w:r>
    </w:p>
    <w:p w14:paraId="3B83DDCA">
      <w:pPr>
        <w:adjustRightInd w:val="0"/>
        <w:snapToGrid w:val="0"/>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（13）投标保证金；</w:t>
      </w:r>
    </w:p>
    <w:p w14:paraId="6AE0AE06">
      <w:pPr>
        <w:pStyle w:val="11"/>
        <w:spacing w:line="360" w:lineRule="auto"/>
        <w:ind w:firstLine="420" w:firstLineChars="200"/>
        <w:rPr>
          <w:rFonts w:cs="宋体"/>
          <w:color w:val="auto"/>
          <w:kern w:val="1"/>
          <w:sz w:val="21"/>
          <w:szCs w:val="21"/>
          <w:highlight w:val="none"/>
          <w:u w:val="single"/>
        </w:rPr>
      </w:pPr>
      <w:r>
        <w:rPr>
          <w:rFonts w:hint="eastAsia" w:cs="宋体"/>
          <w:color w:val="auto"/>
          <w:kern w:val="1"/>
          <w:sz w:val="21"/>
          <w:szCs w:val="21"/>
          <w:highlight w:val="none"/>
          <w:u w:val="single"/>
        </w:rPr>
        <w:t>（1</w:t>
      </w:r>
      <w:r>
        <w:rPr>
          <w:rFonts w:hint="eastAsia" w:cs="宋体"/>
          <w:color w:val="auto"/>
          <w:kern w:val="1"/>
          <w:sz w:val="21"/>
          <w:szCs w:val="21"/>
          <w:highlight w:val="none"/>
          <w:u w:val="single"/>
          <w:lang w:val="en-US"/>
        </w:rPr>
        <w:t>4</w:t>
      </w:r>
      <w:r>
        <w:rPr>
          <w:rFonts w:hint="eastAsia" w:cs="宋体"/>
          <w:color w:val="auto"/>
          <w:kern w:val="1"/>
          <w:sz w:val="21"/>
          <w:szCs w:val="21"/>
          <w:highlight w:val="none"/>
          <w:u w:val="single"/>
        </w:rPr>
        <w:t>）投标人认为应该提供的其他资料；</w:t>
      </w:r>
    </w:p>
    <w:p w14:paraId="3B2D6B1C">
      <w:pPr>
        <w:pStyle w:val="11"/>
        <w:spacing w:line="360" w:lineRule="auto"/>
        <w:ind w:firstLine="210" w:firstLineChars="100"/>
        <w:rPr>
          <w:rFonts w:cs="宋体"/>
          <w:color w:val="auto"/>
          <w:sz w:val="21"/>
          <w:szCs w:val="21"/>
          <w:highlight w:val="none"/>
        </w:rPr>
      </w:pPr>
      <w:r>
        <w:rPr>
          <w:rFonts w:hint="eastAsia" w:cs="宋体"/>
          <w:color w:val="auto"/>
          <w:sz w:val="21"/>
          <w:szCs w:val="21"/>
          <w:highlight w:val="none"/>
        </w:rPr>
        <w:t>3.1.</w:t>
      </w:r>
      <w:r>
        <w:rPr>
          <w:rFonts w:hint="eastAsia" w:cs="宋体"/>
          <w:color w:val="auto"/>
          <w:sz w:val="21"/>
          <w:szCs w:val="21"/>
          <w:highlight w:val="none"/>
          <w:lang w:val="en-US"/>
        </w:rPr>
        <w:t>5</w:t>
      </w:r>
      <w:r>
        <w:rPr>
          <w:rFonts w:hint="eastAsia" w:cs="宋体"/>
          <w:color w:val="auto"/>
          <w:sz w:val="21"/>
          <w:szCs w:val="21"/>
          <w:highlight w:val="none"/>
        </w:rPr>
        <w:t>工程总承包实施及运营管理方案经济投标文件</w:t>
      </w:r>
    </w:p>
    <w:p w14:paraId="5958171A">
      <w:pPr>
        <w:spacing w:line="360" w:lineRule="auto"/>
        <w:ind w:firstLine="359" w:firstLineChars="171"/>
        <w:rPr>
          <w:rFonts w:ascii="宋体" w:hAnsi="宋体" w:cs="宋体"/>
          <w:color w:val="auto"/>
          <w:highlight w:val="none"/>
        </w:rPr>
      </w:pPr>
      <w:r>
        <w:rPr>
          <w:rFonts w:hint="eastAsia" w:ascii="宋体" w:hAnsi="宋体" w:cs="宋体"/>
          <w:color w:val="auto"/>
          <w:highlight w:val="none"/>
        </w:rPr>
        <w:t>主要包括下列内容：</w:t>
      </w:r>
    </w:p>
    <w:p w14:paraId="3C3EF905">
      <w:pPr>
        <w:spacing w:line="360" w:lineRule="auto"/>
        <w:ind w:firstLine="359" w:firstLineChars="171"/>
        <w:rPr>
          <w:rFonts w:ascii="宋体" w:hAnsi="宋体" w:cs="宋体"/>
          <w:color w:val="auto"/>
          <w:highlight w:val="none"/>
        </w:rPr>
      </w:pPr>
      <w:r>
        <w:rPr>
          <w:rFonts w:hint="eastAsia" w:ascii="宋体" w:hAnsi="宋体" w:cs="宋体"/>
          <w:color w:val="auto"/>
          <w:highlight w:val="none"/>
        </w:rPr>
        <w:t>（1）封面：写明项目名称、工程总承包实施及运营管理方案经济投标文件、投标人单位及年月日；加盖投标人电子印章（联合体投标的，“投标人”一栏需书写所有联合体成员的单位全称，由牵头单位签署、盖章）；</w:t>
      </w:r>
    </w:p>
    <w:p w14:paraId="3235A472">
      <w:pPr>
        <w:spacing w:line="360" w:lineRule="auto"/>
        <w:ind w:firstLine="359" w:firstLineChars="171"/>
        <w:rPr>
          <w:rFonts w:ascii="宋体" w:hAnsi="宋体" w:cs="宋体"/>
          <w:color w:val="auto"/>
          <w:highlight w:val="none"/>
        </w:rPr>
      </w:pPr>
      <w:r>
        <w:rPr>
          <w:rFonts w:hint="eastAsia" w:ascii="宋体" w:hAnsi="宋体" w:cs="宋体"/>
          <w:color w:val="auto"/>
          <w:highlight w:val="none"/>
        </w:rPr>
        <w:t>（2）目录</w:t>
      </w:r>
    </w:p>
    <w:p w14:paraId="732CF6CD">
      <w:pPr>
        <w:spacing w:line="360" w:lineRule="auto"/>
        <w:ind w:firstLine="359" w:firstLineChars="171"/>
        <w:rPr>
          <w:rFonts w:ascii="宋体" w:hAnsi="宋体" w:cs="宋体"/>
          <w:color w:val="auto"/>
          <w:highlight w:val="none"/>
        </w:rPr>
      </w:pPr>
      <w:r>
        <w:rPr>
          <w:rFonts w:hint="eastAsia" w:ascii="宋体" w:hAnsi="宋体" w:cs="宋体"/>
          <w:color w:val="auto"/>
          <w:highlight w:val="none"/>
        </w:rPr>
        <w:t>（3）《经济标投标书》（按招标文件的要求填写）；</w:t>
      </w:r>
    </w:p>
    <w:p w14:paraId="766F1D2E">
      <w:pPr>
        <w:spacing w:line="360" w:lineRule="auto"/>
        <w:ind w:firstLine="359" w:firstLineChars="171"/>
        <w:rPr>
          <w:rFonts w:ascii="宋体" w:hAnsi="宋体" w:cs="宋体"/>
          <w:color w:val="auto"/>
          <w:highlight w:val="none"/>
        </w:rPr>
      </w:pPr>
      <w:r>
        <w:rPr>
          <w:rFonts w:hint="eastAsia" w:ascii="宋体" w:hAnsi="宋体" w:cs="宋体"/>
          <w:color w:val="auto"/>
          <w:highlight w:val="none"/>
        </w:rPr>
        <w:t>（4）《参与编制工程总承包实施及运营管理方案经济投标文件人员名单》（按招标文件的要求填写）；</w:t>
      </w:r>
    </w:p>
    <w:p w14:paraId="4FFE4365">
      <w:pPr>
        <w:spacing w:line="360" w:lineRule="auto"/>
        <w:ind w:firstLine="359" w:firstLineChars="171"/>
        <w:rPr>
          <w:rFonts w:ascii="宋体" w:hAnsi="宋体" w:cs="宋体"/>
          <w:strike/>
          <w:color w:val="auto"/>
          <w:highlight w:val="none"/>
        </w:rPr>
      </w:pPr>
      <w:r>
        <w:rPr>
          <w:rFonts w:hint="eastAsia" w:ascii="宋体" w:hAnsi="宋体" w:cs="宋体"/>
          <w:strike/>
          <w:color w:val="auto"/>
          <w:highlight w:val="none"/>
        </w:rPr>
        <w:t>（</w:t>
      </w:r>
      <w:r>
        <w:rPr>
          <w:rFonts w:ascii="宋体" w:hAnsi="宋体" w:cs="宋体"/>
          <w:strike/>
          <w:color w:val="auto"/>
          <w:highlight w:val="none"/>
        </w:rPr>
        <w:t>5）</w:t>
      </w:r>
      <w:r>
        <w:rPr>
          <w:rFonts w:hint="eastAsia" w:ascii="宋体" w:hAnsi="宋体" w:cs="宋体"/>
          <w:strike/>
          <w:color w:val="auto"/>
          <w:szCs w:val="21"/>
          <w:highlight w:val="none"/>
        </w:rPr>
        <w:t>若投标人的投标报价低于工程成本警戒价的，投标人还须提供详细的施工组织设计、单价、措施性费用、单价分析表、主要材料价格表、投标人成本分析供评标委员会评审。</w:t>
      </w:r>
    </w:p>
    <w:p w14:paraId="078EEC80">
      <w:pPr>
        <w:spacing w:line="360" w:lineRule="auto"/>
        <w:ind w:firstLine="359" w:firstLineChars="171"/>
        <w:rPr>
          <w:rFonts w:ascii="宋体" w:hAnsi="宋体" w:cs="宋体"/>
          <w:color w:val="auto"/>
          <w:highlight w:val="none"/>
        </w:rPr>
      </w:pPr>
      <w:r>
        <w:rPr>
          <w:rFonts w:hint="eastAsia" w:ascii="宋体" w:hAnsi="宋体" w:cs="宋体"/>
          <w:color w:val="auto"/>
          <w:highlight w:val="none"/>
        </w:rPr>
        <w:t>（5）投标人认为应该提供的其他资料；</w:t>
      </w:r>
    </w:p>
    <w:p w14:paraId="28799029">
      <w:pPr>
        <w:spacing w:line="360" w:lineRule="auto"/>
        <w:ind w:firstLine="420" w:firstLineChars="200"/>
        <w:rPr>
          <w:rFonts w:hint="eastAsia" w:ascii="宋体" w:hAnsi="宋体" w:cs="宋体"/>
          <w:strike w:val="0"/>
          <w:dstrike w:val="0"/>
          <w:color w:val="auto"/>
          <w:szCs w:val="21"/>
          <w:highlight w:val="none"/>
        </w:rPr>
      </w:pPr>
      <w:r>
        <w:rPr>
          <w:rFonts w:hint="eastAsia" w:ascii="宋体" w:hAnsi="宋体" w:cs="宋体"/>
          <w:color w:val="auto"/>
          <w:szCs w:val="21"/>
          <w:highlight w:val="none"/>
        </w:rPr>
        <w:t>3.1.6</w:t>
      </w:r>
      <w:r>
        <w:rPr>
          <w:rFonts w:hint="eastAsia" w:ascii="宋体" w:hAnsi="宋体" w:cs="宋体"/>
          <w:strike w:val="0"/>
          <w:dstrike w:val="0"/>
          <w:color w:val="auto"/>
          <w:szCs w:val="21"/>
          <w:highlight w:val="none"/>
        </w:rPr>
        <w:t>定标文件：</w:t>
      </w:r>
    </w:p>
    <w:p w14:paraId="11D0CE50">
      <w:pPr>
        <w:spacing w:line="360" w:lineRule="auto"/>
        <w:ind w:firstLine="420" w:firstLineChars="200"/>
        <w:rPr>
          <w:rFonts w:ascii="宋体" w:hAnsi="宋体" w:cs="宋体"/>
          <w:color w:val="auto"/>
          <w:szCs w:val="21"/>
          <w:highlight w:val="none"/>
        </w:rPr>
      </w:pPr>
      <w:r>
        <w:rPr>
          <w:rFonts w:hint="eastAsia" w:ascii="宋体" w:hAnsi="宋体" w:cs="宋体"/>
          <w:strike w:val="0"/>
          <w:dstrike w:val="0"/>
          <w:color w:val="auto"/>
          <w:szCs w:val="21"/>
          <w:highlight w:val="none"/>
        </w:rPr>
        <w:t>定标</w:t>
      </w:r>
      <w:r>
        <w:rPr>
          <w:rFonts w:hint="eastAsia" w:ascii="宋体" w:hAnsi="宋体" w:cs="宋体"/>
          <w:strike w:val="0"/>
          <w:dstrike w:val="0"/>
          <w:color w:val="auto"/>
          <w:szCs w:val="21"/>
          <w:highlight w:val="none"/>
          <w:lang w:val="en-US" w:eastAsia="zh-CN"/>
        </w:rPr>
        <w:t>因素评审</w:t>
      </w:r>
      <w:r>
        <w:rPr>
          <w:rFonts w:hint="eastAsia" w:ascii="宋体" w:hAnsi="宋体" w:cs="宋体"/>
          <w:strike w:val="0"/>
          <w:dstrike w:val="0"/>
          <w:color w:val="auto"/>
          <w:szCs w:val="21"/>
          <w:highlight w:val="none"/>
        </w:rPr>
        <w:t>以投标文件的</w:t>
      </w:r>
      <w:r>
        <w:rPr>
          <w:rFonts w:hint="eastAsia" w:cs="宋体"/>
          <w:color w:val="auto"/>
          <w:sz w:val="21"/>
          <w:szCs w:val="21"/>
          <w:highlight w:val="none"/>
        </w:rPr>
        <w:t>工程总承包实施及运营管理方案（含资格审查文件）、工程总承包实施及运营管理方案经济投标文件</w:t>
      </w:r>
      <w:r>
        <w:rPr>
          <w:rFonts w:hint="eastAsia" w:cs="宋体"/>
          <w:color w:val="auto"/>
          <w:sz w:val="21"/>
          <w:szCs w:val="21"/>
          <w:highlight w:val="none"/>
          <w:lang w:val="en-US" w:eastAsia="zh-CN"/>
        </w:rPr>
        <w:t>内容</w:t>
      </w:r>
      <w:r>
        <w:rPr>
          <w:rFonts w:hint="eastAsia" w:ascii="宋体" w:hAnsi="宋体" w:cs="宋体"/>
          <w:strike w:val="0"/>
          <w:dstrike w:val="0"/>
          <w:color w:val="auto"/>
          <w:szCs w:val="21"/>
          <w:highlight w:val="none"/>
        </w:rPr>
        <w:t>为准，投标人无须重复提供。</w:t>
      </w:r>
    </w:p>
    <w:p w14:paraId="7C9C60C2">
      <w:pPr>
        <w:pStyle w:val="5"/>
        <w:spacing w:before="0" w:after="0" w:line="360" w:lineRule="auto"/>
        <w:rPr>
          <w:rFonts w:ascii="宋体" w:hAnsi="宋体" w:eastAsia="宋体"/>
          <w:b/>
          <w:bCs/>
          <w:color w:val="auto"/>
          <w:sz w:val="24"/>
          <w:szCs w:val="24"/>
          <w:highlight w:val="none"/>
        </w:rPr>
      </w:pPr>
      <w:bookmarkStart w:id="308" w:name="_Toc25860"/>
      <w:bookmarkStart w:id="309" w:name="_Toc152005914"/>
      <w:r>
        <w:rPr>
          <w:rFonts w:hint="eastAsia" w:ascii="宋体" w:hAnsi="宋体" w:eastAsia="宋体"/>
          <w:b/>
          <w:bCs/>
          <w:color w:val="auto"/>
          <w:sz w:val="24"/>
          <w:szCs w:val="24"/>
          <w:highlight w:val="none"/>
        </w:rPr>
        <w:t>3.2 投标报价</w:t>
      </w:r>
      <w:bookmarkEnd w:id="308"/>
      <w:bookmarkEnd w:id="309"/>
    </w:p>
    <w:p w14:paraId="3FA0C8D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3.2.1 投标人应按第七章“工程量清单”的要求填写相应表格。具体的投标报价方式见投标须知前附表。</w:t>
      </w:r>
    </w:p>
    <w:p w14:paraId="3D4AF304">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 xml:space="preserve">3.2.2 </w:t>
      </w:r>
      <w:r>
        <w:rPr>
          <w:rFonts w:hint="eastAsia" w:ascii="宋体" w:hAnsi="宋体" w:cs="宋体"/>
          <w:color w:val="auto"/>
          <w:szCs w:val="21"/>
          <w:highlight w:val="none"/>
        </w:rPr>
        <w:t>投标人应充分了解施工场地的位置、周边环境、道路、装卸、保管、安装限制以及影响投标报价的其他要素。投标人根据投标设计，结合市场情况进行投标报价。</w:t>
      </w:r>
    </w:p>
    <w:p w14:paraId="1E8041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3.2.3 投标人在投标截止时间前修改投标函中的投标报价总额，应同时修改投标文件“工程量清单”中的相应报价，投标报价总额为各分项金额之和。</w:t>
      </w:r>
    </w:p>
    <w:p w14:paraId="0C3C7A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3.2.4 招标人设有最高投标限价的，投标人的投标报价不得超过最高投标限价，最高投标限价或其计算方法在投标人须知前附表中载明。</w:t>
      </w:r>
    </w:p>
    <w:p w14:paraId="7DA5B6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3.2.5 投标报价的其他要求见投标人须知前附表。</w:t>
      </w:r>
    </w:p>
    <w:p w14:paraId="43ACEE64">
      <w:pPr>
        <w:pStyle w:val="5"/>
        <w:spacing w:before="0" w:after="0" w:line="360" w:lineRule="auto"/>
        <w:ind w:firstLine="351"/>
        <w:rPr>
          <w:rFonts w:ascii="宋体" w:hAnsi="宋体" w:eastAsia="宋体"/>
          <w:b/>
          <w:color w:val="auto"/>
          <w:sz w:val="24"/>
          <w:szCs w:val="24"/>
          <w:highlight w:val="none"/>
        </w:rPr>
      </w:pPr>
      <w:bookmarkStart w:id="310" w:name="_Toc1947"/>
      <w:bookmarkStart w:id="311" w:name="_Toc23237"/>
      <w:bookmarkStart w:id="312" w:name="_Toc20247"/>
      <w:bookmarkStart w:id="313" w:name="_Toc5620316"/>
      <w:bookmarkStart w:id="314" w:name="_Toc152005915"/>
      <w:r>
        <w:rPr>
          <w:rFonts w:hint="eastAsia" w:ascii="宋体" w:hAnsi="宋体" w:eastAsia="宋体"/>
          <w:b/>
          <w:color w:val="auto"/>
          <w:sz w:val="24"/>
          <w:szCs w:val="24"/>
          <w:highlight w:val="none"/>
        </w:rPr>
        <w:t>3.3 投标有效期</w:t>
      </w:r>
      <w:bookmarkEnd w:id="310"/>
      <w:bookmarkEnd w:id="311"/>
      <w:bookmarkEnd w:id="312"/>
      <w:bookmarkEnd w:id="313"/>
      <w:bookmarkEnd w:id="314"/>
    </w:p>
    <w:p w14:paraId="37DBD93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3.3.1</w:t>
      </w:r>
      <w:r>
        <w:rPr>
          <w:rFonts w:hint="eastAsia"/>
          <w:color w:val="auto"/>
          <w:highlight w:val="none"/>
        </w:rPr>
        <w:t>除投标人须知前附表另有规定外，投标有效</w:t>
      </w:r>
      <w:r>
        <w:rPr>
          <w:rFonts w:hint="eastAsia" w:ascii="宋体" w:hAnsi="宋体"/>
          <w:color w:val="auto"/>
          <w:highlight w:val="none"/>
        </w:rPr>
        <w:t>期为120天</w:t>
      </w:r>
      <w:r>
        <w:rPr>
          <w:rFonts w:hint="eastAsia" w:ascii="宋体" w:hAnsi="宋体" w:cs="宋体"/>
          <w:color w:val="auto"/>
          <w:kern w:val="1"/>
          <w:highlight w:val="none"/>
        </w:rPr>
        <w:t>。</w:t>
      </w:r>
    </w:p>
    <w:p w14:paraId="6668E7B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3.3.2 在投标有效期内，投标人撤销或修改其投标文件的，应承担招标文件和法律规定的责任。</w:t>
      </w:r>
    </w:p>
    <w:p w14:paraId="0D66EE3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3.3.3 出现特殊情况需要延长投标有效期的，招标人以书面形式通知所有投标人延长投标有效期。投标人同意延长的，</w:t>
      </w:r>
      <w:r>
        <w:rPr>
          <w:rFonts w:hint="eastAsia" w:ascii="宋体" w:hAnsi="宋体" w:cs="宋体"/>
          <w:strike w:val="0"/>
          <w:color w:val="auto"/>
          <w:kern w:val="1"/>
          <w:szCs w:val="21"/>
          <w:highlight w:val="none"/>
        </w:rPr>
        <w:t>应相应延长其投标保证金的有效期，但不得要求或被允许修改或撤销其投标文件；投标人拒绝延长的，其投标失效，但投标人有权收回其投标保证金。</w:t>
      </w:r>
    </w:p>
    <w:p w14:paraId="6D38EB24">
      <w:pPr>
        <w:pStyle w:val="5"/>
        <w:spacing w:before="0" w:after="0" w:line="360" w:lineRule="auto"/>
        <w:ind w:firstLine="363"/>
        <w:rPr>
          <w:rFonts w:ascii="宋体" w:hAnsi="宋体" w:eastAsia="宋体"/>
          <w:b/>
          <w:color w:val="auto"/>
          <w:sz w:val="24"/>
          <w:szCs w:val="24"/>
          <w:highlight w:val="none"/>
        </w:rPr>
      </w:pPr>
      <w:bookmarkStart w:id="315" w:name="_Toc18133"/>
      <w:bookmarkStart w:id="316" w:name="_Toc6503"/>
      <w:bookmarkStart w:id="317" w:name="_Toc16905"/>
      <w:bookmarkStart w:id="318" w:name="_Toc152005916"/>
      <w:bookmarkStart w:id="319" w:name="_Toc5620317"/>
      <w:r>
        <w:rPr>
          <w:rFonts w:hint="eastAsia" w:ascii="宋体" w:hAnsi="宋体" w:eastAsia="宋体"/>
          <w:b/>
          <w:color w:val="auto"/>
          <w:sz w:val="24"/>
          <w:szCs w:val="24"/>
          <w:highlight w:val="none"/>
        </w:rPr>
        <w:t>3.4 投标保证金</w:t>
      </w:r>
      <w:bookmarkEnd w:id="315"/>
      <w:bookmarkEnd w:id="316"/>
      <w:bookmarkEnd w:id="317"/>
      <w:bookmarkEnd w:id="318"/>
      <w:bookmarkEnd w:id="319"/>
    </w:p>
    <w:p w14:paraId="4954739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3.4.1 投标人在递交投标文件的同时，应按投标人须知前附表规定的金额、形式等规定递交投标保证金，并作为其投标文件的组成部分。联合体投标的，其投标保证金由承担施工任务的单位递交，并应符合投标人须知前附表的规定。</w:t>
      </w:r>
    </w:p>
    <w:p w14:paraId="7490DB0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3.4.2 投标人不按本章第3.4.1项要求提交投标保证金的，评标委员会将否决其投标。</w:t>
      </w:r>
    </w:p>
    <w:p w14:paraId="1E19B9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3.4.3 招标人与中标人签订合同后5日内，向未中标的投标人和中标人退还投标保证金及同期银行存款利息。</w:t>
      </w:r>
    </w:p>
    <w:p w14:paraId="20A11E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3.4.4 有下列情形之一的，投标保证金将不予退还： </w:t>
      </w:r>
    </w:p>
    <w:p w14:paraId="4F722390">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（1）投标人在规定的投标有效期内撤销或修改其投标文件；</w:t>
      </w:r>
    </w:p>
    <w:p w14:paraId="75F43F34">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（2）中标人在收到中标通知书后，无正当理由拒签合同或未按招标文件规定提交履约担保。</w:t>
      </w:r>
    </w:p>
    <w:p w14:paraId="303A97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3.4.5 投标人如存在下列情况之一的，将被拒绝在一定时期内参与招标人后续工程投标（拒绝时限为十二个月）：</w:t>
      </w:r>
    </w:p>
    <w:p w14:paraId="160A105C">
      <w:pPr>
        <w:spacing w:line="360" w:lineRule="auto"/>
        <w:ind w:firstLine="315"/>
        <w:rPr>
          <w:rFonts w:ascii="宋体" w:hAnsi="宋体" w:cs="宋体"/>
          <w:color w:val="auto"/>
          <w:szCs w:val="21"/>
          <w:highlight w:val="none"/>
        </w:rPr>
      </w:pPr>
      <w:r>
        <w:rPr>
          <w:rFonts w:hint="eastAsia" w:ascii="宋体" w:hAnsi="宋体" w:cs="宋体"/>
          <w:color w:val="auto"/>
          <w:szCs w:val="21"/>
          <w:highlight w:val="none"/>
        </w:rPr>
        <w:t>（1）投标人存在3.4.4条款所列情形且投标人提交的保函、担保或保证保险无法兑付的；</w:t>
      </w:r>
    </w:p>
    <w:p w14:paraId="64838BE5">
      <w:pPr>
        <w:tabs>
          <w:tab w:val="left" w:pos="7711"/>
        </w:tabs>
        <w:spacing w:line="360" w:lineRule="auto"/>
        <w:ind w:firstLine="315" w:firstLineChars="150"/>
        <w:rPr>
          <w:rFonts w:ascii="宋体" w:hAnsi="宋体"/>
          <w:color w:val="auto"/>
          <w:highlight w:val="none"/>
          <w:u w:val="single"/>
        </w:rPr>
      </w:pPr>
      <w:r>
        <w:rPr>
          <w:rFonts w:hint="eastAsia" w:ascii="宋体" w:hAnsi="宋体" w:cs="宋体"/>
          <w:color w:val="auto"/>
          <w:szCs w:val="21"/>
          <w:highlight w:val="none"/>
        </w:rPr>
        <w:t>（2）采用非电子形式提交投标保证金的投标人存在3.4.4条款所列情形，且未按招标人要求补交银行保函、专业工程担保公司担保或保证保险原件的。</w:t>
      </w:r>
    </w:p>
    <w:p w14:paraId="1D8D8D60">
      <w:pPr>
        <w:pStyle w:val="5"/>
        <w:spacing w:before="0" w:after="0" w:line="360" w:lineRule="auto"/>
        <w:ind w:firstLine="0"/>
        <w:rPr>
          <w:rFonts w:ascii="宋体" w:hAnsi="宋体" w:eastAsia="宋体"/>
          <w:b/>
          <w:color w:val="auto"/>
          <w:sz w:val="24"/>
          <w:szCs w:val="24"/>
          <w:highlight w:val="none"/>
        </w:rPr>
      </w:pPr>
      <w:bookmarkStart w:id="320" w:name="_Toc32372"/>
      <w:bookmarkStart w:id="321" w:name="_Toc434"/>
      <w:bookmarkStart w:id="322" w:name="_Toc5620318"/>
      <w:bookmarkStart w:id="323" w:name="_Toc18301"/>
      <w:bookmarkStart w:id="324" w:name="_Toc152005917"/>
      <w:r>
        <w:rPr>
          <w:rFonts w:hint="eastAsia" w:ascii="宋体" w:hAnsi="宋体" w:eastAsia="宋体"/>
          <w:b/>
          <w:color w:val="auto"/>
          <w:sz w:val="24"/>
          <w:szCs w:val="24"/>
          <w:highlight w:val="none"/>
        </w:rPr>
        <w:t>3.5 资格审查</w:t>
      </w:r>
      <w:bookmarkEnd w:id="320"/>
      <w:bookmarkEnd w:id="321"/>
      <w:bookmarkEnd w:id="322"/>
      <w:r>
        <w:rPr>
          <w:rFonts w:hint="eastAsia" w:ascii="宋体" w:hAnsi="宋体" w:eastAsia="宋体"/>
          <w:b/>
          <w:color w:val="auto"/>
          <w:sz w:val="24"/>
          <w:szCs w:val="24"/>
          <w:highlight w:val="none"/>
        </w:rPr>
        <w:t>资料（适用于未进行资格预审的）</w:t>
      </w:r>
      <w:bookmarkEnd w:id="323"/>
      <w:bookmarkEnd w:id="324"/>
    </w:p>
    <w:p w14:paraId="6AF15D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3.5.1本项目采用电子化资格后审，由评标委员会负责对投标人的资格进行审查，评标时只对通过资格审查的投标人进行下一阶段的评审。</w:t>
      </w:r>
    </w:p>
    <w:p w14:paraId="0A91C6FE">
      <w:pPr>
        <w:spacing w:line="360" w:lineRule="auto"/>
        <w:ind w:firstLine="422" w:firstLineChars="200"/>
        <w:rPr>
          <w:rFonts w:ascii="宋体" w:hAnsi="宋体"/>
          <w:color w:val="auto"/>
          <w:highlight w:val="none"/>
        </w:rPr>
      </w:pPr>
      <w:r>
        <w:rPr>
          <w:rFonts w:hint="eastAsia" w:ascii="宋体" w:hAnsi="宋体" w:cs="宋体"/>
          <w:b/>
          <w:bCs/>
          <w:color w:val="auto"/>
          <w:szCs w:val="21"/>
          <w:highlight w:val="none"/>
          <w:u w:val="single"/>
        </w:rPr>
        <w:t>资审合格后，投标人的资格发生变化而不满足投标人合格条件，在发出中标通知书前，资格问题仍未解决的，招标人将取消其中标资格。</w:t>
      </w:r>
    </w:p>
    <w:p w14:paraId="200E9A36">
      <w:pPr>
        <w:pStyle w:val="5"/>
        <w:spacing w:before="0" w:after="0" w:line="360" w:lineRule="auto"/>
        <w:ind w:firstLine="0"/>
        <w:rPr>
          <w:rFonts w:ascii="宋体" w:hAnsi="宋体" w:eastAsia="宋体"/>
          <w:b/>
          <w:color w:val="auto"/>
          <w:sz w:val="24"/>
          <w:szCs w:val="24"/>
          <w:highlight w:val="none"/>
        </w:rPr>
      </w:pPr>
      <w:bookmarkStart w:id="325" w:name="_Toc9278"/>
      <w:bookmarkStart w:id="326" w:name="_Toc5620319"/>
      <w:bookmarkStart w:id="327" w:name="_Toc21199"/>
      <w:bookmarkStart w:id="328" w:name="_Toc152005918"/>
      <w:bookmarkStart w:id="329" w:name="_Toc25143"/>
      <w:r>
        <w:rPr>
          <w:rFonts w:hint="eastAsia" w:ascii="宋体" w:hAnsi="宋体" w:eastAsia="宋体"/>
          <w:b/>
          <w:color w:val="auto"/>
          <w:sz w:val="24"/>
          <w:szCs w:val="24"/>
          <w:highlight w:val="none"/>
        </w:rPr>
        <w:t>3.6 备选投标方案</w:t>
      </w:r>
      <w:bookmarkEnd w:id="325"/>
      <w:bookmarkEnd w:id="326"/>
      <w:bookmarkEnd w:id="327"/>
      <w:bookmarkEnd w:id="328"/>
      <w:bookmarkEnd w:id="329"/>
    </w:p>
    <w:p w14:paraId="35417BC5">
      <w:pPr>
        <w:spacing w:line="360" w:lineRule="auto"/>
        <w:ind w:firstLine="420"/>
        <w:rPr>
          <w:rFonts w:ascii="宋体" w:hAnsi="宋体" w:cs="宋体"/>
          <w:color w:val="auto"/>
          <w:kern w:val="1"/>
          <w:szCs w:val="21"/>
          <w:highlight w:val="none"/>
        </w:rPr>
      </w:pPr>
      <w:r>
        <w:rPr>
          <w:rFonts w:hint="eastAsia" w:ascii="宋体" w:hAnsi="宋体" w:cs="宋体"/>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3024356B">
      <w:pPr>
        <w:pStyle w:val="5"/>
        <w:spacing w:before="0" w:after="0" w:line="360" w:lineRule="auto"/>
        <w:ind w:firstLine="0"/>
        <w:rPr>
          <w:rFonts w:ascii="宋体" w:hAnsi="宋体" w:eastAsia="宋体"/>
          <w:b/>
          <w:color w:val="auto"/>
          <w:sz w:val="24"/>
          <w:szCs w:val="24"/>
          <w:highlight w:val="none"/>
        </w:rPr>
      </w:pPr>
      <w:bookmarkStart w:id="330" w:name="_Toc5620320"/>
      <w:bookmarkStart w:id="331" w:name="_Toc14918"/>
      <w:bookmarkStart w:id="332" w:name="_Toc4446"/>
      <w:bookmarkStart w:id="333" w:name="_Toc152005919"/>
      <w:bookmarkStart w:id="334" w:name="_Toc22622"/>
      <w:r>
        <w:rPr>
          <w:rFonts w:hint="eastAsia" w:ascii="宋体" w:hAnsi="宋体" w:eastAsia="宋体"/>
          <w:b/>
          <w:color w:val="auto"/>
          <w:sz w:val="24"/>
          <w:szCs w:val="24"/>
          <w:highlight w:val="none"/>
        </w:rPr>
        <w:t>3.7 投标文件的编制</w:t>
      </w:r>
      <w:bookmarkEnd w:id="330"/>
      <w:bookmarkEnd w:id="331"/>
      <w:bookmarkEnd w:id="332"/>
      <w:bookmarkEnd w:id="333"/>
      <w:bookmarkEnd w:id="334"/>
    </w:p>
    <w:p w14:paraId="6ABFFE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3.7.1 投标文件应按第八章“投标文件格式”进行编写，如有必要，可以增加附页，作为投标文件的组成部分。在满足招标文件实质性要求的基础上，可以提出比招标文件要求更有利于招标人的承诺。</w:t>
      </w:r>
    </w:p>
    <w:p w14:paraId="4F235D38">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3.7.2 投标文件应当对招标文件有关</w:t>
      </w:r>
      <w:r>
        <w:rPr>
          <w:rFonts w:hint="eastAsia" w:ascii="宋体" w:hAnsi="宋体" w:cs="宋体"/>
          <w:color w:val="auto"/>
          <w:szCs w:val="21"/>
          <w:highlight w:val="none"/>
        </w:rPr>
        <w:t>招标范围、投标有效期、工期、质量标准、发包人要求等实质性内容作出响应。</w:t>
      </w:r>
    </w:p>
    <w:p w14:paraId="04D51DDE">
      <w:pPr>
        <w:spacing w:line="360" w:lineRule="auto"/>
        <w:ind w:firstLine="422"/>
        <w:rPr>
          <w:rFonts w:ascii="宋体" w:hAnsi="宋体" w:cs="宋体"/>
          <w:color w:val="auto"/>
          <w:kern w:val="1"/>
          <w:szCs w:val="21"/>
          <w:highlight w:val="none"/>
        </w:rPr>
      </w:pPr>
      <w:r>
        <w:rPr>
          <w:rFonts w:hint="eastAsia" w:ascii="宋体" w:hAnsi="宋体" w:cs="宋体"/>
          <w:color w:val="auto"/>
          <w:kern w:val="1"/>
          <w:szCs w:val="21"/>
          <w:highlight w:val="none"/>
        </w:rPr>
        <w:t xml:space="preserve">3.7.3 </w:t>
      </w:r>
      <w:bookmarkStart w:id="335" w:name="_Toc443505826"/>
      <w:bookmarkEnd w:id="335"/>
      <w:bookmarkStart w:id="336" w:name="_Toc8024"/>
      <w:bookmarkEnd w:id="336"/>
      <w:bookmarkStart w:id="337" w:name="_Toc3979"/>
      <w:bookmarkEnd w:id="337"/>
      <w:bookmarkStart w:id="338" w:name="_Toc5620321"/>
      <w:bookmarkStart w:id="339" w:name="_Toc152005920"/>
      <w:bookmarkStart w:id="340" w:name="_Toc8557"/>
      <w:bookmarkStart w:id="341" w:name="_Toc8504"/>
      <w:r>
        <w:rPr>
          <w:rFonts w:hint="eastAsia" w:ascii="宋体" w:hAnsi="宋体" w:cs="宋体"/>
          <w:color w:val="auto"/>
          <w:kern w:val="1"/>
          <w:szCs w:val="21"/>
          <w:highlight w:val="none"/>
        </w:rPr>
        <w:t>签字或盖章要求</w:t>
      </w:r>
    </w:p>
    <w:p w14:paraId="4C8AD50C">
      <w:pPr>
        <w:spacing w:line="360" w:lineRule="auto"/>
        <w:ind w:firstLine="422"/>
        <w:rPr>
          <w:rFonts w:ascii="宋体" w:hAnsi="宋体" w:cs="宋体"/>
          <w:color w:val="auto"/>
          <w:kern w:val="1"/>
          <w:szCs w:val="21"/>
          <w:highlight w:val="none"/>
          <w:u w:val="single"/>
        </w:rPr>
      </w:pPr>
      <w:r>
        <w:rPr>
          <w:rFonts w:hint="eastAsia" w:ascii="宋体" w:hAnsi="宋体" w:cs="宋体"/>
          <w:color w:val="auto"/>
          <w:kern w:val="1"/>
          <w:szCs w:val="21"/>
          <w:highlight w:val="none"/>
        </w:rPr>
        <w:t>3.7.3</w:t>
      </w:r>
      <w:r>
        <w:rPr>
          <w:rFonts w:ascii="宋体" w:hAnsi="宋体" w:cs="宋体"/>
          <w:color w:val="auto"/>
          <w:kern w:val="1"/>
          <w:szCs w:val="21"/>
          <w:highlight w:val="none"/>
        </w:rPr>
        <w:t>.1</w:t>
      </w:r>
      <w:r>
        <w:rPr>
          <w:rFonts w:hint="eastAsia" w:ascii="宋体" w:hAnsi="宋体" w:cs="宋体"/>
          <w:color w:val="auto"/>
          <w:kern w:val="1"/>
          <w:szCs w:val="21"/>
          <w:highlight w:val="none"/>
          <w:u w:val="single"/>
        </w:rPr>
        <w:t>所有其他投标文件的所有证书证件、证明文件及招标文件所附格式要求盖章处需加盖电子印章，在招标文件所附格式规定签名位置，法定代表人或其授权代表应加盖个人电子印章或在线下完成后扫描上传，其余可不加盖电子印章或签名；</w:t>
      </w:r>
    </w:p>
    <w:p w14:paraId="1A4E3C86">
      <w:pPr>
        <w:spacing w:line="360" w:lineRule="auto"/>
        <w:ind w:firstLine="422"/>
        <w:rPr>
          <w:rFonts w:ascii="宋体" w:hAnsi="宋体" w:cs="宋体"/>
          <w:color w:val="auto"/>
          <w:kern w:val="1"/>
          <w:szCs w:val="21"/>
          <w:highlight w:val="none"/>
          <w:u w:val="single"/>
        </w:rPr>
      </w:pPr>
      <w:r>
        <w:rPr>
          <w:rFonts w:hint="eastAsia" w:ascii="宋体" w:hAnsi="宋体" w:cs="宋体"/>
          <w:color w:val="auto"/>
          <w:kern w:val="1"/>
          <w:szCs w:val="21"/>
          <w:highlight w:val="none"/>
        </w:rPr>
        <w:t>3.7.3</w:t>
      </w:r>
      <w:r>
        <w:rPr>
          <w:rFonts w:ascii="宋体" w:hAnsi="宋体" w:cs="宋体"/>
          <w:color w:val="auto"/>
          <w:kern w:val="1"/>
          <w:szCs w:val="21"/>
          <w:highlight w:val="none"/>
        </w:rPr>
        <w:t>.2</w:t>
      </w:r>
      <w:r>
        <w:rPr>
          <w:rFonts w:hint="eastAsia" w:ascii="宋体" w:hAnsi="宋体" w:cs="宋体"/>
          <w:color w:val="auto"/>
          <w:kern w:val="1"/>
          <w:szCs w:val="21"/>
          <w:highlight w:val="none"/>
          <w:u w:val="single"/>
        </w:rPr>
        <w:t>联合体投标的，除《联合体共同投标协议书》格式必须要联合体各方按要求进行签字及盖章（具体以格式内的盖章及签字要求为准）外，其余须投标人盖章或签字的由联合体牵头单位签字、盖章即可。</w:t>
      </w:r>
    </w:p>
    <w:p w14:paraId="4AC51511">
      <w:pPr>
        <w:spacing w:line="360" w:lineRule="auto"/>
        <w:ind w:firstLine="422"/>
        <w:rPr>
          <w:rFonts w:ascii="宋体" w:hAnsi="宋体" w:cs="宋体"/>
          <w:color w:val="auto"/>
          <w:kern w:val="1"/>
          <w:szCs w:val="21"/>
          <w:highlight w:val="none"/>
          <w:u w:val="single"/>
        </w:rPr>
      </w:pPr>
      <w:r>
        <w:rPr>
          <w:rFonts w:hint="eastAsia" w:ascii="宋体" w:hAnsi="宋体" w:cs="宋体"/>
          <w:color w:val="auto"/>
          <w:kern w:val="1"/>
          <w:szCs w:val="21"/>
          <w:highlight w:val="none"/>
        </w:rPr>
        <w:t>3.7.3</w:t>
      </w:r>
      <w:r>
        <w:rPr>
          <w:rFonts w:ascii="宋体" w:hAnsi="宋体" w:cs="宋体"/>
          <w:color w:val="auto"/>
          <w:kern w:val="1"/>
          <w:szCs w:val="21"/>
          <w:highlight w:val="none"/>
        </w:rPr>
        <w:t>.3</w:t>
      </w:r>
      <w:r>
        <w:rPr>
          <w:rFonts w:hint="eastAsia" w:ascii="宋体" w:hAnsi="宋体" w:cs="宋体"/>
          <w:color w:val="auto"/>
          <w:kern w:val="1"/>
          <w:szCs w:val="21"/>
          <w:highlight w:val="none"/>
          <w:u w:val="single"/>
        </w:rPr>
        <w:t>联合体投标的，除《联合体共同投标协议书》格式外，投标文件封面及其他内容格式落款中的“投标人”应填写联合体各方的单位全称【格式为：(主)XXXX公司(成)XXXX公</w:t>
      </w:r>
      <w:r>
        <w:rPr>
          <w:rFonts w:hint="eastAsia" w:ascii="宋体" w:hAnsi="宋体" w:cs="宋体"/>
          <w:color w:val="auto"/>
          <w:kern w:val="1"/>
          <w:szCs w:val="21"/>
          <w:highlight w:val="none"/>
          <w:u w:val="single"/>
          <w:lang w:val="en-US" w:eastAsia="zh-CN"/>
        </w:rPr>
        <w:t>司</w:t>
      </w:r>
      <w:r>
        <w:rPr>
          <w:rFonts w:hint="eastAsia" w:ascii="宋体" w:hAnsi="宋体" w:cs="宋体"/>
          <w:color w:val="auto"/>
          <w:kern w:val="1"/>
          <w:szCs w:val="21"/>
          <w:highlight w:val="none"/>
          <w:u w:val="single"/>
        </w:rPr>
        <w:t>(成)XXXX公</w:t>
      </w:r>
      <w:r>
        <w:rPr>
          <w:rFonts w:hint="eastAsia" w:ascii="宋体" w:hAnsi="宋体" w:cs="宋体"/>
          <w:color w:val="auto"/>
          <w:kern w:val="1"/>
          <w:szCs w:val="21"/>
          <w:highlight w:val="none"/>
          <w:u w:val="single"/>
          <w:lang w:val="en-US" w:eastAsia="zh-CN"/>
        </w:rPr>
        <w:t>司</w:t>
      </w:r>
      <w:r>
        <w:rPr>
          <w:rFonts w:hint="eastAsia" w:ascii="宋体" w:hAnsi="宋体" w:cs="宋体"/>
          <w:color w:val="auto"/>
          <w:kern w:val="1"/>
          <w:szCs w:val="21"/>
          <w:highlight w:val="none"/>
          <w:u w:val="single"/>
        </w:rPr>
        <w:t>……】。</w:t>
      </w:r>
    </w:p>
    <w:p w14:paraId="2D8E9A6F">
      <w:pPr>
        <w:pStyle w:val="4"/>
        <w:spacing w:line="360" w:lineRule="auto"/>
        <w:rPr>
          <w:rFonts w:ascii="宋体" w:hAnsi="宋体" w:eastAsia="宋体" w:cs="宋体"/>
          <w:color w:val="auto"/>
          <w:highlight w:val="none"/>
          <w:lang w:val="zh-CN"/>
        </w:rPr>
      </w:pPr>
      <w:bookmarkStart w:id="342" w:name="_Toc13270"/>
      <w:r>
        <w:rPr>
          <w:rFonts w:hint="eastAsia" w:ascii="宋体" w:hAnsi="宋体" w:eastAsia="宋体" w:cs="宋体"/>
          <w:color w:val="auto"/>
          <w:highlight w:val="none"/>
          <w:lang w:val="zh-CN"/>
        </w:rPr>
        <w:t>4. 投标</w:t>
      </w:r>
      <w:bookmarkEnd w:id="338"/>
      <w:bookmarkEnd w:id="339"/>
      <w:bookmarkEnd w:id="340"/>
      <w:bookmarkEnd w:id="341"/>
      <w:bookmarkEnd w:id="342"/>
    </w:p>
    <w:p w14:paraId="7454BE3C">
      <w:pPr>
        <w:pStyle w:val="5"/>
        <w:spacing w:line="360" w:lineRule="auto"/>
        <w:ind w:firstLine="118"/>
        <w:rPr>
          <w:rFonts w:ascii="宋体" w:hAnsi="宋体" w:eastAsia="宋体"/>
          <w:b/>
          <w:bCs/>
          <w:color w:val="auto"/>
          <w:sz w:val="24"/>
          <w:szCs w:val="24"/>
          <w:highlight w:val="none"/>
        </w:rPr>
      </w:pPr>
      <w:bookmarkStart w:id="343" w:name="_Toc357089537"/>
      <w:bookmarkEnd w:id="343"/>
      <w:bookmarkStart w:id="344" w:name="_Toc362816506"/>
      <w:bookmarkEnd w:id="344"/>
      <w:bookmarkStart w:id="345" w:name="_Toc11195"/>
      <w:bookmarkStart w:id="346" w:name="_Toc4767"/>
      <w:bookmarkStart w:id="347" w:name="_Toc152005921"/>
      <w:bookmarkStart w:id="348" w:name="_Toc21485"/>
      <w:bookmarkStart w:id="349" w:name="_Toc5620322"/>
      <w:r>
        <w:rPr>
          <w:rFonts w:hint="eastAsia" w:ascii="宋体" w:hAnsi="宋体" w:eastAsia="宋体"/>
          <w:b/>
          <w:bCs/>
          <w:color w:val="auto"/>
          <w:sz w:val="24"/>
          <w:szCs w:val="24"/>
          <w:highlight w:val="none"/>
        </w:rPr>
        <w:t>4.1 投标文件的密封和标记</w:t>
      </w:r>
      <w:bookmarkEnd w:id="345"/>
      <w:bookmarkEnd w:id="346"/>
      <w:bookmarkEnd w:id="347"/>
      <w:bookmarkEnd w:id="348"/>
      <w:bookmarkEnd w:id="349"/>
    </w:p>
    <w:p w14:paraId="071E66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 投标人应当按照招标文件和广州交易集团有限公司（广州公共资源交易中心）交易平台的要求加密投标文件，具体操作详见广州交易集团有限公司（广州公共资源交易中心）交易平台相关服务指南。</w:t>
      </w:r>
    </w:p>
    <w:p w14:paraId="5B1858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 未按本章第4.1.1项要求加密的投标文件，广州交易集团有限公司（广州公共资源交易中心）交易平台将予以拒收。</w:t>
      </w:r>
    </w:p>
    <w:p w14:paraId="500174E8">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4.1.3 如有提交备用电子投标文件，封套上应写明的内容见投标人须知前附表。</w:t>
      </w:r>
    </w:p>
    <w:p w14:paraId="3DB38BDB">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4.1.4投标人在投标截止期后逾期或未在指定地点递交备用电子投标文件的，或投标人递交的备用电子投标文件未按招标文件要求密封或未在密封处盖章的，或投标人代表未凭法定代表人证明书原件、授权委托书原件（仅限于非法定代表人）、本人身份证原件按要求递交备用电子投标文件的，招标人将予以拒收。</w:t>
      </w:r>
    </w:p>
    <w:p w14:paraId="5125B9B8">
      <w:pPr>
        <w:pStyle w:val="5"/>
        <w:spacing w:line="360" w:lineRule="auto"/>
        <w:ind w:firstLine="118"/>
        <w:rPr>
          <w:rFonts w:ascii="宋体" w:hAnsi="宋体" w:eastAsia="宋体"/>
          <w:b/>
          <w:bCs/>
          <w:color w:val="auto"/>
          <w:sz w:val="24"/>
          <w:szCs w:val="24"/>
          <w:highlight w:val="none"/>
        </w:rPr>
      </w:pPr>
      <w:bookmarkStart w:id="350" w:name="_Toc25029"/>
      <w:bookmarkStart w:id="351" w:name="_Toc152005922"/>
      <w:bookmarkStart w:id="352" w:name="_Toc17492"/>
      <w:bookmarkStart w:id="353" w:name="_Toc7472"/>
      <w:bookmarkStart w:id="354" w:name="_Toc5620323"/>
      <w:r>
        <w:rPr>
          <w:rFonts w:hint="eastAsia" w:ascii="宋体" w:hAnsi="宋体" w:eastAsia="宋体"/>
          <w:b/>
          <w:bCs/>
          <w:color w:val="auto"/>
          <w:sz w:val="24"/>
          <w:szCs w:val="24"/>
          <w:highlight w:val="none"/>
        </w:rPr>
        <w:t xml:space="preserve">4.2 </w:t>
      </w:r>
      <w:r>
        <w:rPr>
          <w:rFonts w:hint="eastAsia" w:ascii="宋体" w:hAnsi="宋体" w:eastAsia="宋体"/>
          <w:b/>
          <w:bCs/>
          <w:color w:val="auto"/>
          <w:sz w:val="24"/>
          <w:szCs w:val="24"/>
          <w:highlight w:val="none"/>
          <w:u w:val="single"/>
        </w:rPr>
        <w:t>投标文件的递交、接收、封存</w:t>
      </w:r>
      <w:bookmarkEnd w:id="350"/>
      <w:bookmarkEnd w:id="351"/>
      <w:bookmarkEnd w:id="352"/>
      <w:bookmarkEnd w:id="353"/>
      <w:bookmarkEnd w:id="354"/>
    </w:p>
    <w:p w14:paraId="0E74CBC7">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4.2.1投标人通过广州交易集团有限公司（广州公共资源交易中心）交易平台递交电子投标文件。</w:t>
      </w:r>
    </w:p>
    <w:p w14:paraId="7687E403">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4.2.2投标人完成电子投标文件上传后，广州交易集团有限公司（广州公共资源交易中心）交易平台即时向投标人发出递交回执通知。递交时间以递交回执通知载明的传输完成时间为准。</w:t>
      </w:r>
    </w:p>
    <w:p w14:paraId="57481D1A">
      <w:pPr>
        <w:spacing w:line="360" w:lineRule="auto"/>
        <w:ind w:firstLine="420" w:firstLineChars="200"/>
        <w:rPr>
          <w:rFonts w:ascii="宋体" w:hAnsi="宋体" w:cs="宋体"/>
          <w:color w:val="auto"/>
          <w:kern w:val="1"/>
          <w:highlight w:val="none"/>
          <w:u w:val="single"/>
        </w:rPr>
      </w:pPr>
      <w:r>
        <w:rPr>
          <w:rFonts w:hint="eastAsia" w:ascii="宋体" w:hAnsi="宋体" w:cs="宋体"/>
          <w:color w:val="auto"/>
          <w:kern w:val="1"/>
          <w:highlight w:val="none"/>
          <w:u w:val="single"/>
        </w:rPr>
        <w:t>4.2.3逾期送达的电子投标文件，广州交易集团有限公司（广州公共资源交易中心）交易平台将予以拒收。</w:t>
      </w:r>
    </w:p>
    <w:p w14:paraId="7618AAE6">
      <w:pPr>
        <w:spacing w:line="360" w:lineRule="auto"/>
        <w:ind w:firstLine="420"/>
        <w:rPr>
          <w:rFonts w:ascii="宋体" w:hAnsi="宋体" w:cs="宋体"/>
          <w:color w:val="auto"/>
          <w:kern w:val="1"/>
          <w:highlight w:val="none"/>
        </w:rPr>
      </w:pPr>
      <w:r>
        <w:rPr>
          <w:rFonts w:hint="eastAsia" w:ascii="宋体" w:hAnsi="宋体" w:cs="宋体"/>
          <w:color w:val="auto"/>
          <w:kern w:val="1"/>
          <w:szCs w:val="24"/>
          <w:highlight w:val="none"/>
          <w:u w:val="single"/>
        </w:rPr>
        <w:t>4.2.4到投标截止时间止，若电子招标投标交易平台收到的投标文件少于3家的，本项目招标失败，将依法重新招标。</w:t>
      </w:r>
    </w:p>
    <w:p w14:paraId="6251831B">
      <w:pPr>
        <w:pStyle w:val="5"/>
        <w:spacing w:line="360" w:lineRule="auto"/>
        <w:ind w:firstLine="118"/>
        <w:rPr>
          <w:rFonts w:ascii="宋体" w:hAnsi="宋体" w:eastAsia="宋体"/>
          <w:b/>
          <w:bCs/>
          <w:color w:val="auto"/>
          <w:sz w:val="24"/>
          <w:szCs w:val="24"/>
          <w:highlight w:val="none"/>
        </w:rPr>
      </w:pPr>
      <w:bookmarkStart w:id="355" w:name="_Toc357089539"/>
      <w:bookmarkEnd w:id="355"/>
      <w:bookmarkStart w:id="356" w:name="_Toc362816508"/>
      <w:bookmarkEnd w:id="356"/>
      <w:bookmarkStart w:id="357" w:name="_Toc2050"/>
      <w:bookmarkStart w:id="358" w:name="_Toc23597"/>
      <w:bookmarkStart w:id="359" w:name="_Toc17582"/>
      <w:bookmarkStart w:id="360" w:name="_Toc152005923"/>
      <w:bookmarkStart w:id="361" w:name="_Toc5620324"/>
      <w:r>
        <w:rPr>
          <w:rFonts w:hint="eastAsia" w:ascii="宋体" w:hAnsi="宋体" w:eastAsia="宋体"/>
          <w:b/>
          <w:bCs/>
          <w:color w:val="auto"/>
          <w:sz w:val="24"/>
          <w:szCs w:val="24"/>
          <w:highlight w:val="none"/>
        </w:rPr>
        <w:t>4.3 投标文件的修改与撤回</w:t>
      </w:r>
      <w:bookmarkEnd w:id="357"/>
      <w:bookmarkEnd w:id="358"/>
      <w:bookmarkEnd w:id="359"/>
      <w:bookmarkEnd w:id="360"/>
      <w:bookmarkEnd w:id="361"/>
    </w:p>
    <w:p w14:paraId="4FFBCD45">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4.3.1 在规定的投标截止时间前，投标人可以修改或撤回已递交的投标文件，但应以书面形式通知招标人。</w:t>
      </w:r>
    </w:p>
    <w:p w14:paraId="02673AD6">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4.3.2 投标人修改或撤回已递交的投标文件，需在广州交易集团有限公司（广州公共资源交易中心）交易平台发出修改或撤回通知，并按要求加盖电子印章。广州交易集团有限公司（广州公共资源交易中心）交易平台收到通知后，即时向投标人发出确认回执通知。</w:t>
      </w:r>
    </w:p>
    <w:p w14:paraId="0947152E">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4.3.3 修改后再次递交的，按4.2点的规定执行。</w:t>
      </w:r>
    </w:p>
    <w:p w14:paraId="1A9EDA2C">
      <w:pPr>
        <w:spacing w:line="360" w:lineRule="auto"/>
        <w:ind w:firstLine="420"/>
        <w:rPr>
          <w:rFonts w:ascii="宋体" w:hAnsi="宋体" w:cs="宋体"/>
          <w:color w:val="auto"/>
          <w:kern w:val="1"/>
          <w:highlight w:val="none"/>
        </w:rPr>
      </w:pPr>
      <w:r>
        <w:rPr>
          <w:rFonts w:hint="eastAsia" w:ascii="宋体" w:hAnsi="宋体" w:cs="宋体"/>
          <w:color w:val="auto"/>
          <w:kern w:val="1"/>
          <w:highlight w:val="none"/>
          <w:u w:val="single"/>
        </w:rPr>
        <w:t>4.3.4 在投标截止时间之后，投标人不得补充、修改和更换投标文件。</w:t>
      </w:r>
    </w:p>
    <w:p w14:paraId="73C77799">
      <w:pPr>
        <w:pStyle w:val="4"/>
        <w:spacing w:before="240" w:beforeLines="100" w:after="240" w:afterLines="100" w:line="360" w:lineRule="auto"/>
        <w:rPr>
          <w:rFonts w:ascii="宋体" w:hAnsi="宋体" w:eastAsia="宋体" w:cs="宋体"/>
          <w:color w:val="auto"/>
          <w:highlight w:val="none"/>
          <w:lang w:val="zh-CN"/>
        </w:rPr>
      </w:pPr>
      <w:bookmarkStart w:id="362" w:name="_Toc16809"/>
      <w:bookmarkEnd w:id="362"/>
      <w:bookmarkStart w:id="363" w:name="_Toc443505828"/>
      <w:bookmarkEnd w:id="363"/>
      <w:bookmarkStart w:id="364" w:name="_Toc7909"/>
      <w:bookmarkEnd w:id="364"/>
      <w:bookmarkStart w:id="365" w:name="_Toc6058"/>
      <w:bookmarkStart w:id="366" w:name="_Toc3600"/>
      <w:bookmarkStart w:id="367" w:name="_Toc5927"/>
      <w:bookmarkStart w:id="368" w:name="_Toc152005924"/>
      <w:r>
        <w:rPr>
          <w:rFonts w:hint="eastAsia" w:ascii="宋体" w:hAnsi="宋体" w:eastAsia="宋体" w:cs="宋体"/>
          <w:color w:val="auto"/>
          <w:highlight w:val="none"/>
          <w:lang w:val="zh-CN"/>
        </w:rPr>
        <w:t>5. 开标</w:t>
      </w:r>
      <w:bookmarkEnd w:id="365"/>
      <w:bookmarkEnd w:id="366"/>
      <w:bookmarkEnd w:id="367"/>
      <w:bookmarkEnd w:id="368"/>
    </w:p>
    <w:p w14:paraId="7FF11126">
      <w:pPr>
        <w:pStyle w:val="5"/>
        <w:spacing w:line="360" w:lineRule="auto"/>
        <w:ind w:firstLine="118"/>
        <w:rPr>
          <w:rFonts w:ascii="宋体" w:hAnsi="宋体" w:eastAsia="宋体"/>
          <w:b/>
          <w:bCs/>
          <w:color w:val="auto"/>
          <w:sz w:val="24"/>
          <w:szCs w:val="24"/>
          <w:highlight w:val="none"/>
        </w:rPr>
      </w:pPr>
      <w:bookmarkStart w:id="369" w:name="_Toc21830"/>
      <w:bookmarkStart w:id="370" w:name="_Toc10326"/>
      <w:bookmarkStart w:id="371" w:name="_Toc152005925"/>
      <w:bookmarkStart w:id="372" w:name="_Toc26952"/>
      <w:r>
        <w:rPr>
          <w:rFonts w:hint="eastAsia" w:ascii="宋体" w:hAnsi="宋体" w:eastAsia="宋体"/>
          <w:b/>
          <w:bCs/>
          <w:color w:val="auto"/>
          <w:sz w:val="24"/>
          <w:szCs w:val="24"/>
          <w:highlight w:val="none"/>
        </w:rPr>
        <w:t>5.1 开标时间和地点</w:t>
      </w:r>
      <w:bookmarkEnd w:id="369"/>
      <w:bookmarkEnd w:id="370"/>
      <w:bookmarkEnd w:id="371"/>
      <w:bookmarkEnd w:id="372"/>
    </w:p>
    <w:p w14:paraId="5FF71E83">
      <w:pPr>
        <w:spacing w:line="360" w:lineRule="auto"/>
        <w:ind w:firstLine="420"/>
        <w:rPr>
          <w:rFonts w:ascii="宋体" w:hAnsi="宋体" w:cs="宋体"/>
          <w:color w:val="auto"/>
          <w:kern w:val="1"/>
          <w:highlight w:val="none"/>
        </w:rPr>
      </w:pPr>
      <w:r>
        <w:rPr>
          <w:rFonts w:hint="eastAsia" w:ascii="宋体" w:hAnsi="宋体" w:cs="宋体"/>
          <w:color w:val="auto"/>
          <w:highlight w:val="none"/>
        </w:rPr>
        <w:t>招标人在本章第2.2.2项规定的投标截止时间（开标时间）和投标人须知前附表规定的地点公开开标，并邀请所有投标人的法定代表人或其委托代理人准时参加。</w:t>
      </w:r>
    </w:p>
    <w:p w14:paraId="02FFA140">
      <w:pPr>
        <w:pStyle w:val="5"/>
        <w:spacing w:line="360" w:lineRule="auto"/>
        <w:ind w:firstLine="118"/>
        <w:rPr>
          <w:rFonts w:ascii="宋体" w:hAnsi="宋体" w:eastAsia="宋体"/>
          <w:b/>
          <w:bCs/>
          <w:color w:val="auto"/>
          <w:sz w:val="24"/>
          <w:szCs w:val="24"/>
          <w:highlight w:val="none"/>
        </w:rPr>
      </w:pPr>
      <w:bookmarkStart w:id="373" w:name="_Toc7069"/>
      <w:bookmarkStart w:id="374" w:name="_Toc4452"/>
      <w:bookmarkStart w:id="375" w:name="_Toc152005926"/>
      <w:r>
        <w:rPr>
          <w:rFonts w:hint="eastAsia" w:ascii="宋体" w:hAnsi="宋体" w:eastAsia="宋体"/>
          <w:b/>
          <w:bCs/>
          <w:color w:val="auto"/>
          <w:sz w:val="24"/>
          <w:szCs w:val="24"/>
          <w:highlight w:val="none"/>
        </w:rPr>
        <w:t>5.2 开标程序</w:t>
      </w:r>
      <w:bookmarkEnd w:id="373"/>
      <w:bookmarkEnd w:id="374"/>
      <w:bookmarkEnd w:id="375"/>
    </w:p>
    <w:p w14:paraId="5E3BFB5D">
      <w:pPr>
        <w:spacing w:line="360" w:lineRule="auto"/>
        <w:ind w:firstLine="420" w:firstLineChars="200"/>
        <w:rPr>
          <w:rFonts w:ascii="宋体" w:hAnsi="宋体" w:cs="宋体"/>
          <w:color w:val="auto"/>
          <w:kern w:val="1"/>
          <w:szCs w:val="21"/>
          <w:highlight w:val="none"/>
        </w:rPr>
      </w:pPr>
      <w:r>
        <w:rPr>
          <w:rFonts w:hint="eastAsia" w:ascii="宋体" w:hAnsi="宋体" w:cs="宋体"/>
          <w:color w:val="auto"/>
          <w:kern w:val="1"/>
          <w:szCs w:val="21"/>
          <w:highlight w:val="none"/>
        </w:rPr>
        <w:t>5.2.1主持人按下列程序进行开标：</w:t>
      </w:r>
    </w:p>
    <w:p w14:paraId="36F3EB9A">
      <w:pPr>
        <w:spacing w:line="360" w:lineRule="auto"/>
        <w:ind w:firstLine="420" w:firstLineChars="200"/>
        <w:rPr>
          <w:rFonts w:ascii="宋体" w:hAnsi="宋体" w:cs="宋体"/>
          <w:color w:val="auto"/>
          <w:kern w:val="1"/>
          <w:szCs w:val="21"/>
          <w:highlight w:val="none"/>
        </w:rPr>
      </w:pPr>
      <w:r>
        <w:rPr>
          <w:rFonts w:hint="eastAsia" w:ascii="宋体" w:hAnsi="宋体" w:cs="宋体"/>
          <w:color w:val="auto"/>
          <w:kern w:val="1"/>
          <w:szCs w:val="21"/>
          <w:highlight w:val="none"/>
        </w:rPr>
        <w:t>（1）宣布开标纪律；</w:t>
      </w:r>
    </w:p>
    <w:p w14:paraId="3E41F1E0">
      <w:pPr>
        <w:spacing w:line="360" w:lineRule="auto"/>
        <w:ind w:firstLine="420" w:firstLineChars="200"/>
        <w:rPr>
          <w:rFonts w:hint="eastAsia" w:ascii="宋体" w:hAnsi="宋体" w:eastAsia="宋体" w:cs="宋体"/>
          <w:color w:val="auto"/>
          <w:kern w:val="1"/>
          <w:szCs w:val="21"/>
          <w:highlight w:val="none"/>
          <w:u w:val="single"/>
          <w:lang w:eastAsia="zh-CN"/>
        </w:rPr>
      </w:pPr>
      <w:r>
        <w:rPr>
          <w:rFonts w:hint="eastAsia" w:ascii="宋体" w:hAnsi="宋体" w:cs="宋体"/>
          <w:color w:val="auto"/>
          <w:kern w:val="1"/>
          <w:szCs w:val="21"/>
          <w:highlight w:val="none"/>
          <w:u w:val="single"/>
        </w:rPr>
        <w:t>（</w:t>
      </w:r>
      <w:r>
        <w:rPr>
          <w:rFonts w:hint="eastAsia" w:ascii="宋体" w:hAnsi="宋体" w:cs="宋体"/>
          <w:color w:val="auto"/>
          <w:kern w:val="1"/>
          <w:szCs w:val="21"/>
          <w:highlight w:val="none"/>
          <w:u w:val="single"/>
          <w:lang w:val="en-US" w:eastAsia="zh-CN"/>
        </w:rPr>
        <w:t>2</w:t>
      </w:r>
      <w:r>
        <w:rPr>
          <w:rFonts w:hint="eastAsia" w:ascii="宋体" w:hAnsi="宋体" w:cs="宋体"/>
          <w:color w:val="auto"/>
          <w:kern w:val="1"/>
          <w:szCs w:val="21"/>
          <w:highlight w:val="none"/>
          <w:u w:val="single"/>
        </w:rPr>
        <w:t>）在投标截止时间后</w:t>
      </w:r>
      <w:r>
        <w:rPr>
          <w:rFonts w:hint="eastAsia" w:ascii="宋体" w:hAnsi="宋体" w:cs="宋体"/>
          <w:color w:val="auto"/>
          <w:kern w:val="1"/>
          <w:szCs w:val="21"/>
          <w:highlight w:val="none"/>
          <w:u w:val="single"/>
          <w:lang w:val="en-US" w:eastAsia="zh-CN"/>
        </w:rPr>
        <w:t>60</w:t>
      </w:r>
      <w:r>
        <w:rPr>
          <w:rFonts w:hint="eastAsia" w:ascii="宋体" w:hAnsi="宋体" w:cs="宋体"/>
          <w:color w:val="auto"/>
          <w:kern w:val="1"/>
          <w:szCs w:val="21"/>
          <w:highlight w:val="none"/>
          <w:u w:val="single"/>
        </w:rPr>
        <w:t>分钟内，投标人通过递交投标文件的广州交易集团有限公司（广州公共资源交易中心）交易平台对已递交的电子投标文件进行解密。投标人完成解密后，再由招标人进行解密</w:t>
      </w:r>
      <w:r>
        <w:rPr>
          <w:rFonts w:hint="eastAsia" w:ascii="宋体" w:hAnsi="宋体" w:cs="宋体"/>
          <w:color w:val="auto"/>
          <w:kern w:val="1"/>
          <w:szCs w:val="21"/>
          <w:highlight w:val="none"/>
          <w:u w:val="single"/>
          <w:lang w:val="en-US" w:eastAsia="zh-CN"/>
        </w:rPr>
        <w:t>；</w:t>
      </w:r>
    </w:p>
    <w:p w14:paraId="5F14D74B">
      <w:pPr>
        <w:spacing w:line="360" w:lineRule="auto"/>
        <w:ind w:firstLine="420" w:firstLineChars="200"/>
        <w:rPr>
          <w:rFonts w:ascii="宋体" w:hAnsi="宋体" w:cs="宋体"/>
          <w:color w:val="auto"/>
          <w:kern w:val="1"/>
          <w:szCs w:val="21"/>
          <w:highlight w:val="none"/>
        </w:rPr>
      </w:pPr>
      <w:r>
        <w:rPr>
          <w:rFonts w:hint="eastAsia" w:ascii="宋体" w:hAnsi="宋体" w:cs="宋体"/>
          <w:color w:val="auto"/>
          <w:kern w:val="1"/>
          <w:szCs w:val="21"/>
          <w:highlight w:val="none"/>
        </w:rPr>
        <w:t>（</w:t>
      </w:r>
      <w:r>
        <w:rPr>
          <w:rFonts w:hint="eastAsia" w:ascii="宋体" w:hAnsi="宋体" w:cs="宋体"/>
          <w:color w:val="auto"/>
          <w:kern w:val="1"/>
          <w:szCs w:val="21"/>
          <w:highlight w:val="none"/>
          <w:lang w:val="en-US" w:eastAsia="zh-CN"/>
        </w:rPr>
        <w:t>3</w:t>
      </w:r>
      <w:r>
        <w:rPr>
          <w:rFonts w:hint="eastAsia" w:ascii="宋体" w:hAnsi="宋体" w:cs="宋体"/>
          <w:color w:val="auto"/>
          <w:kern w:val="1"/>
          <w:szCs w:val="21"/>
          <w:highlight w:val="none"/>
        </w:rPr>
        <w:t>）公布投标人名</w:t>
      </w:r>
      <w:r>
        <w:rPr>
          <w:rFonts w:hint="eastAsia" w:ascii="宋体" w:hAnsi="宋体" w:cs="宋体"/>
          <w:color w:val="auto"/>
          <w:kern w:val="1"/>
          <w:szCs w:val="21"/>
          <w:highlight w:val="none"/>
          <w:lang w:val="en-US" w:eastAsia="zh-CN"/>
        </w:rPr>
        <w:t>单</w:t>
      </w:r>
      <w:r>
        <w:rPr>
          <w:rFonts w:hint="eastAsia" w:ascii="宋体" w:hAnsi="宋体" w:cs="宋体"/>
          <w:color w:val="auto"/>
          <w:kern w:val="1"/>
          <w:szCs w:val="21"/>
          <w:highlight w:val="none"/>
        </w:rPr>
        <w:t>；</w:t>
      </w:r>
    </w:p>
    <w:p w14:paraId="28E0A209">
      <w:pPr>
        <w:spacing w:line="360" w:lineRule="auto"/>
        <w:ind w:firstLine="420" w:firstLineChars="200"/>
        <w:rPr>
          <w:rFonts w:ascii="宋体" w:hAnsi="宋体" w:cs="宋体"/>
          <w:color w:val="auto"/>
          <w:kern w:val="1"/>
          <w:szCs w:val="21"/>
          <w:highlight w:val="none"/>
          <w:u w:val="single"/>
        </w:rPr>
      </w:pPr>
    </w:p>
    <w:p w14:paraId="7A796543">
      <w:pPr>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（4）</w:t>
      </w:r>
      <w:r>
        <w:rPr>
          <w:rFonts w:hint="eastAsia" w:ascii="宋体" w:hAnsi="宋体" w:cs="宋体"/>
          <w:color w:val="auto"/>
          <w:kern w:val="1"/>
          <w:szCs w:val="21"/>
          <w:highlight w:val="none"/>
          <w:u w:val="single"/>
          <w:lang w:val="en-US" w:eastAsia="zh-CN"/>
        </w:rPr>
        <w:t>唱标。</w:t>
      </w:r>
      <w:r>
        <w:rPr>
          <w:rFonts w:hint="eastAsia" w:ascii="宋体" w:hAnsi="宋体" w:cs="宋体"/>
          <w:color w:val="auto"/>
          <w:kern w:val="1"/>
          <w:szCs w:val="21"/>
          <w:highlight w:val="none"/>
          <w:u w:val="single"/>
        </w:rPr>
        <w:t>公布：a投标人名称；b投标文件递交情况；c投标文件解密情况；d项目负责人</w:t>
      </w:r>
      <w:r>
        <w:rPr>
          <w:rFonts w:hint="eastAsia" w:ascii="宋体" w:hAnsi="宋体" w:cs="宋体"/>
          <w:color w:val="auto"/>
          <w:kern w:val="1"/>
          <w:szCs w:val="21"/>
          <w:highlight w:val="none"/>
          <w:u w:val="single"/>
          <w:lang w:eastAsia="zh-CN"/>
        </w:rPr>
        <w:t>（</w:t>
      </w:r>
      <w:r>
        <w:rPr>
          <w:rFonts w:hint="eastAsia" w:ascii="宋体" w:hAnsi="宋体" w:cs="宋体"/>
          <w:color w:val="auto"/>
          <w:kern w:val="1"/>
          <w:szCs w:val="21"/>
          <w:highlight w:val="none"/>
          <w:u w:val="single"/>
          <w:lang w:val="en-US" w:eastAsia="zh-CN"/>
        </w:rPr>
        <w:t>兼</w:t>
      </w:r>
      <w:r>
        <w:rPr>
          <w:rFonts w:hint="eastAsia" w:ascii="宋体" w:hAnsi="宋体" w:cs="宋体"/>
          <w:color w:val="auto"/>
          <w:kern w:val="1"/>
          <w:szCs w:val="21"/>
          <w:highlight w:val="none"/>
          <w:u w:val="single"/>
        </w:rPr>
        <w:t>施工负责人</w:t>
      </w:r>
      <w:r>
        <w:rPr>
          <w:rFonts w:hint="eastAsia" w:ascii="宋体" w:hAnsi="宋体" w:cs="宋体"/>
          <w:color w:val="auto"/>
          <w:kern w:val="1"/>
          <w:szCs w:val="21"/>
          <w:highlight w:val="none"/>
          <w:u w:val="single"/>
          <w:lang w:eastAsia="zh-CN"/>
        </w:rPr>
        <w:t>）</w:t>
      </w:r>
      <w:r>
        <w:rPr>
          <w:rFonts w:hint="eastAsia" w:ascii="宋体" w:hAnsi="宋体" w:cs="宋体"/>
          <w:color w:val="auto"/>
          <w:kern w:val="1"/>
          <w:szCs w:val="21"/>
          <w:highlight w:val="none"/>
          <w:u w:val="single"/>
        </w:rPr>
        <w:t>、技术负责人、设计负责人、专职安全员；e总投标报价（含总勘察费</w:t>
      </w:r>
      <w:r>
        <w:rPr>
          <w:rFonts w:hint="eastAsia" w:ascii="宋体" w:hAnsi="宋体" w:cs="宋体"/>
          <w:color w:val="auto"/>
          <w:szCs w:val="21"/>
          <w:highlight w:val="none"/>
          <w:u w:val="single"/>
        </w:rPr>
        <w:t>投标</w:t>
      </w:r>
      <w:r>
        <w:rPr>
          <w:rFonts w:hint="eastAsia" w:ascii="宋体" w:hAnsi="宋体" w:cs="宋体"/>
          <w:color w:val="auto"/>
          <w:kern w:val="1"/>
          <w:szCs w:val="21"/>
          <w:highlight w:val="none"/>
          <w:u w:val="single"/>
        </w:rPr>
        <w:t>报价、总设计费</w:t>
      </w:r>
      <w:r>
        <w:rPr>
          <w:rFonts w:hint="eastAsia" w:ascii="宋体" w:hAnsi="宋体" w:cs="宋体"/>
          <w:color w:val="auto"/>
          <w:szCs w:val="21"/>
          <w:highlight w:val="none"/>
          <w:u w:val="single"/>
        </w:rPr>
        <w:t>投标</w:t>
      </w:r>
      <w:r>
        <w:rPr>
          <w:rFonts w:hint="eastAsia" w:ascii="宋体" w:hAnsi="宋体" w:cs="宋体"/>
          <w:color w:val="auto"/>
          <w:kern w:val="1"/>
          <w:szCs w:val="21"/>
          <w:highlight w:val="none"/>
          <w:u w:val="single"/>
        </w:rPr>
        <w:t>报价和总建安工程费</w:t>
      </w:r>
      <w:r>
        <w:rPr>
          <w:rFonts w:hint="eastAsia" w:ascii="宋体" w:hAnsi="宋体" w:cs="宋体"/>
          <w:color w:val="auto"/>
          <w:szCs w:val="21"/>
          <w:highlight w:val="none"/>
          <w:u w:val="single"/>
        </w:rPr>
        <w:t>投标</w:t>
      </w:r>
      <w:r>
        <w:rPr>
          <w:rFonts w:hint="eastAsia" w:ascii="宋体" w:hAnsi="宋体" w:cs="宋体"/>
          <w:color w:val="auto"/>
          <w:kern w:val="1"/>
          <w:szCs w:val="21"/>
          <w:highlight w:val="none"/>
          <w:u w:val="single"/>
        </w:rPr>
        <w:t>报价）；f工期；g投标人的加密打包投标文件电脑机器特征码等主要内容，并记录在案。未在规定时间内解密的投标文件不参与开标、评标。</w:t>
      </w:r>
    </w:p>
    <w:p w14:paraId="647BF636">
      <w:pPr>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（5）截标后，开标开始时间因故推迟的，相关评标信息仍以原定的开标开始时间的信息为准。</w:t>
      </w:r>
    </w:p>
    <w:p w14:paraId="06D99D59">
      <w:pPr>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（6）备用光盘或U盘的读取按投标人须知前附表“10 电子招标投标”第6点的规定执行。</w:t>
      </w:r>
    </w:p>
    <w:p w14:paraId="770E84DD">
      <w:pPr>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投标人可选择在开标室参与开标或准时在线参加在线开标，也可不参加开标。参加在线开标的投标人登录广州交易集团有限公司（广州公共资源交易中心）交易平台实时查看开标、唱标情况。广州交易集团有限公司（广州公共资源交易中心）交易平台生成开标记录并向社会公众公布。</w:t>
      </w:r>
    </w:p>
    <w:p w14:paraId="1B487810">
      <w:pPr>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8）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应当在唱标结束后的规定时间内、使用单位数字证书登录广州交易集团有限公司（广州公共资源交易中心）交易平台后通过广州交易集团有限公司（广州公共资源交易中心）交易平台提出。招标人授权招标代理机构工作人员使用招标代理机构数字证书登录广州交易集团有限公司（广州公共资源交易中心）交易平台答复异议，异议答复是招标人真实意思表示。未答复的，开标程序不得结束。</w:t>
      </w:r>
    </w:p>
    <w:p w14:paraId="56C19AEE">
      <w:pPr>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（9）投标人未参加开标或在规定的时间内未提出异议的，视为对开标无异议。</w:t>
      </w:r>
    </w:p>
    <w:p w14:paraId="6816D36E">
      <w:pPr>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（10）开标时，两个（含两个）以上的投标人加密打包投标文件电脑机器特征码一致的，不参与下一程序，并由评标委员会否决其投标。</w:t>
      </w:r>
    </w:p>
    <w:p w14:paraId="6BA196D6">
      <w:pPr>
        <w:spacing w:line="360" w:lineRule="auto"/>
        <w:ind w:firstLine="420" w:firstLineChars="200"/>
        <w:rPr>
          <w:rFonts w:ascii="宋体" w:hAnsi="宋体" w:cs="宋体"/>
          <w:color w:val="auto"/>
          <w:kern w:val="1"/>
          <w:szCs w:val="21"/>
          <w:highlight w:val="none"/>
        </w:rPr>
      </w:pPr>
      <w:r>
        <w:rPr>
          <w:rFonts w:hint="eastAsia" w:ascii="宋体" w:hAnsi="宋体" w:cs="宋体"/>
          <w:color w:val="auto"/>
          <w:kern w:val="1"/>
          <w:szCs w:val="21"/>
          <w:highlight w:val="none"/>
        </w:rPr>
        <w:t>（11）投标人代表、招标人代表、监标人、记录人等有关人员在开标记录上签字确认；若有关人员不签字的，不影响开标程序；</w:t>
      </w:r>
    </w:p>
    <w:p w14:paraId="1F27F5DE">
      <w:pPr>
        <w:spacing w:line="360" w:lineRule="auto"/>
        <w:ind w:firstLine="420" w:firstLineChars="200"/>
        <w:rPr>
          <w:rFonts w:ascii="宋体" w:hAnsi="宋体" w:cs="宋体"/>
          <w:color w:val="auto"/>
          <w:kern w:val="1"/>
          <w:szCs w:val="21"/>
          <w:highlight w:val="none"/>
        </w:rPr>
      </w:pPr>
      <w:r>
        <w:rPr>
          <w:rFonts w:hint="eastAsia" w:ascii="宋体" w:hAnsi="宋体" w:cs="宋体"/>
          <w:color w:val="auto"/>
          <w:kern w:val="1"/>
          <w:szCs w:val="21"/>
          <w:highlight w:val="none"/>
        </w:rPr>
        <w:t>（12）开标结束。</w:t>
      </w:r>
    </w:p>
    <w:p w14:paraId="69C919F7">
      <w:pPr>
        <w:spacing w:line="360" w:lineRule="auto"/>
        <w:ind w:firstLine="458"/>
        <w:rPr>
          <w:rFonts w:ascii="宋体" w:hAnsi="宋体" w:cs="宋体"/>
          <w:color w:val="auto"/>
          <w:kern w:val="1"/>
          <w:szCs w:val="21"/>
          <w:highlight w:val="none"/>
          <w:u w:val="single"/>
        </w:rPr>
      </w:pPr>
      <w:r>
        <w:rPr>
          <w:rFonts w:hint="eastAsia" w:ascii="宋体" w:hAnsi="宋体" w:cs="宋体"/>
          <w:color w:val="auto"/>
          <w:szCs w:val="21"/>
          <w:highlight w:val="none"/>
        </w:rPr>
        <w:t>5.2.2 投标截止时间前未完成投标文件传输的或因投标人之外的原因造成投标文件未解密且未按要求递交备用光盘（或U盘）的，视为投标人撤回投标文件。因投标人原因造成投标文件未解密或未在规定的时间内解密的，视为撤销其投标文件。</w:t>
      </w:r>
    </w:p>
    <w:p w14:paraId="1E382419">
      <w:pPr>
        <w:pStyle w:val="5"/>
        <w:spacing w:line="360" w:lineRule="auto"/>
        <w:ind w:firstLine="118"/>
        <w:rPr>
          <w:rFonts w:ascii="宋体" w:hAnsi="宋体" w:eastAsia="宋体"/>
          <w:b/>
          <w:bCs/>
          <w:color w:val="auto"/>
          <w:sz w:val="24"/>
          <w:szCs w:val="24"/>
          <w:highlight w:val="none"/>
        </w:rPr>
      </w:pPr>
      <w:bookmarkStart w:id="376" w:name="_Toc11457"/>
      <w:bookmarkStart w:id="377" w:name="_Toc152005927"/>
      <w:bookmarkStart w:id="378" w:name="_Toc6039"/>
      <w:bookmarkStart w:id="379" w:name="_Toc21567"/>
      <w:r>
        <w:rPr>
          <w:rFonts w:ascii="宋体" w:hAnsi="宋体" w:eastAsia="宋体"/>
          <w:b/>
          <w:bCs/>
          <w:color w:val="auto"/>
          <w:sz w:val="24"/>
          <w:szCs w:val="24"/>
          <w:highlight w:val="none"/>
        </w:rPr>
        <w:t xml:space="preserve">5.3 </w:t>
      </w:r>
      <w:r>
        <w:rPr>
          <w:rFonts w:hint="eastAsia" w:ascii="宋体" w:hAnsi="宋体" w:eastAsia="宋体"/>
          <w:b/>
          <w:bCs/>
          <w:color w:val="auto"/>
          <w:sz w:val="24"/>
          <w:szCs w:val="24"/>
          <w:highlight w:val="none"/>
        </w:rPr>
        <w:t>开标异议</w:t>
      </w:r>
      <w:bookmarkEnd w:id="376"/>
      <w:bookmarkEnd w:id="377"/>
      <w:bookmarkEnd w:id="378"/>
      <w:bookmarkEnd w:id="379"/>
    </w:p>
    <w:p w14:paraId="0CEC093D">
      <w:pPr>
        <w:spacing w:line="360" w:lineRule="auto"/>
        <w:ind w:firstLine="420" w:firstLineChars="200"/>
        <w:rPr>
          <w:rFonts w:ascii="宋体" w:hAnsi="宋体" w:cs="仿宋_GB2312"/>
          <w:color w:val="auto"/>
          <w:szCs w:val="21"/>
          <w:highlight w:val="none"/>
          <w:u w:val="single"/>
        </w:rPr>
      </w:pPr>
      <w:r>
        <w:rPr>
          <w:rFonts w:hint="eastAsia" w:ascii="宋体" w:hAnsi="宋体" w:cs="仿宋_GB2312"/>
          <w:color w:val="auto"/>
          <w:szCs w:val="21"/>
          <w:highlight w:val="none"/>
          <w:u w:val="single"/>
        </w:rPr>
        <w:t>5.3.1参加</w:t>
      </w:r>
      <w:r>
        <w:rPr>
          <w:rFonts w:ascii="宋体" w:hAnsi="宋体" w:cs="仿宋_GB2312"/>
          <w:color w:val="auto"/>
          <w:szCs w:val="21"/>
          <w:highlight w:val="none"/>
          <w:u w:val="single"/>
        </w:rPr>
        <w:t>现场开标的投标人对开标结果有异议的，应当在开标现场提出，</w:t>
      </w:r>
      <w:r>
        <w:rPr>
          <w:rFonts w:hint="eastAsia" w:ascii="宋体" w:hAnsi="宋体" w:cs="仿宋_GB2312"/>
          <w:color w:val="auto"/>
          <w:szCs w:val="21"/>
          <w:highlight w:val="none"/>
          <w:u w:val="single"/>
        </w:rPr>
        <w:t>同时出示本人身份证原件，</w:t>
      </w:r>
      <w:r>
        <w:rPr>
          <w:rFonts w:ascii="宋体" w:hAnsi="宋体" w:cs="仿宋_GB2312"/>
          <w:color w:val="auto"/>
          <w:szCs w:val="21"/>
          <w:highlight w:val="none"/>
          <w:u w:val="single"/>
        </w:rPr>
        <w:t>招标人应当当场作出答复，并制作记录。</w:t>
      </w:r>
      <w:r>
        <w:rPr>
          <w:rFonts w:hint="eastAsia" w:ascii="宋体" w:hAnsi="宋体" w:cs="仿宋_GB2312"/>
          <w:color w:val="auto"/>
          <w:szCs w:val="21"/>
          <w:highlight w:val="none"/>
          <w:u w:val="single"/>
        </w:rPr>
        <w:t>参加</w:t>
      </w:r>
      <w:r>
        <w:rPr>
          <w:rFonts w:ascii="宋体" w:hAnsi="宋体" w:cs="仿宋_GB2312"/>
          <w:color w:val="auto"/>
          <w:szCs w:val="21"/>
          <w:highlight w:val="none"/>
          <w:u w:val="single"/>
        </w:rPr>
        <w:t>在线</w:t>
      </w:r>
      <w:r>
        <w:rPr>
          <w:rFonts w:hint="eastAsia" w:ascii="宋体" w:hAnsi="宋体" w:cs="仿宋_GB2312"/>
          <w:color w:val="auto"/>
          <w:szCs w:val="21"/>
          <w:highlight w:val="none"/>
          <w:u w:val="single"/>
        </w:rPr>
        <w:t>电子</w:t>
      </w:r>
      <w:r>
        <w:rPr>
          <w:rFonts w:ascii="宋体" w:hAnsi="宋体" w:cs="仿宋_GB2312"/>
          <w:color w:val="auto"/>
          <w:szCs w:val="21"/>
          <w:highlight w:val="none"/>
          <w:u w:val="single"/>
        </w:rPr>
        <w:t>开标的</w:t>
      </w:r>
      <w:r>
        <w:rPr>
          <w:rFonts w:hint="eastAsia" w:ascii="宋体" w:hAnsi="宋体" w:cs="仿宋_GB2312"/>
          <w:color w:val="auto"/>
          <w:szCs w:val="21"/>
          <w:highlight w:val="none"/>
          <w:u w:val="single"/>
        </w:rPr>
        <w:t>投标人对开标结果有异议的，应当在唱标</w:t>
      </w:r>
      <w:r>
        <w:rPr>
          <w:rFonts w:ascii="宋体" w:hAnsi="宋体" w:cs="仿宋_GB2312"/>
          <w:color w:val="auto"/>
          <w:szCs w:val="21"/>
          <w:highlight w:val="none"/>
          <w:u w:val="single"/>
        </w:rPr>
        <w:t>结束后</w:t>
      </w:r>
      <w:r>
        <w:rPr>
          <w:rFonts w:hint="eastAsia" w:ascii="宋体" w:hAnsi="宋体" w:cs="仿宋_GB2312"/>
          <w:color w:val="auto"/>
          <w:szCs w:val="21"/>
          <w:highlight w:val="none"/>
          <w:u w:val="single"/>
        </w:rPr>
        <w:t>的规定</w:t>
      </w:r>
      <w:r>
        <w:rPr>
          <w:rFonts w:ascii="宋体" w:hAnsi="宋体" w:cs="仿宋_GB2312"/>
          <w:color w:val="auto"/>
          <w:szCs w:val="21"/>
          <w:highlight w:val="none"/>
          <w:u w:val="single"/>
        </w:rPr>
        <w:t>时间内通过</w:t>
      </w:r>
      <w:r>
        <w:rPr>
          <w:rFonts w:hint="eastAsia" w:ascii="宋体" w:hAnsi="宋体" w:cs="仿宋_GB2312"/>
          <w:color w:val="auto"/>
          <w:szCs w:val="21"/>
          <w:highlight w:val="none"/>
          <w:u w:val="single"/>
        </w:rPr>
        <w:t>广州交易集团有限公司（广州公共资源交易中心）</w:t>
      </w:r>
      <w:r>
        <w:rPr>
          <w:rFonts w:ascii="宋体" w:hAnsi="宋体" w:cs="仿宋_GB2312"/>
          <w:color w:val="auto"/>
          <w:szCs w:val="21"/>
          <w:highlight w:val="none"/>
          <w:u w:val="single"/>
        </w:rPr>
        <w:t>交易平台</w:t>
      </w:r>
      <w:r>
        <w:rPr>
          <w:rFonts w:hint="eastAsia" w:ascii="宋体" w:hAnsi="宋体" w:cs="仿宋_GB2312"/>
          <w:color w:val="auto"/>
          <w:szCs w:val="21"/>
          <w:highlight w:val="none"/>
          <w:u w:val="single"/>
        </w:rPr>
        <w:t>在线</w:t>
      </w:r>
      <w:r>
        <w:rPr>
          <w:rFonts w:ascii="宋体" w:hAnsi="宋体" w:cs="仿宋_GB2312"/>
          <w:color w:val="auto"/>
          <w:szCs w:val="21"/>
          <w:highlight w:val="none"/>
          <w:u w:val="single"/>
        </w:rPr>
        <w:t>提出。</w:t>
      </w:r>
      <w:r>
        <w:rPr>
          <w:rFonts w:hint="eastAsia" w:ascii="宋体" w:hAnsi="宋体" w:cs="仿宋_GB2312"/>
          <w:color w:val="auto"/>
          <w:szCs w:val="21"/>
          <w:highlight w:val="none"/>
          <w:u w:val="single"/>
        </w:rPr>
        <w:t>招标人通过交易平台答复，答复后方可结束开标。</w:t>
      </w:r>
    </w:p>
    <w:p w14:paraId="419AC080">
      <w:pPr>
        <w:spacing w:line="360" w:lineRule="auto"/>
        <w:ind w:firstLine="458"/>
        <w:rPr>
          <w:rFonts w:ascii="宋体" w:hAnsi="宋体" w:cs="宋体"/>
          <w:color w:val="auto"/>
          <w:kern w:val="1"/>
          <w:szCs w:val="21"/>
          <w:highlight w:val="none"/>
          <w:u w:val="single"/>
        </w:rPr>
      </w:pPr>
      <w:r>
        <w:rPr>
          <w:rFonts w:hint="eastAsia" w:ascii="宋体" w:hAnsi="宋体" w:cs="仿宋_GB2312"/>
          <w:color w:val="auto"/>
          <w:szCs w:val="21"/>
          <w:highlight w:val="none"/>
          <w:u w:val="single"/>
        </w:rPr>
        <w:t>5.3.2投标人</w:t>
      </w:r>
      <w:r>
        <w:rPr>
          <w:rFonts w:ascii="宋体" w:hAnsi="宋体" w:cs="仿宋_GB2312"/>
          <w:color w:val="auto"/>
          <w:szCs w:val="21"/>
          <w:highlight w:val="none"/>
          <w:u w:val="single"/>
        </w:rPr>
        <w:t>未参加开标或在规定的时间内未提出异议的，视为对开标无异议。</w:t>
      </w:r>
    </w:p>
    <w:p w14:paraId="6ECEFAB8">
      <w:pPr>
        <w:pStyle w:val="4"/>
        <w:spacing w:before="240" w:beforeLines="100" w:after="240" w:afterLines="100" w:line="360" w:lineRule="auto"/>
        <w:rPr>
          <w:rFonts w:ascii="宋体" w:hAnsi="宋体" w:eastAsia="宋体" w:cs="宋体"/>
          <w:color w:val="auto"/>
          <w:highlight w:val="none"/>
        </w:rPr>
      </w:pPr>
      <w:bookmarkStart w:id="380" w:name="_Toc23707"/>
      <w:bookmarkEnd w:id="380"/>
      <w:bookmarkStart w:id="381" w:name="_Toc20998"/>
      <w:bookmarkEnd w:id="381"/>
      <w:bookmarkStart w:id="382" w:name="_Toc152005928"/>
      <w:bookmarkStart w:id="383" w:name="_Toc6507"/>
      <w:bookmarkStart w:id="384" w:name="_Toc5620328"/>
      <w:bookmarkStart w:id="385" w:name="_Toc15194"/>
      <w:bookmarkStart w:id="386" w:name="_Toc11239"/>
      <w:r>
        <w:rPr>
          <w:rFonts w:hint="eastAsia" w:ascii="宋体" w:hAnsi="宋体" w:eastAsia="宋体" w:cs="宋体"/>
          <w:color w:val="auto"/>
          <w:highlight w:val="none"/>
          <w:lang w:val="zh-CN"/>
        </w:rPr>
        <w:t>6. 评标</w:t>
      </w:r>
      <w:bookmarkEnd w:id="382"/>
      <w:bookmarkEnd w:id="383"/>
      <w:bookmarkEnd w:id="384"/>
      <w:bookmarkEnd w:id="385"/>
      <w:r>
        <w:rPr>
          <w:rFonts w:hint="eastAsia" w:ascii="宋体" w:hAnsi="宋体" w:eastAsia="宋体" w:cs="宋体"/>
          <w:color w:val="auto"/>
          <w:highlight w:val="none"/>
          <w:lang w:val="zh-CN"/>
        </w:rPr>
        <w:t>、</w:t>
      </w:r>
      <w:r>
        <w:rPr>
          <w:rFonts w:hint="eastAsia" w:ascii="宋体" w:hAnsi="宋体" w:eastAsia="宋体" w:cs="宋体"/>
          <w:color w:val="auto"/>
          <w:highlight w:val="none"/>
        </w:rPr>
        <w:t>定标</w:t>
      </w:r>
      <w:bookmarkEnd w:id="386"/>
    </w:p>
    <w:p w14:paraId="6AF24A77">
      <w:pPr>
        <w:pStyle w:val="5"/>
        <w:spacing w:before="0" w:after="0" w:line="360" w:lineRule="auto"/>
        <w:ind w:firstLine="0"/>
        <w:rPr>
          <w:rFonts w:ascii="宋体" w:hAnsi="宋体" w:eastAsia="宋体"/>
          <w:b/>
          <w:color w:val="auto"/>
          <w:sz w:val="21"/>
          <w:szCs w:val="21"/>
          <w:highlight w:val="none"/>
        </w:rPr>
      </w:pPr>
      <w:bookmarkStart w:id="387" w:name="_Toc32172"/>
      <w:bookmarkStart w:id="388" w:name="_Toc152005929"/>
      <w:bookmarkStart w:id="389" w:name="_Toc5620329"/>
      <w:bookmarkStart w:id="390" w:name="_Toc3834"/>
      <w:bookmarkStart w:id="391" w:name="_Toc19143"/>
      <w:r>
        <w:rPr>
          <w:rFonts w:hint="eastAsia" w:ascii="宋体" w:hAnsi="宋体" w:eastAsia="宋体"/>
          <w:b/>
          <w:color w:val="auto"/>
          <w:sz w:val="21"/>
          <w:szCs w:val="21"/>
          <w:highlight w:val="none"/>
        </w:rPr>
        <w:t>6.1 评标委员会</w:t>
      </w:r>
      <w:bookmarkEnd w:id="387"/>
      <w:bookmarkEnd w:id="388"/>
      <w:bookmarkEnd w:id="389"/>
      <w:bookmarkEnd w:id="390"/>
      <w:bookmarkEnd w:id="391"/>
    </w:p>
    <w:p w14:paraId="33387CE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6.1.1</w:t>
      </w:r>
      <w:r>
        <w:rPr>
          <w:rFonts w:hint="eastAsia" w:ascii="宋体" w:hAnsi="宋体" w:cs="宋体"/>
          <w:color w:val="auto"/>
          <w:kern w:val="1"/>
          <w:szCs w:val="21"/>
          <w:highlight w:val="none"/>
          <w:u w:val="single"/>
        </w:rPr>
        <w:t>评标由招标人依法组建的评标委员会负责。</w:t>
      </w:r>
    </w:p>
    <w:p w14:paraId="2FFB6CFA">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6.1.2 评标委员会成员有下列情形之一的，应当回避：</w:t>
      </w:r>
    </w:p>
    <w:p w14:paraId="6085754B">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（1）投标人或投标人主要负责人的近亲属；</w:t>
      </w:r>
    </w:p>
    <w:p w14:paraId="4D5D1436">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（2）项目主管部门或者行政监督部门的人员；</w:t>
      </w:r>
    </w:p>
    <w:p w14:paraId="5FC6ED3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（3）与投标人有经济利益关系，可能影响对投标公正评审的；</w:t>
      </w:r>
    </w:p>
    <w:p w14:paraId="60F3A2F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（4）曾因在招标、评标以及其他与招标投标有关活动中从事违法行为而受过行政处罚或刑事处罚的；</w:t>
      </w:r>
    </w:p>
    <w:p w14:paraId="6834675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（5）与投标人有其他利害关系。</w:t>
      </w:r>
    </w:p>
    <w:p w14:paraId="2639326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6.1.3 评标委员会的职责及守则：</w:t>
      </w:r>
    </w:p>
    <w:p w14:paraId="4784F5CD">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1.根据评标细则，对投标文件进行认真评审，完成评审报告；</w:t>
      </w:r>
    </w:p>
    <w:p w14:paraId="6F5AD1E4">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2.向招标人报告评审意见，推荐入围的合格中标候选人。</w:t>
      </w:r>
    </w:p>
    <w:p w14:paraId="1977FFCD">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3.所有参加评标人员必须遵守国家、地方政府制定的有关工程招标投标的法则、规定，遵守有关工程招标投标的保密制度；如有违反者，给予行政处分；情节严重，构成犯罪的，由司法机关依法追究其刑事责任。</w:t>
      </w:r>
    </w:p>
    <w:p w14:paraId="4BB6319B">
      <w:pPr>
        <w:pStyle w:val="5"/>
        <w:spacing w:before="0" w:after="0" w:line="360" w:lineRule="auto"/>
        <w:ind w:firstLine="0"/>
        <w:rPr>
          <w:rFonts w:ascii="宋体" w:hAnsi="宋体" w:eastAsia="宋体"/>
          <w:b/>
          <w:color w:val="auto"/>
          <w:sz w:val="21"/>
          <w:szCs w:val="21"/>
          <w:highlight w:val="none"/>
        </w:rPr>
      </w:pPr>
      <w:bookmarkStart w:id="392" w:name="_Toc443505829"/>
      <w:bookmarkEnd w:id="392"/>
      <w:bookmarkStart w:id="393" w:name="_Toc7827"/>
      <w:bookmarkStart w:id="394" w:name="_Toc152005930"/>
      <w:bookmarkStart w:id="395" w:name="_Toc31701"/>
      <w:bookmarkStart w:id="396" w:name="_Toc5620330"/>
      <w:bookmarkStart w:id="397" w:name="_Toc7051"/>
      <w:r>
        <w:rPr>
          <w:rFonts w:hint="eastAsia" w:ascii="宋体" w:hAnsi="宋体" w:eastAsia="宋体"/>
          <w:b/>
          <w:color w:val="auto"/>
          <w:sz w:val="21"/>
          <w:szCs w:val="21"/>
          <w:highlight w:val="none"/>
        </w:rPr>
        <w:t>6.2 评标、定标原则</w:t>
      </w:r>
      <w:bookmarkEnd w:id="393"/>
      <w:bookmarkEnd w:id="394"/>
      <w:bookmarkEnd w:id="395"/>
      <w:bookmarkEnd w:id="396"/>
      <w:bookmarkEnd w:id="397"/>
    </w:p>
    <w:p w14:paraId="4B7B950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评标活动遵循公平、公正、科学和择优的原则。</w:t>
      </w:r>
    </w:p>
    <w:p w14:paraId="0E0D836E">
      <w:pPr>
        <w:pStyle w:val="5"/>
        <w:spacing w:before="0" w:after="0" w:line="360" w:lineRule="auto"/>
        <w:ind w:firstLine="0"/>
        <w:rPr>
          <w:rFonts w:ascii="宋体" w:hAnsi="宋体" w:eastAsia="宋体"/>
          <w:b/>
          <w:color w:val="auto"/>
          <w:sz w:val="21"/>
          <w:szCs w:val="21"/>
          <w:highlight w:val="none"/>
        </w:rPr>
      </w:pPr>
      <w:bookmarkStart w:id="398" w:name="_Toc14503"/>
      <w:bookmarkStart w:id="399" w:name="_Toc2091"/>
      <w:bookmarkStart w:id="400" w:name="_Toc5620331"/>
      <w:bookmarkStart w:id="401" w:name="_Toc16832"/>
      <w:bookmarkStart w:id="402" w:name="_Toc152005931"/>
      <w:r>
        <w:rPr>
          <w:rFonts w:hint="eastAsia" w:ascii="宋体" w:hAnsi="宋体" w:eastAsia="宋体"/>
          <w:b/>
          <w:color w:val="auto"/>
          <w:sz w:val="21"/>
          <w:szCs w:val="21"/>
          <w:highlight w:val="none"/>
        </w:rPr>
        <w:t>6.3 评标</w:t>
      </w:r>
      <w:bookmarkEnd w:id="398"/>
      <w:bookmarkEnd w:id="399"/>
      <w:bookmarkEnd w:id="400"/>
      <w:bookmarkEnd w:id="401"/>
      <w:bookmarkEnd w:id="402"/>
    </w:p>
    <w:p w14:paraId="2F17195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评标委员会按照第三章“评标办法”规定的方法、评审因素、标准和程序对投标文件进行评审。第三章“评标办法”没有规定的方法、评审因素和标准，不作为评标依据。</w:t>
      </w:r>
    </w:p>
    <w:p w14:paraId="7133C3F6">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在评审过程中，评标委员会可以以书面形式要求投标人就资格审查文件和投标文件中含义不明确的内容进行书面说明并提供相关材料。</w:t>
      </w:r>
    </w:p>
    <w:p w14:paraId="735F8A54">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评标委员会经评审，认为所有投标都不符合招标文件要求的，可以否决所有投标。所有投标被否决后，招标人应当依法重新招标。</w:t>
      </w:r>
    </w:p>
    <w:p w14:paraId="75D0B4D8">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5FCDE68">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评标结束后，评标委员会递交</w:t>
      </w:r>
      <w:r>
        <w:rPr>
          <w:rFonts w:hint="eastAsia" w:ascii="宋体" w:hAnsi="宋体" w:cs="宋体"/>
          <w:color w:val="auto"/>
          <w:kern w:val="1"/>
          <w:szCs w:val="21"/>
          <w:highlight w:val="none"/>
          <w:u w:val="single"/>
          <w:lang w:val="en-US" w:eastAsia="zh-CN"/>
        </w:rPr>
        <w:t>资格审查报告及</w:t>
      </w:r>
      <w:r>
        <w:rPr>
          <w:rFonts w:hint="eastAsia" w:ascii="宋体" w:hAnsi="宋体" w:cs="宋体"/>
          <w:color w:val="auto"/>
          <w:kern w:val="1"/>
          <w:szCs w:val="21"/>
          <w:highlight w:val="none"/>
          <w:u w:val="single"/>
        </w:rPr>
        <w:t>评标报告并按照投标文件（评标部分）总得分由高到低的顺序推荐前20名次的合格投标人不排序进入定标阶段，若通过初步评审的合格投标人大于等于</w:t>
      </w:r>
      <w:r>
        <w:rPr>
          <w:rFonts w:hint="eastAsia" w:ascii="宋体" w:hAnsi="宋体" w:cs="宋体"/>
          <w:color w:val="auto"/>
          <w:kern w:val="1"/>
          <w:szCs w:val="21"/>
          <w:highlight w:val="none"/>
          <w:u w:val="single"/>
          <w:lang w:val="en-US" w:eastAsia="zh-CN"/>
        </w:rPr>
        <w:t>3</w:t>
      </w:r>
      <w:r>
        <w:rPr>
          <w:rFonts w:hint="eastAsia" w:ascii="宋体" w:hAnsi="宋体" w:cs="宋体"/>
          <w:color w:val="auto"/>
          <w:kern w:val="1"/>
          <w:szCs w:val="21"/>
          <w:highlight w:val="none"/>
          <w:u w:val="single"/>
        </w:rPr>
        <w:t>家，小于等于20家的，则全部通过初步评审的合格投标人不排序进入定标阶段；若通过初步评审的合格投标人大于20家的，按投标文件（评标部分）总得分从高到低进行排序，推荐排序位于前20名次的合格投标人不排序进入定标阶段（若前20名次的合格投标人中存在投标文件（评标部分）总得分相同的，则按第三章“评标、定标办法”第1款的原则确定排序。）。</w:t>
      </w:r>
    </w:p>
    <w:p w14:paraId="3FCE8757">
      <w:pPr>
        <w:pStyle w:val="5"/>
        <w:spacing w:before="0" w:after="0" w:line="360" w:lineRule="auto"/>
        <w:ind w:firstLine="0"/>
        <w:rPr>
          <w:rFonts w:ascii="宋体" w:hAnsi="宋体" w:eastAsia="宋体"/>
          <w:b/>
          <w:color w:val="auto"/>
          <w:sz w:val="21"/>
          <w:szCs w:val="21"/>
          <w:highlight w:val="none"/>
          <w:u w:val="single"/>
        </w:rPr>
      </w:pPr>
      <w:bookmarkStart w:id="403" w:name="_Toc14839"/>
      <w:bookmarkStart w:id="404" w:name="_Toc3111"/>
      <w:bookmarkStart w:id="405" w:name="_Toc5620332"/>
      <w:bookmarkStart w:id="406" w:name="_Toc11353"/>
      <w:bookmarkStart w:id="407" w:name="_Toc152005932"/>
      <w:r>
        <w:rPr>
          <w:rFonts w:hint="eastAsia" w:ascii="宋体" w:hAnsi="宋体" w:eastAsia="宋体"/>
          <w:b/>
          <w:color w:val="auto"/>
          <w:sz w:val="21"/>
          <w:szCs w:val="21"/>
          <w:highlight w:val="none"/>
          <w:u w:val="single"/>
        </w:rPr>
        <w:t>6.4评标、定标过程的保密</w:t>
      </w:r>
      <w:bookmarkEnd w:id="403"/>
      <w:bookmarkEnd w:id="404"/>
      <w:bookmarkEnd w:id="405"/>
      <w:bookmarkEnd w:id="406"/>
      <w:bookmarkEnd w:id="407"/>
    </w:p>
    <w:p w14:paraId="0061AC94">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6.4.1 开标后，直至授予中标人合同为止，凡属于对资格审查文件和投标文件的审查、澄清、评价和比较有关的资料以及合格中标候选人的推荐情况，与评标、定标有关的其他任何情况均严格保密。</w:t>
      </w:r>
    </w:p>
    <w:p w14:paraId="133A9F7C">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6.4.2 在资格审查文件和投标文件的评审和比较、合格中标候选人推荐以及授予合同的过程中，投标人向招标人和评标委员会、定标委员会施加影响的任何行为，都将会导致其投标被拒绝。</w:t>
      </w:r>
    </w:p>
    <w:p w14:paraId="724A0F64">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6.4.3 中标人确定后，招标人不对未中标人就评标、定标过程以及未能中标原因作出任何解释。未中标人不得向评标委员会组成人员或其他有关人员索问评标、定标过程的情况和材料。</w:t>
      </w:r>
    </w:p>
    <w:p w14:paraId="1BDCE94B">
      <w:pPr>
        <w:pStyle w:val="15"/>
        <w:spacing w:line="360" w:lineRule="auto"/>
        <w:ind w:left="0" w:leftChars="0"/>
        <w:rPr>
          <w:rFonts w:ascii="宋体" w:hAnsi="宋体" w:cs="Times New Roman"/>
          <w:b/>
          <w:color w:val="auto"/>
          <w:szCs w:val="21"/>
          <w:highlight w:val="none"/>
        </w:rPr>
      </w:pPr>
      <w:r>
        <w:rPr>
          <w:rFonts w:hint="eastAsia" w:ascii="宋体" w:hAnsi="宋体" w:cs="Times New Roman"/>
          <w:b/>
          <w:color w:val="auto"/>
          <w:szCs w:val="21"/>
          <w:highlight w:val="none"/>
        </w:rPr>
        <w:t>6.5定标委员会</w:t>
      </w:r>
    </w:p>
    <w:p w14:paraId="03E3B970">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6.5.1</w:t>
      </w:r>
      <w:r>
        <w:rPr>
          <w:rFonts w:hint="eastAsia" w:ascii="宋体" w:hAnsi="宋体" w:cs="宋体"/>
          <w:color w:val="auto"/>
          <w:kern w:val="1"/>
          <w:szCs w:val="21"/>
          <w:highlight w:val="none"/>
          <w:u w:val="single"/>
        </w:rPr>
        <w:t>定标由招标人依法组建的定标委员会负责。</w:t>
      </w:r>
    </w:p>
    <w:p w14:paraId="0629888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6.5.2 定标委员会成员有下列情形之一的，应当回避：</w:t>
      </w:r>
    </w:p>
    <w:p w14:paraId="460F3C0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（1）投标人或投标人主要负责人的近亲属；</w:t>
      </w:r>
    </w:p>
    <w:p w14:paraId="4A97D9FD">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（2）项目主管部门或者行政监督部门的人员；</w:t>
      </w:r>
    </w:p>
    <w:p w14:paraId="322454C5">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（3）与投标人有经济利益关系，可能影响对投标公正评审的；</w:t>
      </w:r>
    </w:p>
    <w:p w14:paraId="5214A570">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（4）曾因在招标、评标、定标以及其他与招标投标有关活动中从事违法行为而受过行政处罚或刑事处罚的；</w:t>
      </w:r>
    </w:p>
    <w:p w14:paraId="156181DB">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（5）与投标人有其他利害关系。</w:t>
      </w:r>
    </w:p>
    <w:p w14:paraId="5F22F094">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6.5.3 定标委员会的职责及守则：</w:t>
      </w:r>
    </w:p>
    <w:p w14:paraId="063FC3E0">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1.根据定标细则，对投标文件进行认真评审，完成评审报告；</w:t>
      </w:r>
    </w:p>
    <w:p w14:paraId="4C025E1F">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2.向招标人报告评审意见，推荐中标人。</w:t>
      </w:r>
    </w:p>
    <w:p w14:paraId="5306688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3.所有参加定标人员必须遵守国家、地方政府制定的有关工程招标投标的法则、规定，遵守有关工程招标投标的保密制度；如有违反者，给予行政处分；情节严重，构成犯罪的，由司法机关依法追究其刑事责任。</w:t>
      </w:r>
    </w:p>
    <w:p w14:paraId="54ABAB1E">
      <w:pPr>
        <w:spacing w:line="360" w:lineRule="auto"/>
        <w:ind w:firstLine="420"/>
        <w:rPr>
          <w:rFonts w:ascii="宋体" w:hAnsi="宋体" w:cs="Times New Roman"/>
          <w:b/>
          <w:color w:val="auto"/>
          <w:szCs w:val="21"/>
          <w:highlight w:val="none"/>
          <w:u w:val="single"/>
        </w:rPr>
      </w:pPr>
      <w:r>
        <w:rPr>
          <w:rFonts w:hint="eastAsia" w:ascii="宋体" w:hAnsi="宋体" w:cs="Times New Roman"/>
          <w:b/>
          <w:color w:val="auto"/>
          <w:szCs w:val="21"/>
          <w:highlight w:val="none"/>
          <w:u w:val="single"/>
        </w:rPr>
        <w:t>6.6定标</w:t>
      </w:r>
    </w:p>
    <w:p w14:paraId="0912D56D">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定标委员会按照第三章“评标、定标办法”规定的方法、评审因素、标准和程序对入围合格中标候选人投标文件进行评审。第三章“评标、定标办法”没有规定的方法、评审因素和标准，不作为定标依据。</w:t>
      </w:r>
    </w:p>
    <w:p w14:paraId="5BC5EA0B">
      <w:pPr>
        <w:pStyle w:val="4"/>
        <w:spacing w:before="240" w:beforeLines="100" w:after="240" w:afterLines="100" w:line="360" w:lineRule="auto"/>
        <w:rPr>
          <w:rFonts w:ascii="宋体" w:hAnsi="宋体" w:eastAsia="宋体" w:cs="宋体"/>
          <w:color w:val="auto"/>
          <w:highlight w:val="none"/>
          <w:lang w:val="zh-CN"/>
        </w:rPr>
      </w:pPr>
      <w:bookmarkStart w:id="408" w:name="_Toc7746"/>
      <w:bookmarkEnd w:id="408"/>
      <w:bookmarkStart w:id="409" w:name="_Toc27077"/>
      <w:bookmarkEnd w:id="409"/>
      <w:bookmarkStart w:id="410" w:name="_Toc3304"/>
      <w:bookmarkStart w:id="411" w:name="_Toc152005933"/>
      <w:bookmarkStart w:id="412" w:name="_Toc30177"/>
      <w:bookmarkStart w:id="413" w:name="_Toc13256"/>
      <w:bookmarkStart w:id="414" w:name="_Toc5620333"/>
      <w:r>
        <w:rPr>
          <w:rFonts w:hint="eastAsia" w:ascii="宋体" w:hAnsi="宋体" w:eastAsia="宋体" w:cs="宋体"/>
          <w:color w:val="auto"/>
          <w:highlight w:val="none"/>
          <w:lang w:val="zh-CN"/>
        </w:rPr>
        <w:t>7. 合同授予</w:t>
      </w:r>
      <w:bookmarkEnd w:id="410"/>
      <w:bookmarkEnd w:id="411"/>
      <w:bookmarkEnd w:id="412"/>
      <w:bookmarkEnd w:id="413"/>
      <w:bookmarkEnd w:id="414"/>
    </w:p>
    <w:p w14:paraId="794A7BE5">
      <w:pPr>
        <w:pStyle w:val="5"/>
        <w:spacing w:before="0" w:after="0" w:line="360" w:lineRule="auto"/>
        <w:ind w:firstLine="0"/>
        <w:rPr>
          <w:rFonts w:ascii="宋体" w:hAnsi="宋体" w:eastAsia="宋体"/>
          <w:b/>
          <w:color w:val="auto"/>
          <w:sz w:val="21"/>
          <w:szCs w:val="21"/>
          <w:highlight w:val="none"/>
        </w:rPr>
      </w:pPr>
      <w:bookmarkStart w:id="415" w:name="_Toc18404"/>
      <w:bookmarkStart w:id="416" w:name="_Toc23132"/>
      <w:bookmarkStart w:id="417" w:name="_Toc152005934"/>
      <w:bookmarkStart w:id="418" w:name="_Toc5620334"/>
      <w:bookmarkStart w:id="419" w:name="_Toc3446"/>
      <w:r>
        <w:rPr>
          <w:rFonts w:hint="eastAsia" w:ascii="宋体" w:hAnsi="宋体" w:eastAsia="宋体"/>
          <w:b/>
          <w:color w:val="auto"/>
          <w:sz w:val="21"/>
          <w:szCs w:val="21"/>
          <w:highlight w:val="none"/>
        </w:rPr>
        <w:t>7.1 定标方式</w:t>
      </w:r>
      <w:bookmarkEnd w:id="415"/>
      <w:bookmarkEnd w:id="416"/>
      <w:bookmarkEnd w:id="417"/>
      <w:bookmarkEnd w:id="418"/>
      <w:bookmarkEnd w:id="419"/>
    </w:p>
    <w:p w14:paraId="6D8C0360">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7.1.1招标人依法组建定标委员会，根据定标委员会递交的定标报告，最终审定中标人。</w:t>
      </w:r>
    </w:p>
    <w:p w14:paraId="77F41162">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7.1.2 依法必须进行公开招标的项目，招标人应当根据定标报告确定的中标候选人为中标人</w:t>
      </w:r>
    </w:p>
    <w:p w14:paraId="69548627">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7.1.3</w:t>
      </w:r>
      <w:r>
        <w:rPr>
          <w:rFonts w:hint="eastAsia" w:ascii="宋体" w:hAnsi="宋体" w:cs="宋体"/>
          <w:color w:val="auto"/>
          <w:kern w:val="1"/>
          <w:szCs w:val="21"/>
          <w:highlight w:val="none"/>
        </w:rPr>
        <w:t>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中标人资格或解除合同，可由原定标委员会根据原定标办法从其他合格的中标候选人中重新票决确定中标人，招标人也可以依法重新招标。</w:t>
      </w:r>
    </w:p>
    <w:p w14:paraId="6C12019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7.1.4重新评标的，评标信息仍以投标截止时投标人的信息为准。因特殊原因需要延长投标有效期，投标人拒绝延长投标有效期的，仍参与评标，但不被推荐为中标候选人。</w:t>
      </w:r>
    </w:p>
    <w:p w14:paraId="4F4F12B0">
      <w:pPr>
        <w:pStyle w:val="5"/>
        <w:spacing w:before="0" w:after="0" w:line="360" w:lineRule="auto"/>
        <w:ind w:firstLine="0"/>
        <w:rPr>
          <w:rFonts w:ascii="宋体" w:hAnsi="宋体" w:eastAsia="宋体"/>
          <w:b/>
          <w:color w:val="auto"/>
          <w:sz w:val="21"/>
          <w:szCs w:val="21"/>
          <w:highlight w:val="none"/>
        </w:rPr>
      </w:pPr>
      <w:bookmarkStart w:id="420" w:name="_Toc18573"/>
      <w:bookmarkStart w:id="421" w:name="_Toc152005935"/>
      <w:bookmarkStart w:id="422" w:name="_Toc7395"/>
      <w:bookmarkStart w:id="423" w:name="_Toc5620335"/>
      <w:bookmarkStart w:id="424" w:name="_Toc19474"/>
      <w:r>
        <w:rPr>
          <w:rFonts w:hint="eastAsia" w:ascii="宋体" w:hAnsi="宋体" w:eastAsia="宋体"/>
          <w:b/>
          <w:color w:val="auto"/>
          <w:sz w:val="21"/>
          <w:szCs w:val="21"/>
          <w:highlight w:val="none"/>
        </w:rPr>
        <w:t>7.2 合格中标候选人及</w:t>
      </w:r>
      <w:r>
        <w:rPr>
          <w:rFonts w:hint="eastAsia" w:ascii="宋体" w:hAnsi="宋体" w:eastAsia="宋体"/>
          <w:b/>
          <w:color w:val="auto"/>
          <w:sz w:val="21"/>
          <w:szCs w:val="21"/>
          <w:highlight w:val="none"/>
          <w:u w:val="single"/>
        </w:rPr>
        <w:t>中标结果</w:t>
      </w:r>
      <w:r>
        <w:rPr>
          <w:rFonts w:hint="eastAsia" w:ascii="宋体" w:hAnsi="宋体" w:eastAsia="宋体"/>
          <w:b/>
          <w:color w:val="auto"/>
          <w:sz w:val="21"/>
          <w:szCs w:val="21"/>
          <w:highlight w:val="none"/>
        </w:rPr>
        <w:t>公示</w:t>
      </w:r>
      <w:bookmarkEnd w:id="420"/>
      <w:bookmarkEnd w:id="421"/>
      <w:bookmarkEnd w:id="422"/>
      <w:bookmarkEnd w:id="423"/>
      <w:bookmarkEnd w:id="424"/>
    </w:p>
    <w:p w14:paraId="02AA2C82">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7.2.1</w:t>
      </w:r>
      <w:r>
        <w:rPr>
          <w:rFonts w:hint="eastAsia" w:ascii="宋体" w:hAnsi="宋体" w:cs="宋体"/>
          <w:color w:val="auto"/>
          <w:kern w:val="1"/>
          <w:highlight w:val="none"/>
        </w:rPr>
        <w:t>招标人在投标人须知前附表规定的媒介公示合格中标候选人，公示期为三天，最后一天应为工作日。</w:t>
      </w:r>
      <w:r>
        <w:rPr>
          <w:rFonts w:hint="eastAsia" w:ascii="宋体" w:hAnsi="宋体" w:cs="宋体"/>
          <w:color w:val="auto"/>
          <w:kern w:val="1"/>
          <w:szCs w:val="21"/>
          <w:highlight w:val="none"/>
        </w:rPr>
        <w:t>。</w:t>
      </w:r>
    </w:p>
    <w:p w14:paraId="1919BD66">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7.2.2合格中标候选人公示时，招标人将合格中标候选人的投标文件商务部分文件的电子文件（包括人员、业绩、奖项等资料）在广州交易集团有限公司（广州公共资源交易中心）和广东省招标投标监管网公开。</w:t>
      </w:r>
    </w:p>
    <w:p w14:paraId="1B59F8F2">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7.2.3投标人或其他利害关系人对评标结果有异议的，应当在合格中标候选人公示期间提出，可以通过线下或线上的形式提出异议。线上提交的，应通过交易平台进行，招标人也应通过交易平台答复线上提交的异议。作出答复前，应当暂停招标投标活动。</w:t>
      </w:r>
    </w:p>
    <w:p w14:paraId="45B2C1CE">
      <w:pPr>
        <w:pStyle w:val="15"/>
        <w:spacing w:line="360" w:lineRule="auto"/>
        <w:ind w:left="0" w:leftChars="0"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7.2.4定标结束后，招标人3日内在广州交易集团有限公司（广州公共资源交易中心）网、广东省招标投标监管网和中国招标投标公共服务平台公开中标结果。</w:t>
      </w:r>
    </w:p>
    <w:p w14:paraId="2FBBC8E8">
      <w:pPr>
        <w:pStyle w:val="15"/>
        <w:spacing w:line="360" w:lineRule="auto"/>
        <w:ind w:left="0" w:leftChars="0"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7.2.5招标人或招标代理机构将在定标结束后对中标人的企业资质证书有效期进行复核，如果中标人在定标结束后6天内尚未提供资质有效期延续核准的，招标人否决其中标资格，按照招标文件第三章“评标、定标办法”3.5重新组织定标，或重新组织招标。</w:t>
      </w:r>
    </w:p>
    <w:p w14:paraId="5A895793">
      <w:pPr>
        <w:pStyle w:val="11"/>
        <w:spacing w:line="360" w:lineRule="auto"/>
        <w:rPr>
          <w:color w:val="auto"/>
          <w:highlight w:val="none"/>
          <w:lang w:val="en-US"/>
        </w:rPr>
      </w:pPr>
    </w:p>
    <w:p w14:paraId="1C1DEBB0">
      <w:pPr>
        <w:pStyle w:val="5"/>
        <w:spacing w:before="0" w:after="0" w:line="360" w:lineRule="auto"/>
        <w:ind w:firstLine="0"/>
        <w:rPr>
          <w:rFonts w:ascii="宋体" w:hAnsi="宋体" w:eastAsia="宋体"/>
          <w:b/>
          <w:color w:val="auto"/>
          <w:sz w:val="21"/>
          <w:szCs w:val="21"/>
          <w:highlight w:val="none"/>
        </w:rPr>
      </w:pPr>
      <w:bookmarkStart w:id="425" w:name="_Toc28278"/>
      <w:bookmarkStart w:id="426" w:name="_Toc152005936"/>
      <w:bookmarkStart w:id="427" w:name="_Toc20852"/>
      <w:bookmarkStart w:id="428" w:name="_Toc11224"/>
      <w:bookmarkStart w:id="429" w:name="_Toc5620336"/>
      <w:r>
        <w:rPr>
          <w:rFonts w:hint="eastAsia" w:ascii="宋体" w:hAnsi="宋体" w:eastAsia="宋体"/>
          <w:b/>
          <w:color w:val="auto"/>
          <w:sz w:val="21"/>
          <w:szCs w:val="21"/>
          <w:highlight w:val="none"/>
        </w:rPr>
        <w:t>7.3 中标通知</w:t>
      </w:r>
      <w:bookmarkEnd w:id="425"/>
      <w:bookmarkEnd w:id="426"/>
      <w:bookmarkEnd w:id="427"/>
      <w:bookmarkEnd w:id="428"/>
      <w:bookmarkEnd w:id="429"/>
    </w:p>
    <w:p w14:paraId="53E667C2">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rPr>
        <w:t>7.3.1在本章第3.3 款规定的投标有效期内，</w:t>
      </w:r>
      <w:r>
        <w:rPr>
          <w:rFonts w:hint="eastAsia" w:ascii="宋体" w:hAnsi="宋体" w:cs="宋体"/>
          <w:color w:val="auto"/>
          <w:kern w:val="1"/>
          <w:highlight w:val="none"/>
          <w:u w:val="single"/>
        </w:rPr>
        <w:t>中标人自行于广州交易集团有限公司（广州公共资源交易中心）交易平台下载中标通知书，同时招标人将中标结果通过广州交易集团有限公司（广州公共资源交易中心）网站公开发布。中标人须对其投标文件真实性负责，并准备投标文件涉及的所有原件待查，如存在弄虚作假情况或原件不齐或与原件不符的，招标人有权取消其中标人资格，并上报建设行政主管部门。</w:t>
      </w:r>
    </w:p>
    <w:p w14:paraId="45ED9028">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1BCEAE4A">
      <w:pPr>
        <w:pStyle w:val="5"/>
        <w:spacing w:before="0" w:after="0" w:line="360" w:lineRule="auto"/>
        <w:ind w:firstLine="0"/>
        <w:rPr>
          <w:rFonts w:ascii="宋体" w:hAnsi="宋体" w:eastAsia="宋体"/>
          <w:b/>
          <w:color w:val="auto"/>
          <w:sz w:val="21"/>
          <w:szCs w:val="21"/>
          <w:highlight w:val="none"/>
        </w:rPr>
      </w:pPr>
      <w:bookmarkStart w:id="430" w:name="_Toc26932"/>
      <w:bookmarkStart w:id="431" w:name="_Toc30443"/>
      <w:bookmarkStart w:id="432" w:name="_Toc5620337"/>
      <w:bookmarkStart w:id="433" w:name="_Toc18439"/>
      <w:bookmarkStart w:id="434" w:name="_Toc152005937"/>
      <w:r>
        <w:rPr>
          <w:rFonts w:hint="eastAsia" w:ascii="宋体" w:hAnsi="宋体" w:eastAsia="宋体"/>
          <w:b/>
          <w:color w:val="auto"/>
          <w:sz w:val="21"/>
          <w:szCs w:val="21"/>
          <w:highlight w:val="none"/>
        </w:rPr>
        <w:t>7.4 履约担保</w:t>
      </w:r>
      <w:bookmarkEnd w:id="430"/>
      <w:bookmarkEnd w:id="431"/>
      <w:bookmarkEnd w:id="432"/>
      <w:bookmarkEnd w:id="433"/>
      <w:bookmarkEnd w:id="434"/>
    </w:p>
    <w:p w14:paraId="53BFEEC0">
      <w:pPr>
        <w:spacing w:line="360" w:lineRule="auto"/>
        <w:ind w:firstLine="420"/>
        <w:rPr>
          <w:rFonts w:ascii="宋体" w:hAnsi="宋体" w:cs="宋体"/>
          <w:color w:val="auto"/>
          <w:kern w:val="1"/>
          <w:highlight w:val="none"/>
        </w:rPr>
      </w:pPr>
      <w:r>
        <w:rPr>
          <w:rFonts w:hint="eastAsia" w:ascii="宋体" w:hAnsi="宋体" w:cs="宋体"/>
          <w:color w:val="auto"/>
          <w:kern w:val="1"/>
          <w:szCs w:val="21"/>
          <w:highlight w:val="none"/>
        </w:rPr>
        <w:t>7.4.1 在签订合同前，中标人应按投标人须知前附表规定的担保形式向招标人提交履约担保。除投标人须知前附表另有规定外，履约担保金额为</w:t>
      </w:r>
      <w:r>
        <w:rPr>
          <w:rFonts w:hint="eastAsia" w:ascii="宋体" w:hAnsi="宋体" w:cs="宋体"/>
          <w:color w:val="auto"/>
          <w:kern w:val="1"/>
          <w:szCs w:val="21"/>
          <w:highlight w:val="none"/>
          <w:lang w:val="en-US" w:eastAsia="zh-CN"/>
        </w:rPr>
        <w:t>每期</w:t>
      </w:r>
      <w:r>
        <w:rPr>
          <w:rFonts w:hint="eastAsia" w:ascii="宋体" w:hAnsi="宋体" w:cs="宋体"/>
          <w:color w:val="auto"/>
          <w:kern w:val="1"/>
          <w:szCs w:val="21"/>
          <w:highlight w:val="none"/>
        </w:rPr>
        <w:t>合同总价的</w:t>
      </w:r>
      <w:r>
        <w:rPr>
          <w:rFonts w:hint="eastAsia" w:ascii="宋体" w:hAnsi="宋体" w:cs="宋体"/>
          <w:color w:val="auto"/>
          <w:kern w:val="1"/>
          <w:szCs w:val="21"/>
          <w:highlight w:val="none"/>
          <w:lang w:val="en-US" w:eastAsia="zh-CN"/>
        </w:rPr>
        <w:t>10</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履约保函的担保期限为</w:t>
      </w:r>
      <w:r>
        <w:rPr>
          <w:rFonts w:hint="eastAsia" w:ascii="宋体" w:hAnsi="宋体" w:cs="宋体"/>
          <w:color w:val="auto"/>
          <w:kern w:val="1"/>
          <w:szCs w:val="21"/>
          <w:highlight w:val="none"/>
          <w:u w:val="single"/>
          <w:lang w:val="en-US" w:eastAsia="zh-CN"/>
        </w:rPr>
        <w:t>提供每期</w:t>
      </w:r>
      <w:r>
        <w:rPr>
          <w:rFonts w:hint="eastAsia" w:ascii="宋体" w:hAnsi="宋体" w:cs="宋体"/>
          <w:color w:val="auto"/>
          <w:kern w:val="1"/>
          <w:szCs w:val="21"/>
          <w:highlight w:val="none"/>
          <w:u w:val="single"/>
        </w:rPr>
        <w:t>履约担保之日起至</w:t>
      </w:r>
      <w:r>
        <w:rPr>
          <w:rFonts w:hint="eastAsia" w:ascii="宋体" w:hAnsi="宋体" w:cs="宋体"/>
          <w:color w:val="auto"/>
          <w:kern w:val="1"/>
          <w:szCs w:val="21"/>
          <w:highlight w:val="none"/>
          <w:u w:val="single"/>
          <w:lang w:val="en-US" w:eastAsia="zh-CN"/>
        </w:rPr>
        <w:t>每期</w:t>
      </w:r>
      <w:r>
        <w:rPr>
          <w:rFonts w:hint="eastAsia" w:ascii="宋体" w:hAnsi="宋体" w:cs="宋体"/>
          <w:color w:val="auto"/>
          <w:kern w:val="1"/>
          <w:szCs w:val="21"/>
          <w:highlight w:val="none"/>
          <w:u w:val="single"/>
        </w:rPr>
        <w:t>合同工程经结算审定部门结算审定完成并移交工程档案后止。</w:t>
      </w:r>
    </w:p>
    <w:p w14:paraId="7C4D3502">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7.4.2 中标人不能按本章第7.4.1项要求提交履约担保的，视为放弃中标，</w:t>
      </w:r>
      <w:r>
        <w:rPr>
          <w:rFonts w:hint="eastAsia"/>
          <w:color w:val="auto"/>
          <w:highlight w:val="none"/>
        </w:rPr>
        <w:t>其</w:t>
      </w:r>
      <w:r>
        <w:rPr>
          <w:rFonts w:hint="eastAsia"/>
          <w:color w:val="auto"/>
          <w:highlight w:val="none"/>
          <w:lang w:val="en-US" w:eastAsia="zh-CN"/>
        </w:rPr>
        <w:t>补交的</w:t>
      </w:r>
      <w:r>
        <w:rPr>
          <w:rFonts w:hint="eastAsia"/>
          <w:color w:val="auto"/>
          <w:highlight w:val="none"/>
        </w:rPr>
        <w:t>投标保证金不予退还，</w:t>
      </w:r>
      <w:r>
        <w:rPr>
          <w:rFonts w:hint="eastAsia" w:ascii="宋体" w:hAnsi="宋体" w:cs="宋体"/>
          <w:color w:val="auto"/>
          <w:kern w:val="1"/>
          <w:szCs w:val="21"/>
          <w:highlight w:val="none"/>
        </w:rPr>
        <w:t>给招标人造成损失的，中标人还应当予以赔偿。</w:t>
      </w:r>
    </w:p>
    <w:p w14:paraId="5D56B167">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7.4.3在收到中标通知书的30日内，中标人在按投标须知前附表7.4.1项的规定向招标人提交履约担保；如果中标人的履约担保是以银行保函的形式提供，则该银行保函应由在中国注册且营业点在广州行政辖区内的银行开具。</w:t>
      </w:r>
    </w:p>
    <w:p w14:paraId="3FBA9BB4">
      <w:pPr>
        <w:spacing w:line="360" w:lineRule="auto"/>
        <w:ind w:firstLine="420"/>
        <w:rPr>
          <w:rFonts w:ascii="宋体" w:hAnsi="宋体" w:cs="宋体"/>
          <w:color w:val="auto"/>
          <w:kern w:val="1"/>
          <w:szCs w:val="21"/>
          <w:highlight w:val="none"/>
          <w:u w:val="single"/>
        </w:rPr>
      </w:pPr>
      <w:r>
        <w:rPr>
          <w:rFonts w:hint="eastAsia" w:ascii="宋体" w:hAnsi="宋体" w:cs="宋体"/>
          <w:color w:val="auto"/>
          <w:szCs w:val="21"/>
          <w:highlight w:val="none"/>
          <w:u w:val="single"/>
        </w:rPr>
        <w:t>7.4.4 中标通知书发出之日起30日后，中标人未按上款的规定提交履约担保，招标人将解除中标通知书，并依法承担相应法律责任。原中标人给招标人造成的损失，还应当予以赔偿。原中标人有异议的，可以向人民法院起诉。</w:t>
      </w:r>
    </w:p>
    <w:p w14:paraId="649AF29D">
      <w:pPr>
        <w:pStyle w:val="5"/>
        <w:spacing w:before="0" w:after="0" w:line="360" w:lineRule="auto"/>
        <w:ind w:firstLine="0"/>
        <w:rPr>
          <w:rFonts w:ascii="宋体" w:hAnsi="宋体" w:eastAsia="宋体"/>
          <w:b/>
          <w:color w:val="auto"/>
          <w:sz w:val="21"/>
          <w:szCs w:val="21"/>
          <w:highlight w:val="none"/>
        </w:rPr>
      </w:pPr>
      <w:bookmarkStart w:id="435" w:name="_Toc152005938"/>
      <w:bookmarkStart w:id="436" w:name="_Toc5620338"/>
      <w:bookmarkStart w:id="437" w:name="_Toc18213"/>
      <w:bookmarkStart w:id="438" w:name="_Toc29250"/>
      <w:bookmarkStart w:id="439" w:name="_Toc14835"/>
      <w:r>
        <w:rPr>
          <w:rFonts w:hint="eastAsia" w:ascii="宋体" w:hAnsi="宋体" w:eastAsia="宋体"/>
          <w:b/>
          <w:color w:val="auto"/>
          <w:sz w:val="21"/>
          <w:szCs w:val="21"/>
          <w:highlight w:val="none"/>
        </w:rPr>
        <w:t>7.5 签订合同</w:t>
      </w:r>
      <w:bookmarkEnd w:id="435"/>
      <w:bookmarkEnd w:id="436"/>
      <w:bookmarkEnd w:id="437"/>
      <w:bookmarkEnd w:id="438"/>
      <w:bookmarkEnd w:id="439"/>
    </w:p>
    <w:p w14:paraId="1ABDEB1B">
      <w:pPr>
        <w:spacing w:line="360" w:lineRule="auto"/>
        <w:ind w:firstLine="420"/>
        <w:rPr>
          <w:rFonts w:ascii="宋体" w:hAnsi="宋体" w:cs="宋体"/>
          <w:b/>
          <w:color w:val="auto"/>
          <w:kern w:val="1"/>
          <w:szCs w:val="24"/>
          <w:highlight w:val="none"/>
        </w:rPr>
      </w:pPr>
      <w:r>
        <w:rPr>
          <w:rFonts w:hint="eastAsia" w:ascii="宋体" w:hAnsi="宋体" w:cs="宋体"/>
          <w:color w:val="auto"/>
          <w:kern w:val="1"/>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给招标人造成损失的，中标人还应当予以赔偿。</w:t>
      </w:r>
      <w:bookmarkStart w:id="440" w:name="_Toc11555"/>
      <w:bookmarkEnd w:id="440"/>
      <w:bookmarkStart w:id="441" w:name="_Toc15670"/>
      <w:bookmarkEnd w:id="441"/>
      <w:bookmarkStart w:id="442" w:name="_Toc443505830"/>
      <w:bookmarkEnd w:id="442"/>
    </w:p>
    <w:p w14:paraId="57C61979">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7.5.2 发出中标通知书后，招标人无正当理由拒签合同</w:t>
      </w:r>
      <w:r>
        <w:rPr>
          <w:rFonts w:hint="eastAsia"/>
          <w:color w:val="auto"/>
          <w:highlight w:val="none"/>
        </w:rPr>
        <w:t>的，招标人向中标人退还投标保证金；</w:t>
      </w:r>
      <w:r>
        <w:rPr>
          <w:rFonts w:hint="eastAsia" w:ascii="宋体" w:hAnsi="宋体" w:cs="宋体"/>
          <w:color w:val="auto"/>
          <w:kern w:val="1"/>
          <w:highlight w:val="none"/>
          <w:u w:val="single"/>
        </w:rPr>
        <w:t>给中标人造成损失的，还应当赔偿损失</w:t>
      </w:r>
      <w:r>
        <w:rPr>
          <w:rFonts w:hint="eastAsia" w:ascii="宋体" w:hAnsi="宋体" w:cs="宋体"/>
          <w:color w:val="auto"/>
          <w:kern w:val="1"/>
          <w:highlight w:val="none"/>
        </w:rPr>
        <w:t>。</w:t>
      </w:r>
    </w:p>
    <w:p w14:paraId="1D3149C8">
      <w:pPr>
        <w:pStyle w:val="4"/>
        <w:spacing w:before="240" w:beforeLines="100" w:after="240" w:afterLines="100" w:line="360" w:lineRule="auto"/>
        <w:rPr>
          <w:rFonts w:ascii="宋体" w:hAnsi="宋体" w:eastAsia="宋体" w:cs="宋体"/>
          <w:color w:val="auto"/>
          <w:highlight w:val="none"/>
          <w:lang w:val="zh-CN"/>
        </w:rPr>
      </w:pPr>
      <w:bookmarkStart w:id="443" w:name="_Toc21320"/>
      <w:bookmarkEnd w:id="443"/>
      <w:bookmarkStart w:id="444" w:name="_Toc443505831"/>
      <w:bookmarkEnd w:id="444"/>
      <w:bookmarkStart w:id="445" w:name="_Toc30835"/>
      <w:bookmarkEnd w:id="445"/>
      <w:bookmarkStart w:id="446" w:name="_Toc10604"/>
      <w:bookmarkStart w:id="447" w:name="_Toc152005939"/>
      <w:bookmarkStart w:id="448" w:name="_Toc15049"/>
      <w:bookmarkStart w:id="449" w:name="_Toc5620339"/>
      <w:bookmarkStart w:id="450" w:name="_Toc9984"/>
      <w:r>
        <w:rPr>
          <w:rFonts w:hint="eastAsia" w:ascii="宋体" w:hAnsi="宋体" w:eastAsia="宋体" w:cs="宋体"/>
          <w:color w:val="auto"/>
          <w:highlight w:val="none"/>
          <w:lang w:val="zh-CN"/>
        </w:rPr>
        <w:t>8. 纪律和监督</w:t>
      </w:r>
      <w:bookmarkEnd w:id="446"/>
      <w:bookmarkEnd w:id="447"/>
      <w:bookmarkEnd w:id="448"/>
      <w:bookmarkEnd w:id="449"/>
      <w:bookmarkEnd w:id="450"/>
    </w:p>
    <w:p w14:paraId="77217B53">
      <w:pPr>
        <w:spacing w:line="360" w:lineRule="auto"/>
        <w:rPr>
          <w:rFonts w:ascii="宋体" w:hAnsi="宋体" w:cs="宋体"/>
          <w:b/>
          <w:color w:val="auto"/>
          <w:kern w:val="1"/>
          <w:szCs w:val="21"/>
          <w:highlight w:val="none"/>
          <w:lang w:val="zh-CN"/>
        </w:rPr>
      </w:pPr>
      <w:bookmarkStart w:id="451" w:name="_Toc30367"/>
      <w:bookmarkEnd w:id="451"/>
      <w:bookmarkStart w:id="452" w:name="_Toc443505832"/>
      <w:bookmarkEnd w:id="452"/>
      <w:bookmarkStart w:id="453" w:name="_Toc7252"/>
      <w:bookmarkEnd w:id="453"/>
      <w:bookmarkStart w:id="454" w:name="_Toc5620340"/>
      <w:r>
        <w:rPr>
          <w:rFonts w:hint="eastAsia" w:ascii="宋体" w:hAnsi="宋体" w:cs="宋体"/>
          <w:b/>
          <w:color w:val="auto"/>
          <w:kern w:val="1"/>
          <w:szCs w:val="21"/>
          <w:highlight w:val="none"/>
          <w:lang w:val="zh-CN"/>
        </w:rPr>
        <w:t>8.1 对招标人的纪律要求</w:t>
      </w:r>
      <w:bookmarkEnd w:id="454"/>
    </w:p>
    <w:p w14:paraId="6E746D59">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招标人不得泄漏招标投标活动中应当保密的情况和资料，不得与投标人串通损害国家利益、社会公共利益或者他人合法权益。</w:t>
      </w:r>
    </w:p>
    <w:p w14:paraId="2CA4D8D5">
      <w:pPr>
        <w:spacing w:line="360" w:lineRule="auto"/>
        <w:rPr>
          <w:rFonts w:ascii="宋体" w:hAnsi="宋体" w:cs="宋体"/>
          <w:b/>
          <w:color w:val="auto"/>
          <w:kern w:val="1"/>
          <w:highlight w:val="none"/>
        </w:rPr>
      </w:pPr>
      <w:r>
        <w:rPr>
          <w:rFonts w:hint="eastAsia" w:ascii="宋体" w:hAnsi="宋体" w:cs="宋体"/>
          <w:b/>
          <w:color w:val="auto"/>
          <w:kern w:val="1"/>
          <w:szCs w:val="21"/>
          <w:highlight w:val="none"/>
        </w:rPr>
        <w:t>8.2 对投标人的纪律要求</w:t>
      </w:r>
    </w:p>
    <w:p w14:paraId="058D2994">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投标人不得相互串通投标或者与招标人串通投标，不得向招标人或者评标、定标委员会成员行贿谋取中标，不得以他人名义投标或者以其他方式弄虚作假骗取中标；投标人不得以任何方式干扰、影响评标、定标工作。</w:t>
      </w:r>
    </w:p>
    <w:p w14:paraId="603B8F52">
      <w:pPr>
        <w:spacing w:line="360" w:lineRule="auto"/>
        <w:rPr>
          <w:rFonts w:ascii="宋体" w:hAnsi="宋体" w:cs="宋体"/>
          <w:b/>
          <w:color w:val="auto"/>
          <w:kern w:val="1"/>
          <w:highlight w:val="none"/>
        </w:rPr>
      </w:pPr>
      <w:r>
        <w:rPr>
          <w:rFonts w:hint="eastAsia" w:ascii="宋体" w:hAnsi="宋体" w:cs="宋体"/>
          <w:b/>
          <w:bCs/>
          <w:color w:val="auto"/>
          <w:kern w:val="1"/>
          <w:szCs w:val="21"/>
          <w:highlight w:val="none"/>
        </w:rPr>
        <w:t xml:space="preserve">8.3 </w:t>
      </w:r>
      <w:r>
        <w:rPr>
          <w:rFonts w:hint="eastAsia" w:ascii="宋体" w:hAnsi="宋体" w:cs="宋体"/>
          <w:b/>
          <w:color w:val="auto"/>
          <w:kern w:val="1"/>
          <w:highlight w:val="none"/>
        </w:rPr>
        <w:t>对评标委员会成员的纪律要求</w:t>
      </w:r>
    </w:p>
    <w:p w14:paraId="50E5DE45">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评标委员会成员不得收受他人的财物或者其他好处，不得向他人透漏对投标文件的评审和比较、合格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40F39F9">
      <w:pPr>
        <w:spacing w:line="360" w:lineRule="auto"/>
        <w:rPr>
          <w:rFonts w:ascii="宋体" w:hAnsi="宋体" w:cs="宋体"/>
          <w:b/>
          <w:color w:val="auto"/>
          <w:kern w:val="1"/>
          <w:highlight w:val="none"/>
        </w:rPr>
      </w:pPr>
      <w:r>
        <w:rPr>
          <w:rFonts w:hint="eastAsia" w:ascii="宋体" w:hAnsi="宋体" w:cs="宋体"/>
          <w:b/>
          <w:color w:val="auto"/>
          <w:kern w:val="1"/>
          <w:szCs w:val="21"/>
          <w:highlight w:val="none"/>
        </w:rPr>
        <w:t>8.4 对与定标活动有关的工作人员的纪律要求</w:t>
      </w:r>
    </w:p>
    <w:p w14:paraId="1A7CEB08">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与定标活动有关的工作人员不得收受他人的财物或者其他好处，不得向他人透漏对投标文件的评审和比较、中标人的推荐情况以及定标有关的其他情况。在定标活动中，与定标活动有关的工作人员不得擅离职守，影响定标程序正常进行。</w:t>
      </w:r>
    </w:p>
    <w:p w14:paraId="4BD9EAD6">
      <w:pPr>
        <w:spacing w:line="360" w:lineRule="auto"/>
        <w:rPr>
          <w:rFonts w:ascii="宋体" w:hAnsi="宋体" w:cs="宋体"/>
          <w:b/>
          <w:color w:val="auto"/>
          <w:kern w:val="1"/>
          <w:highlight w:val="none"/>
        </w:rPr>
      </w:pPr>
      <w:r>
        <w:rPr>
          <w:rFonts w:hint="eastAsia" w:ascii="宋体" w:hAnsi="宋体" w:cs="宋体"/>
          <w:b/>
          <w:bCs/>
          <w:color w:val="auto"/>
          <w:kern w:val="1"/>
          <w:szCs w:val="21"/>
          <w:highlight w:val="none"/>
        </w:rPr>
        <w:t>8.5 投诉</w:t>
      </w:r>
    </w:p>
    <w:p w14:paraId="442830EA">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投标人和其他利害关系人认为本次招标活动违反法律、法规和规章规定的，有权向有关行政监督部门投诉。</w:t>
      </w:r>
    </w:p>
    <w:p w14:paraId="6ED3FF96">
      <w:pPr>
        <w:pStyle w:val="4"/>
        <w:spacing w:line="360" w:lineRule="auto"/>
        <w:rPr>
          <w:rFonts w:ascii="宋体" w:hAnsi="宋体" w:eastAsia="宋体" w:cs="宋体"/>
          <w:color w:val="auto"/>
          <w:highlight w:val="none"/>
          <w:lang w:val="zh-CN"/>
        </w:rPr>
      </w:pPr>
      <w:bookmarkStart w:id="455" w:name="_Toc10775"/>
      <w:bookmarkEnd w:id="455"/>
      <w:bookmarkStart w:id="456" w:name="_Toc17396"/>
      <w:bookmarkEnd w:id="456"/>
      <w:bookmarkStart w:id="457" w:name="_Toc443505833"/>
      <w:bookmarkEnd w:id="457"/>
      <w:bookmarkStart w:id="458" w:name="_Toc5620341"/>
      <w:bookmarkStart w:id="459" w:name="_Toc3019"/>
      <w:bookmarkStart w:id="460" w:name="_Toc28140"/>
      <w:bookmarkStart w:id="461" w:name="_Toc11223"/>
      <w:bookmarkStart w:id="462" w:name="_Toc152005940"/>
      <w:r>
        <w:rPr>
          <w:rFonts w:hint="eastAsia" w:ascii="宋体" w:hAnsi="宋体" w:eastAsia="宋体" w:cs="宋体"/>
          <w:color w:val="auto"/>
          <w:highlight w:val="none"/>
          <w:lang w:val="zh-CN"/>
        </w:rPr>
        <w:t>9. 需要补充的其他内容</w:t>
      </w:r>
      <w:bookmarkEnd w:id="458"/>
      <w:bookmarkEnd w:id="459"/>
      <w:bookmarkEnd w:id="460"/>
      <w:bookmarkEnd w:id="461"/>
      <w:bookmarkEnd w:id="462"/>
    </w:p>
    <w:p w14:paraId="0229CE12">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需要补充的其他内容：见投标人须知前附表。</w:t>
      </w:r>
    </w:p>
    <w:p w14:paraId="2779CB8E">
      <w:pPr>
        <w:pStyle w:val="4"/>
        <w:spacing w:line="360" w:lineRule="auto"/>
        <w:rPr>
          <w:rFonts w:ascii="宋体" w:hAnsi="宋体" w:eastAsia="宋体" w:cs="宋体"/>
          <w:color w:val="auto"/>
          <w:highlight w:val="none"/>
          <w:lang w:val="zh-CN"/>
        </w:rPr>
      </w:pPr>
      <w:bookmarkStart w:id="463" w:name="_Toc26121"/>
      <w:bookmarkEnd w:id="463"/>
      <w:bookmarkStart w:id="464" w:name="_Toc3028"/>
      <w:bookmarkEnd w:id="464"/>
      <w:bookmarkStart w:id="465" w:name="_Toc443505834"/>
      <w:bookmarkEnd w:id="465"/>
      <w:bookmarkStart w:id="466" w:name="_Toc10563"/>
      <w:bookmarkStart w:id="467" w:name="_Toc14656"/>
      <w:bookmarkStart w:id="468" w:name="_Toc4295"/>
      <w:bookmarkStart w:id="469" w:name="_Toc152005941"/>
      <w:bookmarkStart w:id="470" w:name="_Toc5620342"/>
      <w:r>
        <w:rPr>
          <w:rFonts w:hint="eastAsia" w:ascii="宋体" w:hAnsi="宋体" w:eastAsia="宋体" w:cs="宋体"/>
          <w:color w:val="auto"/>
          <w:highlight w:val="none"/>
          <w:lang w:val="zh-CN"/>
        </w:rPr>
        <w:t>10. 电子招标投标</w:t>
      </w:r>
      <w:bookmarkEnd w:id="466"/>
      <w:bookmarkEnd w:id="467"/>
      <w:bookmarkEnd w:id="468"/>
      <w:bookmarkEnd w:id="469"/>
      <w:bookmarkEnd w:id="470"/>
    </w:p>
    <w:p w14:paraId="270CB49E">
      <w:pPr>
        <w:spacing w:line="360" w:lineRule="auto"/>
        <w:ind w:firstLine="420"/>
        <w:rPr>
          <w:rFonts w:ascii="宋体" w:hAnsi="宋体" w:cs="宋体"/>
          <w:color w:val="auto"/>
          <w:kern w:val="1"/>
          <w:highlight w:val="none"/>
          <w:u w:val="single"/>
        </w:rPr>
      </w:pPr>
      <w:r>
        <w:rPr>
          <w:rFonts w:hint="eastAsia"/>
          <w:color w:val="auto"/>
          <w:highlight w:val="none"/>
        </w:rPr>
        <w:t>采用电子招标投标，对投标文件的编制、密封和标记、递交、开标、评标等具体要求，见投标人须知前附表。</w:t>
      </w:r>
    </w:p>
    <w:p w14:paraId="37A9B332">
      <w:pPr>
        <w:pStyle w:val="4"/>
        <w:spacing w:line="360" w:lineRule="auto"/>
        <w:rPr>
          <w:rFonts w:ascii="宋体" w:hAnsi="宋体" w:eastAsia="宋体" w:cs="宋体"/>
          <w:color w:val="auto"/>
          <w:highlight w:val="none"/>
          <w:u w:val="single"/>
          <w:lang w:val="zh-CN"/>
        </w:rPr>
      </w:pPr>
      <w:bookmarkStart w:id="471" w:name="_Toc20042"/>
      <w:bookmarkEnd w:id="471"/>
      <w:bookmarkStart w:id="472" w:name="_Toc25267"/>
      <w:bookmarkEnd w:id="472"/>
      <w:bookmarkStart w:id="473" w:name="_Toc29306"/>
      <w:bookmarkStart w:id="474" w:name="_Toc152005942"/>
      <w:bookmarkStart w:id="475" w:name="_Toc18807"/>
      <w:bookmarkStart w:id="476" w:name="_Toc5620343"/>
      <w:bookmarkStart w:id="477" w:name="_Toc32213"/>
      <w:bookmarkStart w:id="478" w:name="_Toc22520"/>
      <w:r>
        <w:rPr>
          <w:rFonts w:hint="eastAsia" w:ascii="宋体" w:hAnsi="宋体" w:eastAsia="宋体" w:cs="宋体"/>
          <w:color w:val="auto"/>
          <w:highlight w:val="none"/>
          <w:u w:val="single"/>
          <w:lang w:val="zh-CN"/>
        </w:rPr>
        <w:t>11.其他</w:t>
      </w:r>
      <w:bookmarkEnd w:id="473"/>
      <w:bookmarkEnd w:id="474"/>
      <w:bookmarkEnd w:id="475"/>
    </w:p>
    <w:p w14:paraId="1E01CAEF">
      <w:pPr>
        <w:spacing w:line="360" w:lineRule="auto"/>
        <w:ind w:firstLine="420" w:firstLineChars="200"/>
        <w:rPr>
          <w:rFonts w:ascii="宋体" w:hAnsi="宋体" w:cs="宋体"/>
          <w:color w:val="auto"/>
          <w:kern w:val="1"/>
          <w:highlight w:val="none"/>
          <w:u w:val="single"/>
        </w:rPr>
      </w:pPr>
      <w:bookmarkStart w:id="479" w:name="_Toc5620344"/>
      <w:r>
        <w:rPr>
          <w:rFonts w:hint="eastAsia" w:ascii="宋体" w:hAnsi="宋体" w:cs="宋体"/>
          <w:color w:val="auto"/>
          <w:kern w:val="1"/>
          <w:highlight w:val="none"/>
          <w:u w:val="single"/>
        </w:rPr>
        <w:t>11.1 投标人按招标文件要求递交的所有资料,若存在虚假材料，一经发现或被投诉，经确认证实后，招标人将取消其中标资格，并上报给相关主管部门予以通报。</w:t>
      </w:r>
      <w:bookmarkEnd w:id="479"/>
    </w:p>
    <w:p w14:paraId="2A3715FF">
      <w:pP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u w:val="single"/>
        </w:rPr>
        <w:t>11.2投标人如在本项目中存在串通投标、弄虚作假骗取中标、行贿情形的，中标无效，行政监督部门将对其违法行为进行政处罚。该投标人将被招标人列入黑名单并限制其参与招标人后续项目的投标。</w:t>
      </w:r>
      <w:bookmarkEnd w:id="476"/>
      <w:bookmarkEnd w:id="477"/>
      <w:bookmarkEnd w:id="478"/>
    </w:p>
    <w:p w14:paraId="0E7B8D63">
      <w:pPr>
        <w:spacing w:line="360" w:lineRule="auto"/>
        <w:ind w:firstLine="420" w:firstLineChars="200"/>
        <w:rPr>
          <w:rFonts w:ascii="宋体" w:hAnsi="宋体" w:cs="宋体"/>
          <w:color w:val="auto"/>
          <w:kern w:val="1"/>
          <w:highlight w:val="none"/>
        </w:rPr>
        <w:sectPr>
          <w:headerReference r:id="rId3" w:type="default"/>
          <w:footerReference r:id="rId4" w:type="default"/>
          <w:pgSz w:w="11906" w:h="16838"/>
          <w:pgMar w:top="1440" w:right="1269" w:bottom="1440" w:left="1597" w:header="851" w:footer="992" w:gutter="0"/>
          <w:pgNumType w:start="1"/>
          <w:cols w:space="720" w:num="1"/>
        </w:sectPr>
      </w:pPr>
    </w:p>
    <w:p w14:paraId="2085AA1F">
      <w:pPr>
        <w:keepNext/>
        <w:keepLines/>
        <w:spacing w:before="120" w:after="120" w:line="360" w:lineRule="auto"/>
        <w:ind w:firstLine="136"/>
        <w:rPr>
          <w:rFonts w:ascii="宋体" w:hAnsi="宋体"/>
          <w:color w:val="auto"/>
          <w:highlight w:val="none"/>
        </w:rPr>
      </w:pPr>
      <w:bookmarkStart w:id="480" w:name="_Toc5620345"/>
      <w:r>
        <w:rPr>
          <w:rFonts w:hint="eastAsia" w:ascii="宋体" w:hAnsi="宋体"/>
          <w:color w:val="auto"/>
          <w:highlight w:val="none"/>
        </w:rPr>
        <w:t>附件一：开标记录表</w:t>
      </w:r>
      <w:bookmarkEnd w:id="480"/>
    </w:p>
    <w:p w14:paraId="56102393">
      <w:pPr>
        <w:spacing w:line="360" w:lineRule="auto"/>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rPr>
        <w:t>开标记录表</w:t>
      </w:r>
    </w:p>
    <w:p w14:paraId="49212FD1">
      <w:pPr>
        <w:spacing w:line="360" w:lineRule="auto"/>
        <w:ind w:right="420"/>
        <w:jc w:val="center"/>
        <w:rPr>
          <w:rFonts w:ascii="宋体" w:hAnsi="宋体" w:cs="宋体"/>
          <w:color w:val="auto"/>
          <w:kern w:val="1"/>
          <w:highlight w:val="none"/>
        </w:rPr>
      </w:pPr>
      <w:r>
        <w:rPr>
          <w:rFonts w:hint="eastAsia" w:ascii="宋体" w:hAnsi="宋体" w:cs="宋体"/>
          <w:color w:val="auto"/>
          <w:kern w:val="1"/>
          <w:highlight w:val="none"/>
        </w:rPr>
        <w:t xml:space="preserve">                                                                                                   开标时间： 年 月 日 时 分</w:t>
      </w:r>
    </w:p>
    <w:tbl>
      <w:tblPr>
        <w:tblStyle w:val="20"/>
        <w:tblW w:w="13589" w:type="dxa"/>
        <w:tblInd w:w="0" w:type="dxa"/>
        <w:tblLayout w:type="fixed"/>
        <w:tblCellMar>
          <w:top w:w="0" w:type="dxa"/>
          <w:left w:w="108" w:type="dxa"/>
          <w:bottom w:w="0" w:type="dxa"/>
          <w:right w:w="108" w:type="dxa"/>
        </w:tblCellMar>
      </w:tblPr>
      <w:tblGrid>
        <w:gridCol w:w="457"/>
        <w:gridCol w:w="1211"/>
        <w:gridCol w:w="639"/>
        <w:gridCol w:w="885"/>
        <w:gridCol w:w="665"/>
        <w:gridCol w:w="594"/>
        <w:gridCol w:w="909"/>
        <w:gridCol w:w="909"/>
        <w:gridCol w:w="909"/>
        <w:gridCol w:w="727"/>
        <w:gridCol w:w="1093"/>
        <w:gridCol w:w="567"/>
        <w:gridCol w:w="567"/>
        <w:gridCol w:w="567"/>
        <w:gridCol w:w="478"/>
        <w:gridCol w:w="463"/>
        <w:gridCol w:w="476"/>
        <w:gridCol w:w="819"/>
        <w:gridCol w:w="654"/>
      </w:tblGrid>
      <w:tr w14:paraId="46E85DB0">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14:paraId="214871BA">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序号</w:t>
            </w:r>
          </w:p>
        </w:tc>
        <w:tc>
          <w:tcPr>
            <w:tcW w:w="1211" w:type="dxa"/>
            <w:vMerge w:val="restart"/>
            <w:tcBorders>
              <w:top w:val="single" w:color="000000" w:sz="4" w:space="0"/>
              <w:left w:val="single" w:color="000000" w:sz="4" w:space="0"/>
              <w:bottom w:val="single" w:color="000000" w:sz="4" w:space="0"/>
              <w:right w:val="single" w:color="000000" w:sz="4" w:space="0"/>
            </w:tcBorders>
            <w:vAlign w:val="center"/>
          </w:tcPr>
          <w:p w14:paraId="3B352EA3">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14:paraId="5347C5D8">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431C1C5E">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2FA9C631">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14:paraId="6EC95D99">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质量标准</w:t>
            </w:r>
          </w:p>
        </w:tc>
        <w:tc>
          <w:tcPr>
            <w:tcW w:w="909" w:type="dxa"/>
            <w:vMerge w:val="restart"/>
            <w:tcBorders>
              <w:top w:val="single" w:color="000000" w:sz="4" w:space="0"/>
              <w:left w:val="single" w:color="auto" w:sz="4" w:space="0"/>
              <w:right w:val="single" w:color="000000" w:sz="4" w:space="0"/>
            </w:tcBorders>
            <w:vAlign w:val="center"/>
          </w:tcPr>
          <w:p w14:paraId="66EF0FA8">
            <w:pPr>
              <w:spacing w:line="360" w:lineRule="auto"/>
              <w:jc w:val="center"/>
              <w:rPr>
                <w:rFonts w:hint="eastAsia" w:ascii="宋体" w:hAnsi="宋体" w:eastAsia="宋体" w:cs="宋体"/>
                <w:color w:val="auto"/>
                <w:kern w:val="1"/>
                <w:sz w:val="18"/>
                <w:szCs w:val="18"/>
                <w:highlight w:val="none"/>
                <w:lang w:eastAsia="zh-CN"/>
              </w:rPr>
            </w:pPr>
            <w:r>
              <w:rPr>
                <w:rFonts w:hint="eastAsia" w:ascii="宋体" w:hAnsi="宋体" w:cs="宋体"/>
                <w:color w:val="auto"/>
                <w:kern w:val="1"/>
                <w:sz w:val="18"/>
                <w:szCs w:val="18"/>
                <w:highlight w:val="none"/>
              </w:rPr>
              <w:t>项目负责人</w:t>
            </w:r>
            <w:r>
              <w:rPr>
                <w:rFonts w:hint="eastAsia" w:ascii="宋体" w:hAnsi="宋体" w:cs="宋体"/>
                <w:color w:val="auto"/>
                <w:kern w:val="1"/>
                <w:sz w:val="18"/>
                <w:szCs w:val="18"/>
                <w:highlight w:val="none"/>
                <w:lang w:eastAsia="zh-CN"/>
              </w:rPr>
              <w:t>（</w:t>
            </w:r>
            <w:r>
              <w:rPr>
                <w:rFonts w:hint="eastAsia" w:ascii="宋体" w:hAnsi="宋体" w:cs="宋体"/>
                <w:color w:val="auto"/>
                <w:kern w:val="1"/>
                <w:sz w:val="18"/>
                <w:szCs w:val="18"/>
                <w:highlight w:val="none"/>
                <w:lang w:val="en-US" w:eastAsia="zh-CN"/>
              </w:rPr>
              <w:t>兼</w:t>
            </w:r>
            <w:r>
              <w:rPr>
                <w:rFonts w:hint="eastAsia" w:ascii="宋体" w:hAnsi="宋体" w:cs="宋体"/>
                <w:color w:val="auto"/>
                <w:kern w:val="1"/>
                <w:sz w:val="18"/>
                <w:szCs w:val="18"/>
                <w:highlight w:val="none"/>
              </w:rPr>
              <w:t>施工负责人</w:t>
            </w:r>
            <w:r>
              <w:rPr>
                <w:rFonts w:hint="eastAsia" w:ascii="宋体" w:hAnsi="宋体" w:cs="宋体"/>
                <w:color w:val="auto"/>
                <w:kern w:val="1"/>
                <w:sz w:val="18"/>
                <w:szCs w:val="18"/>
                <w:highlight w:val="none"/>
                <w:lang w:eastAsia="zh-CN"/>
              </w:rPr>
              <w:t>）</w:t>
            </w:r>
          </w:p>
        </w:tc>
        <w:tc>
          <w:tcPr>
            <w:tcW w:w="909" w:type="dxa"/>
            <w:vMerge w:val="restart"/>
            <w:tcBorders>
              <w:top w:val="single" w:color="000000" w:sz="4" w:space="0"/>
              <w:left w:val="single" w:color="auto" w:sz="4" w:space="0"/>
              <w:right w:val="single" w:color="000000" w:sz="4" w:space="0"/>
            </w:tcBorders>
            <w:vAlign w:val="center"/>
          </w:tcPr>
          <w:p w14:paraId="517EFA63">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技术负责人</w:t>
            </w:r>
          </w:p>
        </w:tc>
        <w:tc>
          <w:tcPr>
            <w:tcW w:w="909" w:type="dxa"/>
            <w:vMerge w:val="restart"/>
            <w:tcBorders>
              <w:top w:val="single" w:color="000000" w:sz="4" w:space="0"/>
              <w:left w:val="single" w:color="auto" w:sz="4" w:space="0"/>
              <w:right w:val="single" w:color="000000" w:sz="4" w:space="0"/>
            </w:tcBorders>
            <w:vAlign w:val="center"/>
          </w:tcPr>
          <w:p w14:paraId="6A331739">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设计负责人</w:t>
            </w:r>
          </w:p>
        </w:tc>
        <w:tc>
          <w:tcPr>
            <w:tcW w:w="727" w:type="dxa"/>
            <w:vMerge w:val="restart"/>
            <w:tcBorders>
              <w:top w:val="single" w:color="000000" w:sz="4" w:space="0"/>
              <w:left w:val="single" w:color="000000" w:sz="4" w:space="0"/>
              <w:right w:val="single" w:color="000000" w:sz="4" w:space="0"/>
            </w:tcBorders>
            <w:vAlign w:val="center"/>
          </w:tcPr>
          <w:p w14:paraId="5A4E622A">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专职安全员</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307ECD28">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投标总报价（人民币：元）</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14:paraId="62757B8F">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总投标报价</w:t>
            </w:r>
          </w:p>
          <w:p w14:paraId="79121A89">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（人民币：元）</w:t>
            </w: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0EA4A8E9">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投标下浮率（%）</w:t>
            </w:r>
          </w:p>
        </w:tc>
        <w:tc>
          <w:tcPr>
            <w:tcW w:w="819" w:type="dxa"/>
            <w:vMerge w:val="restart"/>
            <w:tcBorders>
              <w:top w:val="single" w:color="000000" w:sz="4" w:space="0"/>
              <w:left w:val="single" w:color="auto" w:sz="4" w:space="0"/>
              <w:bottom w:val="single" w:color="000000" w:sz="4" w:space="0"/>
              <w:right w:val="single" w:color="000000" w:sz="4" w:space="0"/>
            </w:tcBorders>
            <w:vAlign w:val="center"/>
          </w:tcPr>
          <w:p w14:paraId="00C62881">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投标人代表签名</w:t>
            </w:r>
          </w:p>
        </w:tc>
        <w:tc>
          <w:tcPr>
            <w:tcW w:w="654" w:type="dxa"/>
            <w:vMerge w:val="restart"/>
            <w:tcBorders>
              <w:top w:val="single" w:color="000000" w:sz="4" w:space="0"/>
              <w:left w:val="single" w:color="000000" w:sz="4" w:space="0"/>
              <w:bottom w:val="single" w:color="000000" w:sz="4" w:space="0"/>
              <w:right w:val="single" w:color="000000" w:sz="4" w:space="0"/>
            </w:tcBorders>
            <w:vAlign w:val="center"/>
          </w:tcPr>
          <w:p w14:paraId="0FBAF6AD">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备注</w:t>
            </w:r>
          </w:p>
        </w:tc>
      </w:tr>
      <w:tr w14:paraId="03F2A37E">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40A265DE">
            <w:pPr>
              <w:spacing w:line="360" w:lineRule="auto"/>
              <w:jc w:val="left"/>
              <w:rPr>
                <w:rFonts w:ascii="宋体" w:hAnsi="宋体" w:cs="宋体"/>
                <w:color w:val="auto"/>
                <w:kern w:val="1"/>
                <w:sz w:val="18"/>
                <w:szCs w:val="18"/>
                <w:highlight w:val="none"/>
              </w:rPr>
            </w:pPr>
          </w:p>
        </w:tc>
        <w:tc>
          <w:tcPr>
            <w:tcW w:w="1211" w:type="dxa"/>
            <w:vMerge w:val="continue"/>
            <w:tcBorders>
              <w:top w:val="single" w:color="000000" w:sz="4" w:space="0"/>
              <w:left w:val="single" w:color="000000" w:sz="4" w:space="0"/>
              <w:bottom w:val="single" w:color="000000" w:sz="4" w:space="0"/>
              <w:right w:val="single" w:color="000000" w:sz="4" w:space="0"/>
            </w:tcBorders>
            <w:vAlign w:val="center"/>
          </w:tcPr>
          <w:p w14:paraId="2CA528C7">
            <w:pPr>
              <w:spacing w:line="360" w:lineRule="auto"/>
              <w:jc w:val="left"/>
              <w:rPr>
                <w:rFonts w:ascii="宋体" w:hAnsi="宋体" w:cs="宋体"/>
                <w:color w:val="auto"/>
                <w:kern w:val="1"/>
                <w:sz w:val="18"/>
                <w:szCs w:val="18"/>
                <w:highlight w:val="none"/>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43C63A98">
            <w:pPr>
              <w:spacing w:line="360" w:lineRule="auto"/>
              <w:jc w:val="left"/>
              <w:rPr>
                <w:rFonts w:ascii="宋体" w:hAnsi="宋体" w:cs="宋体"/>
                <w:color w:val="auto"/>
                <w:kern w:val="1"/>
                <w:sz w:val="18"/>
                <w:szCs w:val="18"/>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5F41D56A">
            <w:pPr>
              <w:spacing w:line="360" w:lineRule="auto"/>
              <w:jc w:val="left"/>
              <w:rPr>
                <w:rFonts w:ascii="宋体" w:hAnsi="宋体" w:cs="宋体"/>
                <w:color w:val="auto"/>
                <w:kern w:val="1"/>
                <w:sz w:val="18"/>
                <w:szCs w:val="18"/>
                <w:highlight w:val="none"/>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4C3F6D83">
            <w:pPr>
              <w:spacing w:line="360" w:lineRule="auto"/>
              <w:jc w:val="left"/>
              <w:rPr>
                <w:rFonts w:ascii="宋体" w:hAnsi="宋体" w:cs="宋体"/>
                <w:color w:val="auto"/>
                <w:kern w:val="1"/>
                <w:sz w:val="18"/>
                <w:szCs w:val="18"/>
                <w:highlight w:val="none"/>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8B9758D">
            <w:pPr>
              <w:spacing w:line="360" w:lineRule="auto"/>
              <w:jc w:val="left"/>
              <w:rPr>
                <w:rFonts w:ascii="宋体" w:hAnsi="宋体" w:cs="宋体"/>
                <w:color w:val="auto"/>
                <w:kern w:val="1"/>
                <w:sz w:val="18"/>
                <w:szCs w:val="18"/>
                <w:highlight w:val="none"/>
              </w:rPr>
            </w:pPr>
          </w:p>
        </w:tc>
        <w:tc>
          <w:tcPr>
            <w:tcW w:w="909" w:type="dxa"/>
            <w:vMerge w:val="continue"/>
            <w:tcBorders>
              <w:left w:val="single" w:color="auto" w:sz="4" w:space="0"/>
              <w:bottom w:val="single" w:color="000000" w:sz="4" w:space="0"/>
              <w:right w:val="single" w:color="000000" w:sz="4" w:space="0"/>
            </w:tcBorders>
            <w:vAlign w:val="center"/>
          </w:tcPr>
          <w:p w14:paraId="1B7D319D">
            <w:pPr>
              <w:spacing w:line="360" w:lineRule="auto"/>
              <w:jc w:val="center"/>
              <w:rPr>
                <w:rFonts w:ascii="宋体" w:hAnsi="宋体" w:cs="宋体"/>
                <w:color w:val="auto"/>
                <w:kern w:val="1"/>
                <w:sz w:val="18"/>
                <w:szCs w:val="18"/>
                <w:highlight w:val="none"/>
              </w:rPr>
            </w:pPr>
          </w:p>
        </w:tc>
        <w:tc>
          <w:tcPr>
            <w:tcW w:w="909" w:type="dxa"/>
            <w:vMerge w:val="continue"/>
            <w:tcBorders>
              <w:left w:val="single" w:color="auto" w:sz="4" w:space="0"/>
              <w:bottom w:val="single" w:color="000000" w:sz="4" w:space="0"/>
              <w:right w:val="single" w:color="000000" w:sz="4" w:space="0"/>
            </w:tcBorders>
            <w:vAlign w:val="center"/>
          </w:tcPr>
          <w:p w14:paraId="244707B1">
            <w:pPr>
              <w:spacing w:line="360" w:lineRule="auto"/>
              <w:jc w:val="center"/>
              <w:rPr>
                <w:rFonts w:ascii="宋体" w:hAnsi="宋体" w:cs="宋体"/>
                <w:color w:val="auto"/>
                <w:kern w:val="1"/>
                <w:sz w:val="18"/>
                <w:szCs w:val="18"/>
                <w:highlight w:val="none"/>
              </w:rPr>
            </w:pPr>
          </w:p>
        </w:tc>
        <w:tc>
          <w:tcPr>
            <w:tcW w:w="909" w:type="dxa"/>
            <w:vMerge w:val="continue"/>
            <w:tcBorders>
              <w:left w:val="single" w:color="auto" w:sz="4" w:space="0"/>
              <w:bottom w:val="single" w:color="000000" w:sz="4" w:space="0"/>
              <w:right w:val="single" w:color="000000" w:sz="4" w:space="0"/>
            </w:tcBorders>
            <w:vAlign w:val="center"/>
          </w:tcPr>
          <w:p w14:paraId="76BBF922">
            <w:pPr>
              <w:spacing w:line="360" w:lineRule="auto"/>
              <w:jc w:val="center"/>
              <w:rPr>
                <w:rFonts w:ascii="宋体" w:hAnsi="宋体" w:cs="宋体"/>
                <w:color w:val="auto"/>
                <w:kern w:val="1"/>
                <w:sz w:val="18"/>
                <w:szCs w:val="18"/>
                <w:highlight w:val="none"/>
              </w:rPr>
            </w:pPr>
          </w:p>
        </w:tc>
        <w:tc>
          <w:tcPr>
            <w:tcW w:w="727" w:type="dxa"/>
            <w:vMerge w:val="continue"/>
            <w:tcBorders>
              <w:left w:val="single" w:color="000000" w:sz="4" w:space="0"/>
              <w:bottom w:val="single" w:color="000000" w:sz="4" w:space="0"/>
              <w:right w:val="single" w:color="000000" w:sz="4" w:space="0"/>
            </w:tcBorders>
            <w:vAlign w:val="center"/>
          </w:tcPr>
          <w:p w14:paraId="59D5A143">
            <w:pPr>
              <w:spacing w:line="360" w:lineRule="auto"/>
              <w:jc w:val="center"/>
              <w:rPr>
                <w:rFonts w:ascii="宋体" w:hAnsi="宋体" w:cs="宋体"/>
                <w:color w:val="auto"/>
                <w:kern w:val="1"/>
                <w:sz w:val="18"/>
                <w:szCs w:val="18"/>
                <w:highlight w:val="none"/>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31B51A4">
            <w:pPr>
              <w:spacing w:line="360" w:lineRule="auto"/>
              <w:jc w:val="left"/>
              <w:rPr>
                <w:rFonts w:ascii="宋体" w:hAnsi="宋体" w:cs="宋体"/>
                <w:color w:val="auto"/>
                <w:kern w:val="1"/>
                <w:sz w:val="18"/>
                <w:szCs w:val="18"/>
                <w:highlight w:val="none"/>
              </w:rPr>
            </w:pPr>
          </w:p>
        </w:tc>
        <w:tc>
          <w:tcPr>
            <w:tcW w:w="567" w:type="dxa"/>
            <w:tcBorders>
              <w:top w:val="single" w:color="000000" w:sz="4" w:space="0"/>
              <w:left w:val="single" w:color="000000" w:sz="4" w:space="0"/>
              <w:bottom w:val="single" w:color="000000" w:sz="4" w:space="0"/>
              <w:right w:val="single" w:color="auto" w:sz="4" w:space="0"/>
            </w:tcBorders>
            <w:vAlign w:val="center"/>
          </w:tcPr>
          <w:p w14:paraId="5A778ED0">
            <w:pPr>
              <w:spacing w:line="360" w:lineRule="auto"/>
              <w:jc w:val="center"/>
              <w:rPr>
                <w:rFonts w:ascii="宋体" w:hAnsi="宋体" w:cs="宋体"/>
                <w:color w:val="auto"/>
                <w:kern w:val="1"/>
                <w:highlight w:val="none"/>
              </w:rPr>
            </w:pPr>
            <w:r>
              <w:rPr>
                <w:rFonts w:hint="eastAsia" w:ascii="宋体" w:hAnsi="宋体" w:cs="宋体"/>
                <w:color w:val="auto"/>
                <w:kern w:val="1"/>
                <w:sz w:val="18"/>
                <w:szCs w:val="18"/>
                <w:highlight w:val="none"/>
              </w:rPr>
              <w:t>勘察费</w:t>
            </w:r>
          </w:p>
        </w:tc>
        <w:tc>
          <w:tcPr>
            <w:tcW w:w="567" w:type="dxa"/>
            <w:tcBorders>
              <w:top w:val="single" w:color="000000" w:sz="4" w:space="0"/>
              <w:left w:val="single" w:color="auto" w:sz="4" w:space="0"/>
              <w:bottom w:val="single" w:color="000000" w:sz="4" w:space="0"/>
              <w:right w:val="single" w:color="000000" w:sz="4" w:space="0"/>
            </w:tcBorders>
            <w:vAlign w:val="center"/>
          </w:tcPr>
          <w:p w14:paraId="25588F6E">
            <w:pPr>
              <w:spacing w:line="360" w:lineRule="auto"/>
              <w:jc w:val="center"/>
              <w:rPr>
                <w:rFonts w:ascii="宋体" w:hAnsi="宋体" w:cs="宋体"/>
                <w:color w:val="auto"/>
                <w:kern w:val="1"/>
                <w:highlight w:val="none"/>
              </w:rPr>
            </w:pPr>
            <w:r>
              <w:rPr>
                <w:rFonts w:hint="eastAsia" w:ascii="宋体" w:hAnsi="宋体" w:cs="宋体"/>
                <w:color w:val="auto"/>
                <w:kern w:val="1"/>
                <w:sz w:val="18"/>
                <w:szCs w:val="18"/>
                <w:highlight w:val="none"/>
              </w:rPr>
              <w:t>设计费</w:t>
            </w:r>
          </w:p>
        </w:tc>
        <w:tc>
          <w:tcPr>
            <w:tcW w:w="567" w:type="dxa"/>
            <w:tcBorders>
              <w:top w:val="single" w:color="000000" w:sz="4" w:space="0"/>
              <w:left w:val="single" w:color="000000" w:sz="4" w:space="0"/>
              <w:bottom w:val="single" w:color="000000" w:sz="4" w:space="0"/>
              <w:right w:val="single" w:color="000000" w:sz="4" w:space="0"/>
            </w:tcBorders>
            <w:vAlign w:val="center"/>
          </w:tcPr>
          <w:p w14:paraId="3ACDD6EF">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建安工程费</w:t>
            </w:r>
          </w:p>
        </w:tc>
        <w:tc>
          <w:tcPr>
            <w:tcW w:w="478" w:type="dxa"/>
            <w:tcBorders>
              <w:top w:val="single" w:color="000000" w:sz="4" w:space="0"/>
              <w:left w:val="single" w:color="000000" w:sz="4" w:space="0"/>
              <w:bottom w:val="single" w:color="000000" w:sz="4" w:space="0"/>
              <w:right w:val="single" w:color="auto" w:sz="4" w:space="0"/>
            </w:tcBorders>
            <w:vAlign w:val="center"/>
          </w:tcPr>
          <w:p w14:paraId="07765706">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勘察费</w:t>
            </w:r>
          </w:p>
        </w:tc>
        <w:tc>
          <w:tcPr>
            <w:tcW w:w="463" w:type="dxa"/>
            <w:tcBorders>
              <w:top w:val="single" w:color="000000" w:sz="4" w:space="0"/>
              <w:left w:val="single" w:color="auto" w:sz="4" w:space="0"/>
              <w:bottom w:val="single" w:color="000000" w:sz="4" w:space="0"/>
              <w:right w:val="single" w:color="000000" w:sz="4" w:space="0"/>
            </w:tcBorders>
            <w:vAlign w:val="center"/>
          </w:tcPr>
          <w:p w14:paraId="23DBF70D">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设计费</w:t>
            </w:r>
          </w:p>
        </w:tc>
        <w:tc>
          <w:tcPr>
            <w:tcW w:w="476" w:type="dxa"/>
            <w:tcBorders>
              <w:top w:val="single" w:color="000000" w:sz="4" w:space="0"/>
              <w:left w:val="single" w:color="000000" w:sz="4" w:space="0"/>
              <w:bottom w:val="single" w:color="000000" w:sz="4" w:space="0"/>
              <w:right w:val="single" w:color="000000" w:sz="4" w:space="0"/>
            </w:tcBorders>
            <w:vAlign w:val="center"/>
          </w:tcPr>
          <w:p w14:paraId="67A5D729">
            <w:pPr>
              <w:spacing w:line="360" w:lineRule="auto"/>
              <w:jc w:val="left"/>
              <w:rPr>
                <w:rFonts w:ascii="宋体" w:hAnsi="宋体" w:cs="宋体"/>
                <w:color w:val="auto"/>
                <w:kern w:val="1"/>
                <w:sz w:val="18"/>
                <w:szCs w:val="18"/>
                <w:highlight w:val="none"/>
              </w:rPr>
            </w:pPr>
            <w:r>
              <w:rPr>
                <w:rFonts w:hint="eastAsia" w:ascii="宋体" w:hAnsi="宋体" w:cs="宋体"/>
                <w:color w:val="auto"/>
                <w:kern w:val="1"/>
                <w:sz w:val="18"/>
                <w:szCs w:val="18"/>
                <w:highlight w:val="none"/>
              </w:rPr>
              <w:t>建安工程费</w:t>
            </w:r>
          </w:p>
        </w:tc>
        <w:tc>
          <w:tcPr>
            <w:tcW w:w="819" w:type="dxa"/>
            <w:vMerge w:val="continue"/>
            <w:tcBorders>
              <w:top w:val="single" w:color="000000" w:sz="4" w:space="0"/>
              <w:left w:val="single" w:color="auto" w:sz="4" w:space="0"/>
              <w:bottom w:val="single" w:color="000000" w:sz="4" w:space="0"/>
              <w:right w:val="single" w:color="000000" w:sz="4" w:space="0"/>
            </w:tcBorders>
          </w:tcPr>
          <w:p w14:paraId="62EDC7D0">
            <w:pPr>
              <w:spacing w:line="360" w:lineRule="auto"/>
              <w:jc w:val="left"/>
              <w:rPr>
                <w:rFonts w:ascii="宋体" w:hAnsi="宋体" w:cs="宋体"/>
                <w:color w:val="auto"/>
                <w:kern w:val="1"/>
                <w:sz w:val="18"/>
                <w:szCs w:val="18"/>
                <w:highlight w:val="none"/>
              </w:rPr>
            </w:pPr>
          </w:p>
        </w:tc>
        <w:tc>
          <w:tcPr>
            <w:tcW w:w="654" w:type="dxa"/>
            <w:vMerge w:val="continue"/>
            <w:tcBorders>
              <w:top w:val="single" w:color="000000" w:sz="4" w:space="0"/>
              <w:left w:val="single" w:color="000000" w:sz="4" w:space="0"/>
              <w:bottom w:val="single" w:color="000000" w:sz="4" w:space="0"/>
              <w:right w:val="single" w:color="000000" w:sz="4" w:space="0"/>
            </w:tcBorders>
          </w:tcPr>
          <w:p w14:paraId="0377F835">
            <w:pPr>
              <w:spacing w:line="360" w:lineRule="auto"/>
              <w:jc w:val="left"/>
              <w:rPr>
                <w:rFonts w:ascii="宋体" w:hAnsi="宋体" w:cs="宋体"/>
                <w:color w:val="auto"/>
                <w:kern w:val="1"/>
                <w:sz w:val="18"/>
                <w:szCs w:val="18"/>
                <w:highlight w:val="none"/>
              </w:rPr>
            </w:pPr>
          </w:p>
        </w:tc>
      </w:tr>
      <w:tr w14:paraId="0203D251">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28BA6CFA">
            <w:pPr>
              <w:spacing w:line="360" w:lineRule="auto"/>
              <w:jc w:val="center"/>
              <w:rPr>
                <w:rFonts w:ascii="宋体" w:hAnsi="宋体" w:cs="宋体"/>
                <w:color w:val="auto"/>
                <w:kern w:val="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01A77A8A">
            <w:pPr>
              <w:spacing w:line="360" w:lineRule="auto"/>
              <w:jc w:val="center"/>
              <w:rPr>
                <w:rFonts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0196427">
            <w:pPr>
              <w:spacing w:line="360" w:lineRule="auto"/>
              <w:jc w:val="center"/>
              <w:rPr>
                <w:rFonts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44E8A494">
            <w:pPr>
              <w:spacing w:line="360" w:lineRule="auto"/>
              <w:jc w:val="center"/>
              <w:rPr>
                <w:rFonts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3DF6F50A">
            <w:pPr>
              <w:spacing w:line="360" w:lineRule="auto"/>
              <w:jc w:val="center"/>
              <w:rPr>
                <w:rFonts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8B6372D">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3265BBB9">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5592E9B6">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1A64F7A6">
            <w:pPr>
              <w:spacing w:line="360" w:lineRule="auto"/>
              <w:jc w:val="center"/>
              <w:rPr>
                <w:rFonts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3C1B1CC4">
            <w:pPr>
              <w:spacing w:line="360" w:lineRule="auto"/>
              <w:jc w:val="center"/>
              <w:rPr>
                <w:rFonts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51E302F1">
            <w:pPr>
              <w:spacing w:line="360" w:lineRule="auto"/>
              <w:jc w:val="center"/>
              <w:rPr>
                <w:rFonts w:ascii="宋体" w:hAnsi="宋体" w:cs="宋体"/>
                <w:color w:val="auto"/>
                <w:kern w:val="1"/>
                <w:szCs w:val="21"/>
                <w:highlight w:val="none"/>
              </w:rPr>
            </w:pPr>
          </w:p>
        </w:tc>
        <w:tc>
          <w:tcPr>
            <w:tcW w:w="567" w:type="dxa"/>
            <w:tcBorders>
              <w:top w:val="single" w:color="000000" w:sz="4" w:space="0"/>
              <w:left w:val="single" w:color="000000" w:sz="4" w:space="0"/>
              <w:bottom w:val="single" w:color="000000" w:sz="4" w:space="0"/>
              <w:right w:val="single" w:color="auto" w:sz="4" w:space="0"/>
            </w:tcBorders>
          </w:tcPr>
          <w:p w14:paraId="36E89681">
            <w:pPr>
              <w:spacing w:line="360" w:lineRule="auto"/>
              <w:jc w:val="center"/>
              <w:rPr>
                <w:rFonts w:ascii="宋体" w:hAnsi="宋体" w:cs="宋体"/>
                <w:color w:val="auto"/>
                <w:kern w:val="1"/>
                <w:szCs w:val="21"/>
                <w:highlight w:val="none"/>
              </w:rPr>
            </w:pPr>
          </w:p>
        </w:tc>
        <w:tc>
          <w:tcPr>
            <w:tcW w:w="567" w:type="dxa"/>
            <w:tcBorders>
              <w:top w:val="single" w:color="000000" w:sz="4" w:space="0"/>
              <w:left w:val="single" w:color="auto" w:sz="4" w:space="0"/>
              <w:bottom w:val="single" w:color="000000" w:sz="4" w:space="0"/>
              <w:right w:val="single" w:color="000000" w:sz="4" w:space="0"/>
            </w:tcBorders>
          </w:tcPr>
          <w:p w14:paraId="3F5DED17">
            <w:pPr>
              <w:spacing w:line="360" w:lineRule="auto"/>
              <w:jc w:val="center"/>
              <w:rPr>
                <w:rFonts w:ascii="宋体" w:hAnsi="宋体" w:cs="宋体"/>
                <w:color w:val="auto"/>
                <w:kern w:val="1"/>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356DF84C">
            <w:pPr>
              <w:spacing w:line="360" w:lineRule="auto"/>
              <w:jc w:val="center"/>
              <w:rPr>
                <w:rFonts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6CDE11DC">
            <w:pPr>
              <w:spacing w:line="360" w:lineRule="auto"/>
              <w:jc w:val="center"/>
              <w:rPr>
                <w:rFonts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3BAFF8E3">
            <w:pPr>
              <w:spacing w:line="360" w:lineRule="auto"/>
              <w:jc w:val="center"/>
              <w:rPr>
                <w:rFonts w:ascii="宋体" w:hAnsi="宋体" w:cs="宋体"/>
                <w:color w:val="auto"/>
                <w:kern w:val="1"/>
                <w:szCs w:val="21"/>
                <w:highlight w:val="none"/>
              </w:rPr>
            </w:pPr>
          </w:p>
        </w:tc>
        <w:tc>
          <w:tcPr>
            <w:tcW w:w="476" w:type="dxa"/>
            <w:tcBorders>
              <w:top w:val="single" w:color="000000" w:sz="4" w:space="0"/>
              <w:left w:val="single" w:color="000000" w:sz="4" w:space="0"/>
              <w:bottom w:val="single" w:color="000000" w:sz="4" w:space="0"/>
              <w:right w:val="single" w:color="000000" w:sz="4" w:space="0"/>
            </w:tcBorders>
          </w:tcPr>
          <w:p w14:paraId="55B1DD3D">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0EDCFE15">
            <w:pPr>
              <w:spacing w:line="360" w:lineRule="auto"/>
              <w:jc w:val="center"/>
              <w:rPr>
                <w:rFonts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053F631A">
            <w:pPr>
              <w:spacing w:line="360" w:lineRule="auto"/>
              <w:jc w:val="center"/>
              <w:rPr>
                <w:rFonts w:ascii="宋体" w:hAnsi="宋体" w:cs="宋体"/>
                <w:color w:val="auto"/>
                <w:kern w:val="1"/>
                <w:szCs w:val="21"/>
                <w:highlight w:val="none"/>
              </w:rPr>
            </w:pPr>
          </w:p>
        </w:tc>
      </w:tr>
      <w:tr w14:paraId="74AF4717">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54EDAAAC">
            <w:pPr>
              <w:spacing w:line="360" w:lineRule="auto"/>
              <w:jc w:val="center"/>
              <w:rPr>
                <w:rFonts w:ascii="宋体" w:hAnsi="宋体" w:cs="宋体"/>
                <w:color w:val="auto"/>
                <w:kern w:val="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0F168889">
            <w:pPr>
              <w:spacing w:line="360" w:lineRule="auto"/>
              <w:jc w:val="center"/>
              <w:rPr>
                <w:rFonts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FB3A438">
            <w:pPr>
              <w:spacing w:line="360" w:lineRule="auto"/>
              <w:jc w:val="center"/>
              <w:rPr>
                <w:rFonts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2EC04759">
            <w:pPr>
              <w:spacing w:line="360" w:lineRule="auto"/>
              <w:jc w:val="center"/>
              <w:rPr>
                <w:rFonts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52FE2A3">
            <w:pPr>
              <w:spacing w:line="360" w:lineRule="auto"/>
              <w:jc w:val="center"/>
              <w:rPr>
                <w:rFonts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9AF478E">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70FA1438">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109D9DDE">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1D021050">
            <w:pPr>
              <w:spacing w:line="360" w:lineRule="auto"/>
              <w:jc w:val="center"/>
              <w:rPr>
                <w:rFonts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0BDE4E8A">
            <w:pPr>
              <w:spacing w:line="360" w:lineRule="auto"/>
              <w:jc w:val="center"/>
              <w:rPr>
                <w:rFonts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C1DAD40">
            <w:pPr>
              <w:spacing w:line="360" w:lineRule="auto"/>
              <w:jc w:val="center"/>
              <w:rPr>
                <w:rFonts w:ascii="宋体" w:hAnsi="宋体" w:cs="宋体"/>
                <w:color w:val="auto"/>
                <w:kern w:val="1"/>
                <w:szCs w:val="21"/>
                <w:highlight w:val="none"/>
              </w:rPr>
            </w:pPr>
          </w:p>
        </w:tc>
        <w:tc>
          <w:tcPr>
            <w:tcW w:w="567" w:type="dxa"/>
            <w:tcBorders>
              <w:top w:val="single" w:color="000000" w:sz="4" w:space="0"/>
              <w:left w:val="single" w:color="000000" w:sz="4" w:space="0"/>
              <w:bottom w:val="single" w:color="000000" w:sz="4" w:space="0"/>
              <w:right w:val="single" w:color="auto" w:sz="4" w:space="0"/>
            </w:tcBorders>
          </w:tcPr>
          <w:p w14:paraId="6FD33367">
            <w:pPr>
              <w:spacing w:line="360" w:lineRule="auto"/>
              <w:jc w:val="center"/>
              <w:rPr>
                <w:rFonts w:ascii="宋体" w:hAnsi="宋体" w:cs="宋体"/>
                <w:color w:val="auto"/>
                <w:kern w:val="1"/>
                <w:szCs w:val="21"/>
                <w:highlight w:val="none"/>
              </w:rPr>
            </w:pPr>
          </w:p>
        </w:tc>
        <w:tc>
          <w:tcPr>
            <w:tcW w:w="567" w:type="dxa"/>
            <w:tcBorders>
              <w:top w:val="single" w:color="000000" w:sz="4" w:space="0"/>
              <w:left w:val="single" w:color="auto" w:sz="4" w:space="0"/>
              <w:bottom w:val="single" w:color="000000" w:sz="4" w:space="0"/>
              <w:right w:val="single" w:color="000000" w:sz="4" w:space="0"/>
            </w:tcBorders>
          </w:tcPr>
          <w:p w14:paraId="2BEB1EFE">
            <w:pPr>
              <w:spacing w:line="360" w:lineRule="auto"/>
              <w:jc w:val="center"/>
              <w:rPr>
                <w:rFonts w:ascii="宋体" w:hAnsi="宋体" w:cs="宋体"/>
                <w:color w:val="auto"/>
                <w:kern w:val="1"/>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5C01AE17">
            <w:pPr>
              <w:spacing w:line="360" w:lineRule="auto"/>
              <w:jc w:val="center"/>
              <w:rPr>
                <w:rFonts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483D7266">
            <w:pPr>
              <w:spacing w:line="360" w:lineRule="auto"/>
              <w:jc w:val="center"/>
              <w:rPr>
                <w:rFonts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2737ECC7">
            <w:pPr>
              <w:spacing w:line="360" w:lineRule="auto"/>
              <w:jc w:val="center"/>
              <w:rPr>
                <w:rFonts w:ascii="宋体" w:hAnsi="宋体" w:cs="宋体"/>
                <w:color w:val="auto"/>
                <w:kern w:val="1"/>
                <w:szCs w:val="21"/>
                <w:highlight w:val="none"/>
              </w:rPr>
            </w:pPr>
          </w:p>
        </w:tc>
        <w:tc>
          <w:tcPr>
            <w:tcW w:w="476" w:type="dxa"/>
            <w:tcBorders>
              <w:top w:val="single" w:color="000000" w:sz="4" w:space="0"/>
              <w:left w:val="single" w:color="000000" w:sz="4" w:space="0"/>
              <w:bottom w:val="single" w:color="000000" w:sz="4" w:space="0"/>
              <w:right w:val="single" w:color="000000" w:sz="4" w:space="0"/>
            </w:tcBorders>
          </w:tcPr>
          <w:p w14:paraId="726CEA44">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7E4FEEE5">
            <w:pPr>
              <w:spacing w:line="360" w:lineRule="auto"/>
              <w:jc w:val="center"/>
              <w:rPr>
                <w:rFonts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4ED78157">
            <w:pPr>
              <w:spacing w:line="360" w:lineRule="auto"/>
              <w:jc w:val="center"/>
              <w:rPr>
                <w:rFonts w:ascii="宋体" w:hAnsi="宋体" w:cs="宋体"/>
                <w:color w:val="auto"/>
                <w:kern w:val="1"/>
                <w:szCs w:val="21"/>
                <w:highlight w:val="none"/>
              </w:rPr>
            </w:pPr>
          </w:p>
        </w:tc>
      </w:tr>
      <w:tr w14:paraId="4E28A604">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69A6B40E">
            <w:pPr>
              <w:spacing w:line="360" w:lineRule="auto"/>
              <w:jc w:val="center"/>
              <w:rPr>
                <w:rFonts w:ascii="宋体" w:hAnsi="宋体" w:cs="宋体"/>
                <w:color w:val="auto"/>
                <w:kern w:val="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04D02D3F">
            <w:pPr>
              <w:spacing w:line="360" w:lineRule="auto"/>
              <w:jc w:val="center"/>
              <w:rPr>
                <w:rFonts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23CEA17D">
            <w:pPr>
              <w:spacing w:line="360" w:lineRule="auto"/>
              <w:jc w:val="center"/>
              <w:rPr>
                <w:rFonts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75752204">
            <w:pPr>
              <w:spacing w:line="360" w:lineRule="auto"/>
              <w:jc w:val="center"/>
              <w:rPr>
                <w:rFonts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B055306">
            <w:pPr>
              <w:spacing w:line="360" w:lineRule="auto"/>
              <w:jc w:val="center"/>
              <w:rPr>
                <w:rFonts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D93EA71">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410CF20F">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4C4D428B">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6B2ED6EC">
            <w:pPr>
              <w:spacing w:line="360" w:lineRule="auto"/>
              <w:jc w:val="center"/>
              <w:rPr>
                <w:rFonts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0A2F0FAF">
            <w:pPr>
              <w:spacing w:line="360" w:lineRule="auto"/>
              <w:jc w:val="center"/>
              <w:rPr>
                <w:rFonts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22B99C57">
            <w:pPr>
              <w:spacing w:line="360" w:lineRule="auto"/>
              <w:jc w:val="center"/>
              <w:rPr>
                <w:rFonts w:ascii="宋体" w:hAnsi="宋体" w:cs="宋体"/>
                <w:color w:val="auto"/>
                <w:kern w:val="1"/>
                <w:szCs w:val="21"/>
                <w:highlight w:val="none"/>
              </w:rPr>
            </w:pPr>
          </w:p>
        </w:tc>
        <w:tc>
          <w:tcPr>
            <w:tcW w:w="567" w:type="dxa"/>
            <w:tcBorders>
              <w:top w:val="single" w:color="000000" w:sz="4" w:space="0"/>
              <w:left w:val="single" w:color="000000" w:sz="4" w:space="0"/>
              <w:bottom w:val="single" w:color="000000" w:sz="4" w:space="0"/>
              <w:right w:val="single" w:color="auto" w:sz="4" w:space="0"/>
            </w:tcBorders>
          </w:tcPr>
          <w:p w14:paraId="24CE9FBD">
            <w:pPr>
              <w:spacing w:line="360" w:lineRule="auto"/>
              <w:jc w:val="center"/>
              <w:rPr>
                <w:rFonts w:ascii="宋体" w:hAnsi="宋体" w:cs="宋体"/>
                <w:color w:val="auto"/>
                <w:kern w:val="1"/>
                <w:szCs w:val="21"/>
                <w:highlight w:val="none"/>
              </w:rPr>
            </w:pPr>
          </w:p>
        </w:tc>
        <w:tc>
          <w:tcPr>
            <w:tcW w:w="567" w:type="dxa"/>
            <w:tcBorders>
              <w:top w:val="single" w:color="000000" w:sz="4" w:space="0"/>
              <w:left w:val="single" w:color="auto" w:sz="4" w:space="0"/>
              <w:bottom w:val="single" w:color="000000" w:sz="4" w:space="0"/>
              <w:right w:val="single" w:color="000000" w:sz="4" w:space="0"/>
            </w:tcBorders>
          </w:tcPr>
          <w:p w14:paraId="67F527AD">
            <w:pPr>
              <w:spacing w:line="360" w:lineRule="auto"/>
              <w:jc w:val="center"/>
              <w:rPr>
                <w:rFonts w:ascii="宋体" w:hAnsi="宋体" w:cs="宋体"/>
                <w:color w:val="auto"/>
                <w:kern w:val="1"/>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27494BE7">
            <w:pPr>
              <w:spacing w:line="360" w:lineRule="auto"/>
              <w:jc w:val="center"/>
              <w:rPr>
                <w:rFonts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0DA19CBF">
            <w:pPr>
              <w:spacing w:line="360" w:lineRule="auto"/>
              <w:jc w:val="center"/>
              <w:rPr>
                <w:rFonts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1CFAFAD3">
            <w:pPr>
              <w:spacing w:line="360" w:lineRule="auto"/>
              <w:jc w:val="center"/>
              <w:rPr>
                <w:rFonts w:ascii="宋体" w:hAnsi="宋体" w:cs="宋体"/>
                <w:color w:val="auto"/>
                <w:kern w:val="1"/>
                <w:szCs w:val="21"/>
                <w:highlight w:val="none"/>
              </w:rPr>
            </w:pPr>
          </w:p>
        </w:tc>
        <w:tc>
          <w:tcPr>
            <w:tcW w:w="476" w:type="dxa"/>
            <w:tcBorders>
              <w:top w:val="single" w:color="000000" w:sz="4" w:space="0"/>
              <w:left w:val="single" w:color="000000" w:sz="4" w:space="0"/>
              <w:bottom w:val="single" w:color="000000" w:sz="4" w:space="0"/>
              <w:right w:val="single" w:color="000000" w:sz="4" w:space="0"/>
            </w:tcBorders>
          </w:tcPr>
          <w:p w14:paraId="649C1C3D">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176D5E46">
            <w:pPr>
              <w:spacing w:line="360" w:lineRule="auto"/>
              <w:jc w:val="center"/>
              <w:rPr>
                <w:rFonts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41A4154D">
            <w:pPr>
              <w:spacing w:line="360" w:lineRule="auto"/>
              <w:jc w:val="center"/>
              <w:rPr>
                <w:rFonts w:ascii="宋体" w:hAnsi="宋体" w:cs="宋体"/>
                <w:color w:val="auto"/>
                <w:kern w:val="1"/>
                <w:szCs w:val="21"/>
                <w:highlight w:val="none"/>
              </w:rPr>
            </w:pPr>
          </w:p>
        </w:tc>
      </w:tr>
      <w:tr w14:paraId="1F245470">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6C141D8D">
            <w:pPr>
              <w:spacing w:line="360" w:lineRule="auto"/>
              <w:jc w:val="center"/>
              <w:rPr>
                <w:rFonts w:ascii="宋体" w:hAnsi="宋体" w:cs="宋体"/>
                <w:color w:val="auto"/>
                <w:kern w:val="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4E780B81">
            <w:pPr>
              <w:spacing w:line="360" w:lineRule="auto"/>
              <w:jc w:val="center"/>
              <w:rPr>
                <w:rFonts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927AEF8">
            <w:pPr>
              <w:spacing w:line="360" w:lineRule="auto"/>
              <w:jc w:val="center"/>
              <w:rPr>
                <w:rFonts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0798A83">
            <w:pPr>
              <w:spacing w:line="360" w:lineRule="auto"/>
              <w:jc w:val="center"/>
              <w:rPr>
                <w:rFonts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A6735A5">
            <w:pPr>
              <w:spacing w:line="360" w:lineRule="auto"/>
              <w:jc w:val="center"/>
              <w:rPr>
                <w:rFonts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86FDCEB">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14031027">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5177CE85">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7AD5CD08">
            <w:pPr>
              <w:spacing w:line="360" w:lineRule="auto"/>
              <w:jc w:val="center"/>
              <w:rPr>
                <w:rFonts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6B774B1B">
            <w:pPr>
              <w:spacing w:line="360" w:lineRule="auto"/>
              <w:jc w:val="center"/>
              <w:rPr>
                <w:rFonts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6D629A65">
            <w:pPr>
              <w:spacing w:line="360" w:lineRule="auto"/>
              <w:jc w:val="center"/>
              <w:rPr>
                <w:rFonts w:ascii="宋体" w:hAnsi="宋体" w:cs="宋体"/>
                <w:color w:val="auto"/>
                <w:kern w:val="1"/>
                <w:szCs w:val="21"/>
                <w:highlight w:val="none"/>
              </w:rPr>
            </w:pPr>
          </w:p>
        </w:tc>
        <w:tc>
          <w:tcPr>
            <w:tcW w:w="567" w:type="dxa"/>
            <w:tcBorders>
              <w:top w:val="single" w:color="000000" w:sz="4" w:space="0"/>
              <w:left w:val="single" w:color="000000" w:sz="4" w:space="0"/>
              <w:bottom w:val="single" w:color="000000" w:sz="4" w:space="0"/>
              <w:right w:val="single" w:color="auto" w:sz="4" w:space="0"/>
            </w:tcBorders>
          </w:tcPr>
          <w:p w14:paraId="44629315">
            <w:pPr>
              <w:spacing w:line="360" w:lineRule="auto"/>
              <w:jc w:val="center"/>
              <w:rPr>
                <w:rFonts w:ascii="宋体" w:hAnsi="宋体" w:cs="宋体"/>
                <w:color w:val="auto"/>
                <w:kern w:val="1"/>
                <w:szCs w:val="21"/>
                <w:highlight w:val="none"/>
              </w:rPr>
            </w:pPr>
          </w:p>
        </w:tc>
        <w:tc>
          <w:tcPr>
            <w:tcW w:w="567" w:type="dxa"/>
            <w:tcBorders>
              <w:top w:val="single" w:color="000000" w:sz="4" w:space="0"/>
              <w:left w:val="single" w:color="auto" w:sz="4" w:space="0"/>
              <w:bottom w:val="single" w:color="000000" w:sz="4" w:space="0"/>
              <w:right w:val="single" w:color="000000" w:sz="4" w:space="0"/>
            </w:tcBorders>
          </w:tcPr>
          <w:p w14:paraId="42AC9D96">
            <w:pPr>
              <w:spacing w:line="360" w:lineRule="auto"/>
              <w:jc w:val="center"/>
              <w:rPr>
                <w:rFonts w:ascii="宋体" w:hAnsi="宋体" w:cs="宋体"/>
                <w:color w:val="auto"/>
                <w:kern w:val="1"/>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16BDC9CF">
            <w:pPr>
              <w:spacing w:line="360" w:lineRule="auto"/>
              <w:jc w:val="center"/>
              <w:rPr>
                <w:rFonts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68995509">
            <w:pPr>
              <w:spacing w:line="360" w:lineRule="auto"/>
              <w:jc w:val="center"/>
              <w:rPr>
                <w:rFonts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7CA8A247">
            <w:pPr>
              <w:spacing w:line="360" w:lineRule="auto"/>
              <w:jc w:val="center"/>
              <w:rPr>
                <w:rFonts w:ascii="宋体" w:hAnsi="宋体" w:cs="宋体"/>
                <w:color w:val="auto"/>
                <w:kern w:val="1"/>
                <w:szCs w:val="21"/>
                <w:highlight w:val="none"/>
              </w:rPr>
            </w:pPr>
          </w:p>
        </w:tc>
        <w:tc>
          <w:tcPr>
            <w:tcW w:w="476" w:type="dxa"/>
            <w:tcBorders>
              <w:top w:val="single" w:color="000000" w:sz="4" w:space="0"/>
              <w:left w:val="single" w:color="000000" w:sz="4" w:space="0"/>
              <w:bottom w:val="single" w:color="000000" w:sz="4" w:space="0"/>
              <w:right w:val="single" w:color="000000" w:sz="4" w:space="0"/>
            </w:tcBorders>
          </w:tcPr>
          <w:p w14:paraId="76CC9122">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1D8E44E1">
            <w:pPr>
              <w:spacing w:line="360" w:lineRule="auto"/>
              <w:jc w:val="center"/>
              <w:rPr>
                <w:rFonts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64759766">
            <w:pPr>
              <w:spacing w:line="360" w:lineRule="auto"/>
              <w:jc w:val="center"/>
              <w:rPr>
                <w:rFonts w:ascii="宋体" w:hAnsi="宋体" w:cs="宋体"/>
                <w:color w:val="auto"/>
                <w:kern w:val="1"/>
                <w:szCs w:val="21"/>
                <w:highlight w:val="none"/>
              </w:rPr>
            </w:pPr>
          </w:p>
        </w:tc>
      </w:tr>
    </w:tbl>
    <w:p w14:paraId="6C56EBBF">
      <w:pPr>
        <w:spacing w:line="360" w:lineRule="auto"/>
        <w:ind w:firstLine="840" w:firstLineChars="400"/>
        <w:rPr>
          <w:rFonts w:ascii="宋体" w:hAnsi="宋体" w:cs="宋体"/>
          <w:color w:val="auto"/>
          <w:kern w:val="1"/>
          <w:szCs w:val="21"/>
          <w:highlight w:val="none"/>
          <w:u w:val="single"/>
        </w:rPr>
      </w:pPr>
      <w:r>
        <w:rPr>
          <w:rFonts w:hint="eastAsia" w:ascii="宋体" w:hAnsi="宋体" w:cs="宋体"/>
          <w:color w:val="auto"/>
          <w:kern w:val="1"/>
          <w:szCs w:val="21"/>
          <w:highlight w:val="none"/>
        </w:rPr>
        <w:t>招标代理：                               招标人代表：                               交易中心见证人：</w:t>
      </w:r>
    </w:p>
    <w:p w14:paraId="10B90BD2">
      <w:pPr>
        <w:spacing w:line="360" w:lineRule="auto"/>
        <w:rPr>
          <w:rFonts w:ascii="宋体" w:hAnsi="宋体" w:cs="宋体"/>
          <w:color w:val="auto"/>
          <w:kern w:val="1"/>
          <w:szCs w:val="21"/>
          <w:highlight w:val="none"/>
          <w:u w:val="single"/>
        </w:rPr>
        <w:sectPr>
          <w:headerReference r:id="rId5" w:type="default"/>
          <w:footerReference r:id="rId6" w:type="default"/>
          <w:pgSz w:w="16838" w:h="11906" w:orient="landscape"/>
          <w:pgMar w:top="1361" w:right="1304" w:bottom="1304" w:left="1304" w:header="851" w:footer="992" w:gutter="0"/>
          <w:cols w:space="720" w:num="1"/>
        </w:sectPr>
      </w:pPr>
      <w:r>
        <w:rPr>
          <w:rFonts w:hint="eastAsia" w:ascii="宋体" w:hAnsi="宋体" w:cs="宋体"/>
          <w:color w:val="auto"/>
          <w:kern w:val="1"/>
          <w:szCs w:val="21"/>
          <w:highlight w:val="none"/>
          <w:u w:val="single"/>
        </w:rPr>
        <w:t>本表仅供参考，具体以开标时广州公共资源交易中心系统的开标记录表为准。</w:t>
      </w:r>
    </w:p>
    <w:p w14:paraId="2D5840AA">
      <w:pPr>
        <w:pStyle w:val="3"/>
        <w:numPr>
          <w:ilvl w:val="0"/>
          <w:numId w:val="1"/>
        </w:numPr>
        <w:tabs>
          <w:tab w:val="left" w:pos="0"/>
        </w:tabs>
        <w:spacing w:before="0" w:after="0" w:line="240" w:lineRule="auto"/>
        <w:jc w:val="center"/>
        <w:rPr>
          <w:rFonts w:ascii="宋体" w:hAnsi="宋体" w:cs="宋体"/>
          <w:color w:val="auto"/>
          <w:kern w:val="1"/>
          <w:highlight w:val="none"/>
        </w:rPr>
      </w:pPr>
      <w:bookmarkStart w:id="481" w:name="_Toc31642"/>
      <w:bookmarkEnd w:id="481"/>
      <w:bookmarkStart w:id="482" w:name="_Toc5620346"/>
      <w:bookmarkStart w:id="483" w:name="_Toc23710"/>
      <w:bookmarkStart w:id="484" w:name="_Hlk116911189"/>
      <w:r>
        <w:rPr>
          <w:rFonts w:hint="eastAsia" w:ascii="宋体" w:hAnsi="宋体" w:cs="宋体"/>
          <w:color w:val="auto"/>
          <w:kern w:val="1"/>
          <w:highlight w:val="none"/>
        </w:rPr>
        <w:t>评标、定标办法</w:t>
      </w:r>
      <w:bookmarkEnd w:id="482"/>
      <w:bookmarkEnd w:id="483"/>
      <w:bookmarkEnd w:id="484"/>
    </w:p>
    <w:p w14:paraId="6390F8BE">
      <w:pPr>
        <w:pStyle w:val="4"/>
        <w:spacing w:before="100" w:after="100" w:line="360" w:lineRule="auto"/>
        <w:jc w:val="center"/>
        <w:rPr>
          <w:rFonts w:ascii="宋体" w:hAnsi="宋体" w:eastAsia="宋体" w:cs="宋体"/>
          <w:color w:val="auto"/>
          <w:highlight w:val="none"/>
          <w:lang w:val="zh-CN"/>
        </w:rPr>
      </w:pPr>
      <w:bookmarkStart w:id="485" w:name="_Hlk138869398"/>
      <w:bookmarkStart w:id="486" w:name="_Toc152005944"/>
      <w:bookmarkStart w:id="487" w:name="_Toc3307"/>
      <w:r>
        <w:rPr>
          <w:rFonts w:hint="eastAsia" w:ascii="宋体" w:hAnsi="宋体" w:eastAsia="宋体" w:cs="宋体"/>
          <w:color w:val="auto"/>
          <w:highlight w:val="none"/>
          <w:lang w:val="zh-CN"/>
        </w:rPr>
        <w:t>评标办法前附表</w:t>
      </w:r>
      <w:bookmarkEnd w:id="485"/>
      <w:bookmarkEnd w:id="486"/>
      <w:bookmarkEnd w:id="487"/>
    </w:p>
    <w:tbl>
      <w:tblPr>
        <w:tblStyle w:val="20"/>
        <w:tblW w:w="993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4"/>
        <w:gridCol w:w="1142"/>
        <w:gridCol w:w="5877"/>
      </w:tblGrid>
      <w:tr w14:paraId="44A3E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914" w:type="dxa"/>
            <w:gridSpan w:val="2"/>
            <w:tcBorders>
              <w:top w:val="single" w:color="auto" w:sz="4" w:space="0"/>
              <w:bottom w:val="single" w:color="auto" w:sz="4" w:space="0"/>
              <w:right w:val="single" w:color="auto" w:sz="4" w:space="0"/>
            </w:tcBorders>
            <w:vAlign w:val="center"/>
          </w:tcPr>
          <w:p w14:paraId="29C080C7">
            <w:pPr>
              <w:spacing w:line="360" w:lineRule="auto"/>
              <w:jc w:val="center"/>
              <w:rPr>
                <w:rFonts w:ascii="宋体" w:hAnsi="宋体" w:cs="宋体"/>
                <w:b/>
                <w:color w:val="auto"/>
                <w:szCs w:val="21"/>
                <w:highlight w:val="none"/>
              </w:rPr>
            </w:pPr>
            <w:r>
              <w:rPr>
                <w:rFonts w:ascii="宋体" w:hAnsi="宋体" w:cs="宋体"/>
                <w:b/>
                <w:color w:val="auto"/>
                <w:szCs w:val="21"/>
                <w:highlight w:val="none"/>
              </w:rPr>
              <w:t>条款号</w:t>
            </w:r>
          </w:p>
        </w:tc>
        <w:tc>
          <w:tcPr>
            <w:tcW w:w="1142" w:type="dxa"/>
            <w:tcBorders>
              <w:top w:val="single" w:color="auto" w:sz="4" w:space="0"/>
              <w:left w:val="single" w:color="auto" w:sz="4" w:space="0"/>
              <w:bottom w:val="single" w:color="auto" w:sz="4" w:space="0"/>
              <w:right w:val="single" w:color="auto" w:sz="4" w:space="0"/>
            </w:tcBorders>
            <w:vAlign w:val="center"/>
          </w:tcPr>
          <w:p w14:paraId="3D842221">
            <w:pPr>
              <w:spacing w:line="360" w:lineRule="auto"/>
              <w:jc w:val="center"/>
              <w:rPr>
                <w:rFonts w:ascii="宋体" w:hAnsi="宋体" w:cs="宋体"/>
                <w:b/>
                <w:color w:val="auto"/>
                <w:szCs w:val="21"/>
                <w:highlight w:val="none"/>
              </w:rPr>
            </w:pPr>
            <w:r>
              <w:rPr>
                <w:rFonts w:ascii="宋体" w:hAnsi="宋体" w:cs="宋体"/>
                <w:b/>
                <w:color w:val="auto"/>
                <w:szCs w:val="21"/>
                <w:highlight w:val="none"/>
              </w:rPr>
              <w:t>评审因素</w:t>
            </w:r>
          </w:p>
        </w:tc>
        <w:tc>
          <w:tcPr>
            <w:tcW w:w="5877" w:type="dxa"/>
            <w:tcBorders>
              <w:top w:val="single" w:color="auto" w:sz="4" w:space="0"/>
              <w:left w:val="single" w:color="auto" w:sz="4" w:space="0"/>
              <w:bottom w:val="single" w:color="auto" w:sz="4" w:space="0"/>
              <w:right w:val="single" w:color="auto" w:sz="4" w:space="0"/>
            </w:tcBorders>
            <w:vAlign w:val="center"/>
          </w:tcPr>
          <w:p w14:paraId="619DCE06">
            <w:pPr>
              <w:spacing w:line="360" w:lineRule="auto"/>
              <w:jc w:val="center"/>
              <w:rPr>
                <w:rFonts w:ascii="宋体" w:hAnsi="宋体" w:cs="宋体"/>
                <w:b/>
                <w:color w:val="auto"/>
                <w:szCs w:val="21"/>
                <w:highlight w:val="none"/>
              </w:rPr>
            </w:pPr>
            <w:r>
              <w:rPr>
                <w:rFonts w:ascii="宋体" w:hAnsi="宋体" w:cs="宋体"/>
                <w:b/>
                <w:color w:val="auto"/>
                <w:szCs w:val="21"/>
                <w:highlight w:val="none"/>
              </w:rPr>
              <w:t>评审标准</w:t>
            </w:r>
          </w:p>
        </w:tc>
      </w:tr>
      <w:tr w14:paraId="5CD41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900" w:type="dxa"/>
            <w:tcBorders>
              <w:top w:val="single" w:color="auto" w:sz="4" w:space="0"/>
              <w:bottom w:val="single" w:color="auto" w:sz="4" w:space="0"/>
              <w:right w:val="single" w:color="auto" w:sz="4" w:space="0"/>
            </w:tcBorders>
            <w:vAlign w:val="center"/>
          </w:tcPr>
          <w:p w14:paraId="43818FE3">
            <w:pPr>
              <w:spacing w:line="360" w:lineRule="auto"/>
              <w:jc w:val="center"/>
              <w:rPr>
                <w:rFonts w:ascii="宋体" w:hAnsi="宋体" w:cs="宋体"/>
                <w:color w:val="auto"/>
                <w:szCs w:val="21"/>
                <w:highlight w:val="none"/>
              </w:rPr>
            </w:pPr>
            <w:r>
              <w:rPr>
                <w:rFonts w:ascii="宋体" w:hAnsi="宋体" w:cs="宋体"/>
                <w:color w:val="auto"/>
                <w:szCs w:val="21"/>
                <w:highlight w:val="none"/>
              </w:rPr>
              <w:t>2.1.1</w:t>
            </w:r>
          </w:p>
        </w:tc>
        <w:tc>
          <w:tcPr>
            <w:tcW w:w="2014" w:type="dxa"/>
            <w:tcBorders>
              <w:top w:val="single" w:color="auto" w:sz="4" w:space="0"/>
              <w:bottom w:val="single" w:color="auto" w:sz="4" w:space="0"/>
              <w:right w:val="single" w:color="auto" w:sz="4" w:space="0"/>
            </w:tcBorders>
            <w:vAlign w:val="center"/>
          </w:tcPr>
          <w:p w14:paraId="66EAF388">
            <w:pPr>
              <w:spacing w:line="360" w:lineRule="auto"/>
              <w:jc w:val="center"/>
              <w:rPr>
                <w:rFonts w:ascii="宋体" w:hAnsi="宋体" w:cs="宋体"/>
                <w:color w:val="auto"/>
                <w:szCs w:val="21"/>
                <w:highlight w:val="none"/>
              </w:rPr>
            </w:pPr>
            <w:r>
              <w:rPr>
                <w:rFonts w:ascii="宋体" w:hAnsi="宋体" w:cs="宋体"/>
                <w:color w:val="auto"/>
                <w:szCs w:val="21"/>
                <w:highlight w:val="none"/>
              </w:rPr>
              <w:t>形式评审标准</w:t>
            </w:r>
          </w:p>
        </w:tc>
        <w:tc>
          <w:tcPr>
            <w:tcW w:w="7019" w:type="dxa"/>
            <w:gridSpan w:val="2"/>
            <w:tcBorders>
              <w:top w:val="single" w:color="auto" w:sz="4" w:space="0"/>
              <w:left w:val="single" w:color="auto" w:sz="4" w:space="0"/>
              <w:bottom w:val="single" w:color="auto" w:sz="4" w:space="0"/>
              <w:right w:val="single" w:color="auto" w:sz="4" w:space="0"/>
            </w:tcBorders>
            <w:vAlign w:val="center"/>
          </w:tcPr>
          <w:p w14:paraId="6E8380DB">
            <w:pPr>
              <w:spacing w:line="360" w:lineRule="auto"/>
              <w:rPr>
                <w:rFonts w:ascii="宋体" w:hAnsi="宋体" w:cs="宋体"/>
                <w:color w:val="auto"/>
                <w:szCs w:val="21"/>
                <w:highlight w:val="none"/>
              </w:rPr>
            </w:pPr>
            <w:r>
              <w:rPr>
                <w:rFonts w:ascii="宋体" w:hAnsi="宋体" w:cs="宋体"/>
                <w:color w:val="auto"/>
                <w:szCs w:val="21"/>
                <w:highlight w:val="none"/>
              </w:rPr>
              <w:t>具体评审标准详见附表1：《形式评审表》</w:t>
            </w:r>
          </w:p>
        </w:tc>
      </w:tr>
      <w:tr w14:paraId="06066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900" w:type="dxa"/>
            <w:tcBorders>
              <w:top w:val="nil"/>
              <w:bottom w:val="single" w:color="auto" w:sz="4" w:space="0"/>
              <w:right w:val="single" w:color="auto" w:sz="4" w:space="0"/>
            </w:tcBorders>
            <w:vAlign w:val="center"/>
          </w:tcPr>
          <w:p w14:paraId="7BD8C747">
            <w:pPr>
              <w:spacing w:line="360" w:lineRule="auto"/>
              <w:jc w:val="center"/>
              <w:rPr>
                <w:rFonts w:ascii="宋体" w:hAnsi="宋体" w:cs="宋体"/>
                <w:color w:val="auto"/>
                <w:szCs w:val="21"/>
                <w:highlight w:val="none"/>
              </w:rPr>
            </w:pPr>
            <w:r>
              <w:rPr>
                <w:rFonts w:ascii="宋体" w:hAnsi="宋体" w:cs="宋体"/>
                <w:color w:val="auto"/>
                <w:szCs w:val="21"/>
                <w:highlight w:val="none"/>
              </w:rPr>
              <w:t>2.1.2</w:t>
            </w:r>
          </w:p>
        </w:tc>
        <w:tc>
          <w:tcPr>
            <w:tcW w:w="2014" w:type="dxa"/>
            <w:tcBorders>
              <w:top w:val="nil"/>
              <w:bottom w:val="single" w:color="auto" w:sz="4" w:space="0"/>
              <w:right w:val="single" w:color="auto" w:sz="4" w:space="0"/>
            </w:tcBorders>
            <w:vAlign w:val="center"/>
          </w:tcPr>
          <w:p w14:paraId="524F083F">
            <w:pPr>
              <w:spacing w:line="360" w:lineRule="auto"/>
              <w:jc w:val="center"/>
              <w:rPr>
                <w:rFonts w:ascii="宋体" w:hAnsi="宋体" w:cs="宋体"/>
                <w:color w:val="auto"/>
                <w:szCs w:val="21"/>
                <w:highlight w:val="none"/>
              </w:rPr>
            </w:pPr>
            <w:r>
              <w:rPr>
                <w:rFonts w:ascii="宋体" w:hAnsi="宋体" w:cs="宋体"/>
                <w:color w:val="auto"/>
                <w:szCs w:val="21"/>
                <w:highlight w:val="none"/>
              </w:rPr>
              <w:t>资格评审标准</w:t>
            </w:r>
          </w:p>
        </w:tc>
        <w:tc>
          <w:tcPr>
            <w:tcW w:w="7019" w:type="dxa"/>
            <w:gridSpan w:val="2"/>
            <w:tcBorders>
              <w:top w:val="single" w:color="auto" w:sz="4" w:space="0"/>
              <w:left w:val="single" w:color="auto" w:sz="4" w:space="0"/>
              <w:bottom w:val="single" w:color="auto" w:sz="4" w:space="0"/>
              <w:right w:val="single" w:color="auto" w:sz="4" w:space="0"/>
            </w:tcBorders>
            <w:vAlign w:val="center"/>
          </w:tcPr>
          <w:p w14:paraId="0791A94B">
            <w:pPr>
              <w:spacing w:line="360" w:lineRule="auto"/>
              <w:rPr>
                <w:rFonts w:ascii="宋体" w:hAnsi="宋体" w:cs="宋体"/>
                <w:color w:val="auto"/>
                <w:szCs w:val="21"/>
                <w:highlight w:val="none"/>
              </w:rPr>
            </w:pPr>
            <w:r>
              <w:rPr>
                <w:rFonts w:ascii="宋体" w:hAnsi="宋体" w:cs="宋体"/>
                <w:color w:val="auto"/>
                <w:szCs w:val="21"/>
                <w:highlight w:val="none"/>
              </w:rPr>
              <w:t>具体评审标准详见附表2：《资格评审表》</w:t>
            </w:r>
          </w:p>
        </w:tc>
      </w:tr>
      <w:tr w14:paraId="1AEB6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900" w:type="dxa"/>
            <w:tcBorders>
              <w:top w:val="single" w:color="auto" w:sz="4" w:space="0"/>
              <w:bottom w:val="single" w:color="auto" w:sz="4" w:space="0"/>
              <w:right w:val="single" w:color="auto" w:sz="4" w:space="0"/>
            </w:tcBorders>
            <w:vAlign w:val="center"/>
          </w:tcPr>
          <w:p w14:paraId="67957ECF">
            <w:pPr>
              <w:spacing w:line="360" w:lineRule="auto"/>
              <w:jc w:val="center"/>
              <w:rPr>
                <w:rFonts w:ascii="宋体" w:hAnsi="宋体" w:cs="宋体"/>
                <w:color w:val="auto"/>
                <w:szCs w:val="21"/>
                <w:highlight w:val="none"/>
              </w:rPr>
            </w:pPr>
            <w:r>
              <w:rPr>
                <w:rFonts w:ascii="宋体" w:hAnsi="宋体" w:cs="宋体"/>
                <w:color w:val="auto"/>
                <w:szCs w:val="21"/>
                <w:highlight w:val="none"/>
              </w:rPr>
              <w:t>2.1.3</w:t>
            </w:r>
          </w:p>
          <w:p w14:paraId="556D583A">
            <w:pPr>
              <w:spacing w:line="360" w:lineRule="auto"/>
              <w:jc w:val="center"/>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lang w:val="en-US" w:eastAsia="zh-CN"/>
              </w:rPr>
              <w:t>1</w:t>
            </w:r>
            <w:r>
              <w:rPr>
                <w:rFonts w:ascii="宋体" w:hAnsi="宋体" w:cs="宋体"/>
                <w:color w:val="auto"/>
                <w:szCs w:val="21"/>
                <w:highlight w:val="none"/>
              </w:rPr>
              <w:t>）</w:t>
            </w:r>
          </w:p>
        </w:tc>
        <w:tc>
          <w:tcPr>
            <w:tcW w:w="2014" w:type="dxa"/>
            <w:tcBorders>
              <w:top w:val="single" w:color="auto" w:sz="4" w:space="0"/>
              <w:left w:val="single" w:color="auto" w:sz="4" w:space="0"/>
              <w:bottom w:val="single" w:color="auto" w:sz="4" w:space="0"/>
              <w:right w:val="single" w:color="auto" w:sz="4" w:space="0"/>
            </w:tcBorders>
            <w:vAlign w:val="center"/>
          </w:tcPr>
          <w:p w14:paraId="1F7CE5B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工程总承包实施及运营管理方案</w:t>
            </w:r>
            <w:r>
              <w:rPr>
                <w:rFonts w:ascii="宋体" w:hAnsi="宋体" w:cs="宋体"/>
                <w:color w:val="auto"/>
                <w:szCs w:val="21"/>
                <w:highlight w:val="none"/>
              </w:rPr>
              <w:t>响应性评审标准</w:t>
            </w:r>
          </w:p>
        </w:tc>
        <w:tc>
          <w:tcPr>
            <w:tcW w:w="7019" w:type="dxa"/>
            <w:gridSpan w:val="2"/>
            <w:tcBorders>
              <w:top w:val="single" w:color="auto" w:sz="4" w:space="0"/>
              <w:left w:val="single" w:color="auto" w:sz="4" w:space="0"/>
              <w:bottom w:val="single" w:color="auto" w:sz="4" w:space="0"/>
              <w:right w:val="single" w:color="auto" w:sz="4" w:space="0"/>
            </w:tcBorders>
            <w:vAlign w:val="center"/>
          </w:tcPr>
          <w:p w14:paraId="57FF890B">
            <w:pPr>
              <w:spacing w:line="360" w:lineRule="auto"/>
              <w:rPr>
                <w:rFonts w:ascii="宋体" w:hAnsi="宋体" w:cs="宋体"/>
                <w:b/>
                <w:color w:val="auto"/>
                <w:szCs w:val="21"/>
                <w:highlight w:val="none"/>
              </w:rPr>
            </w:pPr>
            <w:r>
              <w:rPr>
                <w:rFonts w:ascii="宋体" w:hAnsi="宋体" w:cs="宋体"/>
                <w:color w:val="auto"/>
                <w:szCs w:val="21"/>
                <w:highlight w:val="none"/>
              </w:rPr>
              <w:t>具体评审标准详见附表</w:t>
            </w:r>
            <w:r>
              <w:rPr>
                <w:rFonts w:hint="eastAsia" w:ascii="宋体" w:hAnsi="宋体" w:cs="宋体"/>
                <w:color w:val="auto"/>
                <w:szCs w:val="21"/>
                <w:highlight w:val="none"/>
                <w:lang w:val="en-US" w:eastAsia="zh-CN"/>
              </w:rPr>
              <w:t>3</w:t>
            </w:r>
            <w:r>
              <w:rPr>
                <w:rFonts w:ascii="宋体" w:hAnsi="宋体" w:cs="宋体"/>
                <w:color w:val="auto"/>
                <w:szCs w:val="21"/>
                <w:highlight w:val="none"/>
              </w:rPr>
              <w:t>：《</w:t>
            </w:r>
            <w:r>
              <w:rPr>
                <w:rFonts w:hint="eastAsia" w:ascii="宋体" w:hAnsi="宋体" w:cs="宋体"/>
                <w:color w:val="auto"/>
                <w:szCs w:val="21"/>
                <w:highlight w:val="none"/>
              </w:rPr>
              <w:t>工程总承包实施及运营管理方案</w:t>
            </w:r>
            <w:r>
              <w:rPr>
                <w:rFonts w:ascii="宋体" w:hAnsi="宋体" w:cs="宋体"/>
                <w:color w:val="auto"/>
                <w:szCs w:val="21"/>
                <w:highlight w:val="none"/>
              </w:rPr>
              <w:t>响应性评审表》</w:t>
            </w:r>
          </w:p>
        </w:tc>
      </w:tr>
      <w:tr w14:paraId="4B870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914" w:type="dxa"/>
            <w:gridSpan w:val="2"/>
            <w:tcBorders>
              <w:top w:val="single" w:color="auto" w:sz="4" w:space="0"/>
              <w:bottom w:val="single" w:color="auto" w:sz="4" w:space="0"/>
              <w:right w:val="single" w:color="auto" w:sz="4" w:space="0"/>
            </w:tcBorders>
            <w:vAlign w:val="center"/>
          </w:tcPr>
          <w:p w14:paraId="05F19BF2">
            <w:pPr>
              <w:spacing w:line="360" w:lineRule="auto"/>
              <w:jc w:val="center"/>
              <w:rPr>
                <w:rFonts w:ascii="宋体" w:hAnsi="宋体" w:cs="宋体"/>
                <w:color w:val="auto"/>
                <w:szCs w:val="21"/>
                <w:highlight w:val="none"/>
              </w:rPr>
            </w:pPr>
            <w:r>
              <w:rPr>
                <w:rFonts w:ascii="宋体" w:hAnsi="宋体" w:cs="宋体"/>
                <w:b/>
                <w:color w:val="auto"/>
                <w:szCs w:val="21"/>
                <w:highlight w:val="none"/>
              </w:rPr>
              <w:t>条款号</w:t>
            </w:r>
          </w:p>
        </w:tc>
        <w:tc>
          <w:tcPr>
            <w:tcW w:w="1142" w:type="dxa"/>
            <w:tcBorders>
              <w:top w:val="single" w:color="auto" w:sz="4" w:space="0"/>
              <w:left w:val="single" w:color="auto" w:sz="4" w:space="0"/>
              <w:bottom w:val="single" w:color="auto" w:sz="4" w:space="0"/>
              <w:right w:val="single" w:color="auto" w:sz="4" w:space="0"/>
            </w:tcBorders>
            <w:vAlign w:val="center"/>
          </w:tcPr>
          <w:p w14:paraId="735355B6">
            <w:pPr>
              <w:spacing w:line="360" w:lineRule="auto"/>
              <w:jc w:val="center"/>
              <w:rPr>
                <w:rFonts w:ascii="宋体" w:hAnsi="宋体" w:cs="宋体"/>
                <w:color w:val="auto"/>
                <w:szCs w:val="21"/>
                <w:highlight w:val="none"/>
              </w:rPr>
            </w:pPr>
            <w:r>
              <w:rPr>
                <w:rFonts w:ascii="宋体" w:hAnsi="宋体" w:cs="宋体"/>
                <w:color w:val="auto"/>
                <w:szCs w:val="21"/>
                <w:highlight w:val="none"/>
              </w:rPr>
              <w:t>条款内容</w:t>
            </w:r>
          </w:p>
        </w:tc>
        <w:tc>
          <w:tcPr>
            <w:tcW w:w="5877" w:type="dxa"/>
            <w:tcBorders>
              <w:top w:val="single" w:color="auto" w:sz="4" w:space="0"/>
              <w:left w:val="single" w:color="auto" w:sz="4" w:space="0"/>
              <w:bottom w:val="single" w:color="auto" w:sz="4" w:space="0"/>
              <w:right w:val="single" w:color="auto" w:sz="4" w:space="0"/>
            </w:tcBorders>
            <w:vAlign w:val="center"/>
          </w:tcPr>
          <w:p w14:paraId="1402BA61">
            <w:pPr>
              <w:spacing w:line="360" w:lineRule="auto"/>
              <w:jc w:val="center"/>
              <w:rPr>
                <w:rFonts w:ascii="宋体" w:hAnsi="宋体" w:cs="宋体"/>
                <w:color w:val="auto"/>
                <w:szCs w:val="21"/>
                <w:highlight w:val="none"/>
                <w:u w:val="single"/>
              </w:rPr>
            </w:pPr>
            <w:r>
              <w:rPr>
                <w:rFonts w:ascii="宋体" w:hAnsi="宋体" w:cs="宋体"/>
                <w:b/>
                <w:color w:val="auto"/>
                <w:szCs w:val="21"/>
                <w:highlight w:val="none"/>
              </w:rPr>
              <w:t>编列内容</w:t>
            </w:r>
          </w:p>
        </w:tc>
      </w:tr>
      <w:tr w14:paraId="71430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914" w:type="dxa"/>
            <w:gridSpan w:val="2"/>
            <w:tcBorders>
              <w:top w:val="single" w:color="auto" w:sz="4" w:space="0"/>
              <w:bottom w:val="single" w:color="auto" w:sz="4" w:space="0"/>
              <w:right w:val="single" w:color="auto" w:sz="4" w:space="0"/>
            </w:tcBorders>
            <w:vAlign w:val="center"/>
          </w:tcPr>
          <w:p w14:paraId="4DB0868D">
            <w:pPr>
              <w:spacing w:line="360" w:lineRule="auto"/>
              <w:jc w:val="center"/>
              <w:rPr>
                <w:rFonts w:ascii="宋体" w:hAnsi="宋体" w:cs="宋体"/>
                <w:color w:val="auto"/>
                <w:szCs w:val="21"/>
                <w:highlight w:val="none"/>
              </w:rPr>
            </w:pPr>
            <w:r>
              <w:rPr>
                <w:rFonts w:ascii="宋体" w:hAnsi="宋体" w:cs="宋体"/>
                <w:color w:val="auto"/>
                <w:szCs w:val="21"/>
                <w:highlight w:val="none"/>
              </w:rPr>
              <w:t>2.2.1</w:t>
            </w:r>
          </w:p>
        </w:tc>
        <w:tc>
          <w:tcPr>
            <w:tcW w:w="1142" w:type="dxa"/>
            <w:tcBorders>
              <w:top w:val="single" w:color="auto" w:sz="4" w:space="0"/>
              <w:left w:val="single" w:color="auto" w:sz="4" w:space="0"/>
              <w:bottom w:val="single" w:color="auto" w:sz="4" w:space="0"/>
              <w:right w:val="single" w:color="auto" w:sz="4" w:space="0"/>
            </w:tcBorders>
            <w:vAlign w:val="center"/>
          </w:tcPr>
          <w:p w14:paraId="25A10943">
            <w:pPr>
              <w:spacing w:line="360" w:lineRule="auto"/>
              <w:jc w:val="center"/>
              <w:rPr>
                <w:rFonts w:ascii="宋体" w:hAnsi="宋体" w:cs="宋体"/>
                <w:color w:val="auto"/>
                <w:szCs w:val="21"/>
                <w:highlight w:val="none"/>
              </w:rPr>
            </w:pPr>
            <w:r>
              <w:rPr>
                <w:rFonts w:ascii="宋体" w:hAnsi="宋体" w:cs="宋体"/>
                <w:color w:val="auto"/>
                <w:szCs w:val="21"/>
                <w:highlight w:val="none"/>
              </w:rPr>
              <w:t>分值构成</w:t>
            </w:r>
          </w:p>
          <w:p w14:paraId="3462A9C0">
            <w:pPr>
              <w:spacing w:line="360" w:lineRule="auto"/>
              <w:jc w:val="center"/>
              <w:rPr>
                <w:rFonts w:ascii="宋体" w:hAnsi="宋体" w:cs="宋体"/>
                <w:color w:val="auto"/>
                <w:szCs w:val="21"/>
                <w:highlight w:val="none"/>
              </w:rPr>
            </w:pPr>
            <w:r>
              <w:rPr>
                <w:rFonts w:ascii="宋体" w:hAnsi="宋体" w:cs="宋体"/>
                <w:color w:val="auto"/>
                <w:szCs w:val="21"/>
                <w:highlight w:val="none"/>
              </w:rPr>
              <w:t>(总分100分)</w:t>
            </w:r>
          </w:p>
        </w:tc>
        <w:tc>
          <w:tcPr>
            <w:tcW w:w="5877" w:type="dxa"/>
            <w:tcBorders>
              <w:top w:val="single" w:color="auto" w:sz="4" w:space="0"/>
              <w:left w:val="single" w:color="auto" w:sz="4" w:space="0"/>
              <w:bottom w:val="single" w:color="auto" w:sz="4" w:space="0"/>
              <w:right w:val="single" w:color="auto" w:sz="4" w:space="0"/>
            </w:tcBorders>
            <w:vAlign w:val="center"/>
          </w:tcPr>
          <w:p w14:paraId="3297BBF3">
            <w:pPr>
              <w:spacing w:line="360" w:lineRule="auto"/>
              <w:rPr>
                <w:rFonts w:ascii="宋体" w:hAnsi="宋体" w:cs="宋体"/>
                <w:color w:val="auto"/>
                <w:szCs w:val="21"/>
                <w:highlight w:val="none"/>
                <w:u w:val="single"/>
              </w:rPr>
            </w:pPr>
            <w:r>
              <w:rPr>
                <w:rFonts w:hint="eastAsia" w:ascii="宋体" w:hAnsi="宋体"/>
                <w:color w:val="auto"/>
                <w:szCs w:val="21"/>
                <w:highlight w:val="none"/>
                <w:u w:val="single"/>
              </w:rPr>
              <w:t>投标人总得分（满分100分）=</w:t>
            </w:r>
            <w:r>
              <w:rPr>
                <w:rFonts w:hint="eastAsia" w:ascii="宋体" w:hAnsi="宋体" w:cs="宋体"/>
                <w:color w:val="auto"/>
                <w:szCs w:val="21"/>
                <w:highlight w:val="none"/>
                <w:u w:val="single"/>
              </w:rPr>
              <w:t>工程总承包实施及运营管理方案</w:t>
            </w:r>
            <w:r>
              <w:rPr>
                <w:rFonts w:hint="eastAsia" w:ascii="宋体" w:hAnsi="宋体"/>
                <w:color w:val="auto"/>
                <w:szCs w:val="21"/>
                <w:highlight w:val="none"/>
                <w:u w:val="single"/>
              </w:rPr>
              <w:t>技术部分得分</w:t>
            </w:r>
            <w:r>
              <w:rPr>
                <w:rFonts w:hint="default" w:ascii="宋体" w:hAnsi="宋体" w:cs="宋体"/>
                <w:color w:val="auto"/>
                <w:highlight w:val="none"/>
                <w:lang w:val="en-US"/>
              </w:rPr>
              <w:t>×权重</w:t>
            </w:r>
            <w:r>
              <w:rPr>
                <w:rFonts w:hint="eastAsia" w:ascii="宋体" w:hAnsi="宋体" w:cs="宋体"/>
                <w:color w:val="auto"/>
                <w:highlight w:val="none"/>
                <w:lang w:val="en-US" w:eastAsia="zh-CN"/>
              </w:rPr>
              <w:t>50</w:t>
            </w:r>
            <w:r>
              <w:rPr>
                <w:rFonts w:hint="default" w:ascii="宋体" w:hAnsi="宋体" w:cs="宋体"/>
                <w:color w:val="auto"/>
                <w:highlight w:val="none"/>
                <w:lang w:val="en-US"/>
              </w:rPr>
              <w:t>%</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总建安工程费</w:t>
            </w:r>
            <w:r>
              <w:rPr>
                <w:rFonts w:hint="eastAsia" w:ascii="宋体" w:hAnsi="宋体" w:cs="宋体"/>
                <w:color w:val="auto"/>
                <w:szCs w:val="21"/>
                <w:highlight w:val="none"/>
                <w:u w:val="single"/>
              </w:rPr>
              <w:t>投标报价</w:t>
            </w:r>
            <w:r>
              <w:rPr>
                <w:rFonts w:hint="eastAsia" w:ascii="宋体" w:hAnsi="宋体"/>
                <w:color w:val="auto"/>
                <w:szCs w:val="21"/>
                <w:highlight w:val="none"/>
                <w:u w:val="single"/>
              </w:rPr>
              <w:t>得分×权重</w:t>
            </w:r>
            <w:r>
              <w:rPr>
                <w:rFonts w:hint="eastAsia" w:ascii="宋体" w:hAnsi="宋体"/>
                <w:color w:val="auto"/>
                <w:szCs w:val="21"/>
                <w:highlight w:val="none"/>
                <w:u w:val="single"/>
                <w:lang w:val="en-US" w:eastAsia="zh-CN"/>
              </w:rPr>
              <w:t>50</w:t>
            </w:r>
            <w:r>
              <w:rPr>
                <w:rFonts w:hint="eastAsia" w:ascii="宋体" w:hAnsi="宋体"/>
                <w:color w:val="auto"/>
                <w:szCs w:val="21"/>
                <w:highlight w:val="none"/>
                <w:u w:val="single"/>
              </w:rPr>
              <w:t>%。</w:t>
            </w:r>
          </w:p>
        </w:tc>
      </w:tr>
      <w:tr w14:paraId="69CCE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1" w:hRule="atLeast"/>
        </w:trPr>
        <w:tc>
          <w:tcPr>
            <w:tcW w:w="900" w:type="dxa"/>
            <w:tcBorders>
              <w:top w:val="single" w:color="auto" w:sz="4" w:space="0"/>
              <w:bottom w:val="single" w:color="auto" w:sz="4" w:space="0"/>
              <w:right w:val="single" w:color="auto" w:sz="4" w:space="0"/>
            </w:tcBorders>
            <w:vAlign w:val="center"/>
          </w:tcPr>
          <w:p w14:paraId="74F0B185">
            <w:pPr>
              <w:spacing w:line="360" w:lineRule="auto"/>
              <w:jc w:val="center"/>
              <w:rPr>
                <w:rFonts w:ascii="宋体" w:hAnsi="宋体" w:cs="宋体"/>
                <w:color w:val="auto"/>
                <w:szCs w:val="21"/>
                <w:highlight w:val="none"/>
              </w:rPr>
            </w:pPr>
            <w:r>
              <w:rPr>
                <w:rFonts w:ascii="宋体" w:hAnsi="宋体" w:cs="宋体"/>
                <w:color w:val="auto"/>
                <w:szCs w:val="21"/>
                <w:highlight w:val="none"/>
              </w:rPr>
              <w:t>2.2.2</w:t>
            </w:r>
          </w:p>
        </w:tc>
        <w:tc>
          <w:tcPr>
            <w:tcW w:w="2014" w:type="dxa"/>
            <w:tcBorders>
              <w:top w:val="single" w:color="auto" w:sz="4" w:space="0"/>
              <w:left w:val="single" w:color="auto" w:sz="4" w:space="0"/>
              <w:right w:val="single" w:color="auto" w:sz="4" w:space="0"/>
            </w:tcBorders>
            <w:vAlign w:val="center"/>
          </w:tcPr>
          <w:p w14:paraId="31F9DB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评标参考价</w:t>
            </w:r>
          </w:p>
          <w:p w14:paraId="01735763">
            <w:pPr>
              <w:spacing w:line="360" w:lineRule="auto"/>
              <w:jc w:val="center"/>
              <w:rPr>
                <w:rFonts w:ascii="宋体" w:hAnsi="宋体" w:cs="宋体"/>
                <w:color w:val="auto"/>
                <w:szCs w:val="21"/>
                <w:highlight w:val="none"/>
              </w:rPr>
            </w:pPr>
            <w:r>
              <w:rPr>
                <w:rFonts w:ascii="宋体" w:hAnsi="宋体" w:cs="宋体"/>
                <w:color w:val="auto"/>
                <w:szCs w:val="21"/>
                <w:highlight w:val="none"/>
              </w:rPr>
              <w:t>计算方法</w:t>
            </w:r>
          </w:p>
        </w:tc>
        <w:tc>
          <w:tcPr>
            <w:tcW w:w="7019" w:type="dxa"/>
            <w:gridSpan w:val="2"/>
            <w:tcBorders>
              <w:top w:val="single" w:color="auto" w:sz="4" w:space="0"/>
              <w:left w:val="single" w:color="auto" w:sz="4" w:space="0"/>
              <w:right w:val="single" w:color="auto" w:sz="4" w:space="0"/>
            </w:tcBorders>
            <w:vAlign w:val="center"/>
          </w:tcPr>
          <w:p w14:paraId="7DCCFD71">
            <w:pPr>
              <w:spacing w:line="360" w:lineRule="auto"/>
              <w:rPr>
                <w:rFonts w:hint="eastAsia" w:ascii="宋体" w:hAnsi="宋体" w:cs="宋体"/>
                <w:bCs/>
                <w:color w:val="auto"/>
                <w:szCs w:val="21"/>
                <w:highlight w:val="none"/>
                <w:u w:val="none"/>
              </w:rPr>
            </w:pPr>
            <w:r>
              <w:rPr>
                <w:rFonts w:hint="eastAsia" w:ascii="宋体" w:hAnsi="宋体" w:cs="宋体"/>
                <w:bCs/>
                <w:color w:val="auto"/>
                <w:szCs w:val="21"/>
                <w:highlight w:val="none"/>
                <w:u w:val="none"/>
              </w:rPr>
              <w:t>当通过形式审查、资格审查和工程总承包实施及运营管理方案响应性审查并经算术校核的投标人</w:t>
            </w:r>
            <w:r>
              <w:rPr>
                <w:rFonts w:hint="eastAsia" w:ascii="宋体" w:hAnsi="宋体" w:cs="宋体"/>
                <w:bCs/>
                <w:color w:val="auto"/>
                <w:szCs w:val="21"/>
                <w:highlight w:val="none"/>
                <w:u w:val="none"/>
                <w:lang w:val="en-US" w:eastAsia="zh-CN"/>
              </w:rPr>
              <w:t>总</w:t>
            </w:r>
            <w:r>
              <w:rPr>
                <w:rFonts w:hint="eastAsia" w:ascii="宋体" w:hAnsi="宋体" w:cs="宋体"/>
                <w:bCs/>
                <w:color w:val="auto"/>
                <w:szCs w:val="21"/>
                <w:highlight w:val="none"/>
                <w:u w:val="none"/>
              </w:rPr>
              <w:t>建安工程费，若位于[95%，100%]建安工程费最高投标限价区间的投标价大于或等于五个，则在位于[95%，100%]建安工程费最高投标限价区间的投标价中，去掉一个最高价和一个最低价后，剩余报价的算术平均值为评标参考价。若位于[95%，100%]建安工程费最高投标限价区间的投标价少于五个，直接取区间中的</w:t>
            </w:r>
            <w:r>
              <w:rPr>
                <w:rFonts w:hint="eastAsia" w:ascii="宋体" w:hAnsi="宋体" w:cs="宋体"/>
                <w:bCs/>
                <w:color w:val="auto"/>
                <w:szCs w:val="21"/>
                <w:highlight w:val="none"/>
                <w:u w:val="none"/>
                <w:lang w:val="en-US" w:eastAsia="zh-CN"/>
              </w:rPr>
              <w:t>总</w:t>
            </w:r>
            <w:r>
              <w:rPr>
                <w:rFonts w:hint="eastAsia" w:ascii="宋体" w:hAnsi="宋体" w:cs="宋体"/>
                <w:bCs/>
                <w:color w:val="auto"/>
                <w:szCs w:val="21"/>
                <w:highlight w:val="none"/>
                <w:u w:val="none"/>
              </w:rPr>
              <w:t>建安工程费的算术平均值为评标参考价。若没有投标价位于[95%，100%]建安工程费最高投标限价区间，则评标参考价=建安工程费最高投标限价×95%。</w:t>
            </w:r>
          </w:p>
          <w:p w14:paraId="3DC73DB9">
            <w:pPr>
              <w:spacing w:line="360" w:lineRule="auto"/>
              <w:rPr>
                <w:rFonts w:ascii="宋体" w:hAnsi="宋体" w:cs="宋体"/>
                <w:color w:val="auto"/>
                <w:szCs w:val="21"/>
                <w:highlight w:val="none"/>
              </w:rPr>
            </w:pPr>
            <w:r>
              <w:rPr>
                <w:rFonts w:hint="eastAsia" w:ascii="宋体" w:hAnsi="宋体" w:eastAsia="宋体" w:cs="宋体"/>
                <w:bCs/>
                <w:color w:val="auto"/>
                <w:sz w:val="21"/>
                <w:szCs w:val="21"/>
                <w:highlight w:val="none"/>
                <w:u w:val="none"/>
                <w:lang w:val="en-US" w:eastAsia="zh-CN" w:bidi="ar-SA"/>
              </w:rPr>
              <w:t>注：投标报价评审中的投标报价特指</w:t>
            </w:r>
            <w:r>
              <w:rPr>
                <w:rFonts w:hint="eastAsia" w:ascii="宋体" w:hAnsi="宋体" w:cs="宋体"/>
                <w:bCs/>
                <w:color w:val="auto"/>
                <w:sz w:val="21"/>
                <w:szCs w:val="21"/>
                <w:highlight w:val="none"/>
                <w:u w:val="none"/>
                <w:lang w:val="en-US" w:eastAsia="zh-CN" w:bidi="ar-SA"/>
              </w:rPr>
              <w:t>总</w:t>
            </w:r>
            <w:r>
              <w:rPr>
                <w:rFonts w:hint="eastAsia" w:ascii="宋体" w:hAnsi="宋体" w:eastAsia="宋体" w:cs="宋体"/>
                <w:bCs/>
                <w:color w:val="auto"/>
                <w:sz w:val="21"/>
                <w:szCs w:val="21"/>
                <w:highlight w:val="none"/>
                <w:u w:val="none"/>
                <w:lang w:val="en-US" w:eastAsia="zh-CN" w:bidi="ar-SA"/>
              </w:rPr>
              <w:t>建安工程费投标报价，不包含</w:t>
            </w:r>
            <w:r>
              <w:rPr>
                <w:rFonts w:hint="eastAsia" w:ascii="宋体" w:hAnsi="宋体" w:cs="宋体"/>
                <w:bCs/>
                <w:color w:val="auto"/>
                <w:sz w:val="21"/>
                <w:szCs w:val="21"/>
                <w:highlight w:val="none"/>
                <w:u w:val="none"/>
                <w:lang w:val="en-US" w:eastAsia="zh-CN" w:bidi="ar-SA"/>
              </w:rPr>
              <w:t>勘察</w:t>
            </w:r>
            <w:r>
              <w:rPr>
                <w:rFonts w:hint="eastAsia" w:ascii="宋体" w:hAnsi="宋体" w:eastAsia="宋体" w:cs="宋体"/>
                <w:bCs/>
                <w:color w:val="auto"/>
                <w:sz w:val="21"/>
                <w:szCs w:val="21"/>
                <w:highlight w:val="none"/>
                <w:u w:val="none"/>
                <w:lang w:val="en-US" w:eastAsia="zh-CN" w:bidi="ar-SA"/>
              </w:rPr>
              <w:t>设计费。</w:t>
            </w:r>
          </w:p>
        </w:tc>
      </w:tr>
      <w:tr w14:paraId="573D3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0" w:type="dxa"/>
            <w:tcBorders>
              <w:top w:val="single" w:color="auto" w:sz="4" w:space="0"/>
              <w:bottom w:val="single" w:color="auto" w:sz="4" w:space="0"/>
              <w:right w:val="single" w:color="auto" w:sz="4" w:space="0"/>
            </w:tcBorders>
            <w:vAlign w:val="center"/>
          </w:tcPr>
          <w:p w14:paraId="6917A78C">
            <w:pPr>
              <w:spacing w:line="360" w:lineRule="auto"/>
              <w:jc w:val="center"/>
              <w:rPr>
                <w:rFonts w:ascii="宋体" w:hAnsi="宋体" w:cs="宋体"/>
                <w:color w:val="auto"/>
                <w:szCs w:val="21"/>
                <w:highlight w:val="none"/>
              </w:rPr>
            </w:pPr>
            <w:r>
              <w:rPr>
                <w:rFonts w:ascii="宋体" w:hAnsi="宋体" w:cs="宋体"/>
                <w:color w:val="auto"/>
                <w:szCs w:val="21"/>
                <w:highlight w:val="none"/>
              </w:rPr>
              <w:t>2.2.3</w:t>
            </w:r>
          </w:p>
        </w:tc>
        <w:tc>
          <w:tcPr>
            <w:tcW w:w="2014" w:type="dxa"/>
            <w:tcBorders>
              <w:top w:val="single" w:color="auto" w:sz="4" w:space="0"/>
              <w:left w:val="single" w:color="auto" w:sz="4" w:space="0"/>
              <w:right w:val="single" w:color="auto" w:sz="4" w:space="0"/>
            </w:tcBorders>
            <w:vAlign w:val="center"/>
          </w:tcPr>
          <w:p w14:paraId="597368D1">
            <w:pPr>
              <w:spacing w:line="360" w:lineRule="auto"/>
              <w:jc w:val="center"/>
              <w:rPr>
                <w:rFonts w:ascii="宋体" w:hAnsi="宋体" w:cs="宋体"/>
                <w:color w:val="auto"/>
                <w:szCs w:val="21"/>
                <w:highlight w:val="none"/>
              </w:rPr>
            </w:pPr>
            <w:r>
              <w:rPr>
                <w:rFonts w:ascii="宋体" w:hAnsi="宋体" w:cs="宋体"/>
                <w:color w:val="auto"/>
                <w:szCs w:val="21"/>
                <w:highlight w:val="none"/>
              </w:rPr>
              <w:t>投标报价的偏差率</w:t>
            </w:r>
          </w:p>
          <w:p w14:paraId="144590B0">
            <w:pPr>
              <w:spacing w:line="360" w:lineRule="auto"/>
              <w:jc w:val="center"/>
              <w:rPr>
                <w:rFonts w:ascii="宋体" w:hAnsi="宋体" w:cs="宋体"/>
                <w:color w:val="auto"/>
                <w:szCs w:val="21"/>
                <w:highlight w:val="none"/>
              </w:rPr>
            </w:pPr>
            <w:r>
              <w:rPr>
                <w:rFonts w:ascii="宋体" w:hAnsi="宋体" w:cs="宋体"/>
                <w:color w:val="auto"/>
                <w:szCs w:val="21"/>
                <w:highlight w:val="none"/>
              </w:rPr>
              <w:t>计算公式</w:t>
            </w:r>
          </w:p>
        </w:tc>
        <w:tc>
          <w:tcPr>
            <w:tcW w:w="7019" w:type="dxa"/>
            <w:gridSpan w:val="2"/>
            <w:tcBorders>
              <w:top w:val="single" w:color="auto" w:sz="4" w:space="0"/>
              <w:left w:val="single" w:color="auto" w:sz="4" w:space="0"/>
              <w:right w:val="single" w:color="auto" w:sz="4" w:space="0"/>
            </w:tcBorders>
            <w:vAlign w:val="center"/>
          </w:tcPr>
          <w:p w14:paraId="490E28EF">
            <w:pPr>
              <w:spacing w:line="360" w:lineRule="auto"/>
              <w:rPr>
                <w:rFonts w:ascii="宋体" w:hAnsi="宋体" w:cs="宋体"/>
                <w:color w:val="auto"/>
                <w:szCs w:val="21"/>
                <w:highlight w:val="none"/>
              </w:rPr>
            </w:pPr>
            <w:r>
              <w:rPr>
                <w:rFonts w:ascii="宋体" w:hAnsi="宋体" w:cs="宋体"/>
                <w:color w:val="auto"/>
                <w:szCs w:val="21"/>
                <w:highlight w:val="none"/>
              </w:rPr>
              <w:t>偏差率=100% ×（</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建安工程费投标报价</w:t>
            </w:r>
            <w:r>
              <w:rPr>
                <w:rFonts w:ascii="宋体" w:hAnsi="宋体" w:cs="宋体"/>
                <w:color w:val="auto"/>
                <w:szCs w:val="21"/>
                <w:highlight w:val="none"/>
              </w:rPr>
              <w:t>－</w:t>
            </w:r>
            <w:r>
              <w:rPr>
                <w:rFonts w:hint="eastAsia" w:ascii="宋体" w:hAnsi="宋体" w:cs="宋体"/>
                <w:color w:val="auto"/>
                <w:szCs w:val="21"/>
                <w:highlight w:val="none"/>
              </w:rPr>
              <w:t>评标参考价</w:t>
            </w:r>
            <w:r>
              <w:rPr>
                <w:rFonts w:ascii="宋体" w:hAnsi="宋体" w:cs="宋体"/>
                <w:color w:val="auto"/>
                <w:szCs w:val="21"/>
                <w:highlight w:val="none"/>
              </w:rPr>
              <w:t>）/</w:t>
            </w:r>
            <w:r>
              <w:rPr>
                <w:rFonts w:hint="eastAsia" w:ascii="宋体" w:hAnsi="宋体" w:cs="宋体"/>
                <w:color w:val="auto"/>
                <w:szCs w:val="21"/>
                <w:highlight w:val="none"/>
              </w:rPr>
              <w:t>评标参考价</w:t>
            </w:r>
          </w:p>
        </w:tc>
      </w:tr>
      <w:tr w14:paraId="7F898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bottom w:val="single" w:color="auto" w:sz="4" w:space="0"/>
              <w:right w:val="single" w:color="auto" w:sz="4" w:space="0"/>
            </w:tcBorders>
            <w:vAlign w:val="center"/>
          </w:tcPr>
          <w:p w14:paraId="7F5F515A">
            <w:pPr>
              <w:spacing w:line="360" w:lineRule="auto"/>
              <w:jc w:val="center"/>
              <w:rPr>
                <w:rFonts w:ascii="宋体" w:hAnsi="宋体" w:cs="宋体"/>
                <w:color w:val="auto"/>
                <w:szCs w:val="21"/>
                <w:highlight w:val="none"/>
              </w:rPr>
            </w:pPr>
            <w:r>
              <w:rPr>
                <w:rFonts w:ascii="宋体" w:hAnsi="宋体" w:cs="宋体"/>
                <w:b/>
                <w:color w:val="auto"/>
                <w:szCs w:val="21"/>
                <w:highlight w:val="none"/>
              </w:rPr>
              <w:t>条款号</w:t>
            </w:r>
          </w:p>
        </w:tc>
        <w:tc>
          <w:tcPr>
            <w:tcW w:w="2014" w:type="dxa"/>
            <w:tcBorders>
              <w:top w:val="single" w:color="auto" w:sz="4" w:space="0"/>
              <w:left w:val="single" w:color="auto" w:sz="4" w:space="0"/>
              <w:bottom w:val="single" w:color="auto" w:sz="4" w:space="0"/>
              <w:right w:val="single" w:color="auto" w:sz="4" w:space="0"/>
            </w:tcBorders>
            <w:vAlign w:val="center"/>
          </w:tcPr>
          <w:p w14:paraId="2D32A738">
            <w:pPr>
              <w:spacing w:line="360" w:lineRule="auto"/>
              <w:jc w:val="center"/>
              <w:rPr>
                <w:rFonts w:ascii="宋体" w:hAnsi="宋体" w:cs="宋体"/>
                <w:color w:val="auto"/>
                <w:szCs w:val="21"/>
                <w:highlight w:val="none"/>
              </w:rPr>
            </w:pPr>
            <w:r>
              <w:rPr>
                <w:rFonts w:ascii="宋体" w:hAnsi="宋体" w:cs="宋体"/>
                <w:color w:val="auto"/>
                <w:szCs w:val="21"/>
                <w:highlight w:val="none"/>
              </w:rPr>
              <w:t>评分因素</w:t>
            </w:r>
          </w:p>
        </w:tc>
        <w:tc>
          <w:tcPr>
            <w:tcW w:w="7019" w:type="dxa"/>
            <w:gridSpan w:val="2"/>
            <w:tcBorders>
              <w:top w:val="single" w:color="auto" w:sz="4" w:space="0"/>
              <w:left w:val="single" w:color="auto" w:sz="4" w:space="0"/>
              <w:bottom w:val="single" w:color="auto" w:sz="4" w:space="0"/>
              <w:right w:val="single" w:color="auto" w:sz="4" w:space="0"/>
            </w:tcBorders>
            <w:vAlign w:val="center"/>
          </w:tcPr>
          <w:p w14:paraId="07521EA7">
            <w:pPr>
              <w:spacing w:line="360" w:lineRule="auto"/>
              <w:jc w:val="center"/>
              <w:rPr>
                <w:rFonts w:ascii="宋体" w:hAnsi="宋体" w:cs="宋体"/>
                <w:color w:val="auto"/>
                <w:szCs w:val="21"/>
                <w:highlight w:val="none"/>
              </w:rPr>
            </w:pPr>
            <w:r>
              <w:rPr>
                <w:rFonts w:ascii="宋体" w:hAnsi="宋体" w:cs="宋体"/>
                <w:b/>
                <w:color w:val="auto"/>
                <w:szCs w:val="21"/>
                <w:highlight w:val="none"/>
              </w:rPr>
              <w:t>评分标准</w:t>
            </w:r>
          </w:p>
        </w:tc>
      </w:tr>
      <w:tr w14:paraId="2244A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7" w:hRule="atLeast"/>
        </w:trPr>
        <w:tc>
          <w:tcPr>
            <w:tcW w:w="900" w:type="dxa"/>
            <w:tcBorders>
              <w:top w:val="single" w:color="auto" w:sz="4" w:space="0"/>
              <w:bottom w:val="single" w:color="auto" w:sz="4" w:space="0"/>
              <w:right w:val="single" w:color="auto" w:sz="4" w:space="0"/>
            </w:tcBorders>
            <w:vAlign w:val="center"/>
          </w:tcPr>
          <w:p w14:paraId="3493B284">
            <w:pPr>
              <w:spacing w:line="360" w:lineRule="auto"/>
              <w:jc w:val="center"/>
              <w:rPr>
                <w:rFonts w:ascii="宋体" w:hAnsi="宋体" w:cs="宋体"/>
                <w:color w:val="auto"/>
                <w:szCs w:val="21"/>
                <w:highlight w:val="none"/>
              </w:rPr>
            </w:pPr>
            <w:r>
              <w:rPr>
                <w:rFonts w:ascii="宋体" w:hAnsi="宋体" w:cs="宋体"/>
                <w:color w:val="auto"/>
                <w:szCs w:val="21"/>
                <w:highlight w:val="none"/>
              </w:rPr>
              <w:t>2.2.4（</w:t>
            </w:r>
            <w:r>
              <w:rPr>
                <w:rFonts w:hint="eastAsia" w:ascii="宋体" w:hAnsi="宋体" w:cs="宋体"/>
                <w:color w:val="auto"/>
                <w:szCs w:val="21"/>
                <w:highlight w:val="none"/>
                <w:lang w:val="en-US" w:eastAsia="zh-CN"/>
              </w:rPr>
              <w:t>1</w:t>
            </w:r>
            <w:r>
              <w:rPr>
                <w:rFonts w:ascii="宋体" w:hAnsi="宋体" w:cs="宋体"/>
                <w:color w:val="auto"/>
                <w:szCs w:val="21"/>
                <w:highlight w:val="none"/>
              </w:rPr>
              <w:t>）</w:t>
            </w:r>
          </w:p>
        </w:tc>
        <w:tc>
          <w:tcPr>
            <w:tcW w:w="2014" w:type="dxa"/>
            <w:tcBorders>
              <w:top w:val="single" w:color="auto" w:sz="4" w:space="0"/>
              <w:bottom w:val="single" w:color="auto" w:sz="4" w:space="0"/>
              <w:right w:val="single" w:color="auto" w:sz="4" w:space="0"/>
            </w:tcBorders>
          </w:tcPr>
          <w:p w14:paraId="29E5E2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工程总承包实施及运营管理方案技术部分</w:t>
            </w:r>
            <w:r>
              <w:rPr>
                <w:rFonts w:ascii="宋体" w:hAnsi="宋体" w:cs="宋体"/>
                <w:color w:val="auto"/>
                <w:szCs w:val="21"/>
                <w:highlight w:val="none"/>
              </w:rPr>
              <w:t>评分标准</w:t>
            </w:r>
          </w:p>
        </w:tc>
        <w:tc>
          <w:tcPr>
            <w:tcW w:w="7019" w:type="dxa"/>
            <w:gridSpan w:val="2"/>
            <w:tcBorders>
              <w:top w:val="single" w:color="auto" w:sz="4" w:space="0"/>
              <w:left w:val="single" w:color="auto" w:sz="4" w:space="0"/>
              <w:bottom w:val="single" w:color="auto" w:sz="4" w:space="0"/>
              <w:right w:val="single" w:color="auto" w:sz="4" w:space="0"/>
            </w:tcBorders>
            <w:vAlign w:val="center"/>
          </w:tcPr>
          <w:p w14:paraId="2F9EE0DA">
            <w:pPr>
              <w:spacing w:line="360" w:lineRule="auto"/>
              <w:rPr>
                <w:rFonts w:ascii="宋体" w:hAnsi="宋体" w:cs="宋体"/>
                <w:color w:val="auto"/>
                <w:szCs w:val="21"/>
                <w:highlight w:val="none"/>
              </w:rPr>
            </w:pPr>
            <w:r>
              <w:rPr>
                <w:rFonts w:ascii="宋体" w:hAnsi="宋体" w:cs="宋体"/>
                <w:color w:val="auto"/>
                <w:szCs w:val="21"/>
                <w:highlight w:val="none"/>
              </w:rPr>
              <w:t>详见附表</w:t>
            </w:r>
            <w:r>
              <w:rPr>
                <w:rFonts w:hint="eastAsia" w:ascii="宋体" w:hAnsi="宋体" w:cs="宋体"/>
                <w:color w:val="auto"/>
                <w:szCs w:val="21"/>
                <w:highlight w:val="none"/>
                <w:lang w:val="en-US" w:eastAsia="zh-CN"/>
              </w:rPr>
              <w:t>5</w:t>
            </w:r>
            <w:r>
              <w:rPr>
                <w:rFonts w:ascii="宋体" w:hAnsi="宋体" w:cs="宋体"/>
                <w:color w:val="auto"/>
                <w:szCs w:val="21"/>
                <w:highlight w:val="none"/>
              </w:rPr>
              <w:t>《</w:t>
            </w:r>
            <w:r>
              <w:rPr>
                <w:rFonts w:hint="eastAsia" w:ascii="宋体" w:hAnsi="宋体" w:cs="宋体"/>
                <w:color w:val="auto"/>
                <w:szCs w:val="21"/>
                <w:highlight w:val="none"/>
              </w:rPr>
              <w:t>工程总承包实施及运营管理方案技术部分</w:t>
            </w:r>
            <w:r>
              <w:rPr>
                <w:rFonts w:ascii="宋体" w:hAnsi="宋体" w:cs="宋体"/>
                <w:color w:val="auto"/>
                <w:szCs w:val="21"/>
                <w:highlight w:val="none"/>
              </w:rPr>
              <w:t>评分表》</w:t>
            </w:r>
          </w:p>
        </w:tc>
      </w:tr>
      <w:tr w14:paraId="76DDA3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8" w:hRule="atLeast"/>
        </w:trPr>
        <w:tc>
          <w:tcPr>
            <w:tcW w:w="900" w:type="dxa"/>
            <w:tcBorders>
              <w:top w:val="single" w:color="auto" w:sz="4" w:space="0"/>
              <w:left w:val="single" w:color="auto" w:sz="4" w:space="0"/>
              <w:bottom w:val="single" w:color="auto" w:sz="4" w:space="0"/>
              <w:right w:val="single" w:color="auto" w:sz="4" w:space="0"/>
            </w:tcBorders>
            <w:vAlign w:val="center"/>
          </w:tcPr>
          <w:p w14:paraId="0774BFC9">
            <w:pPr>
              <w:spacing w:line="360" w:lineRule="auto"/>
              <w:jc w:val="center"/>
              <w:rPr>
                <w:rFonts w:ascii="宋体" w:hAnsi="宋体" w:cs="宋体"/>
                <w:color w:val="auto"/>
                <w:szCs w:val="21"/>
                <w:highlight w:val="none"/>
              </w:rPr>
            </w:pPr>
            <w:r>
              <w:rPr>
                <w:rFonts w:ascii="宋体" w:hAnsi="宋体" w:cs="宋体"/>
                <w:color w:val="auto"/>
                <w:szCs w:val="21"/>
                <w:highlight w:val="none"/>
              </w:rPr>
              <w:t>2.2.4（</w:t>
            </w:r>
            <w:r>
              <w:rPr>
                <w:rFonts w:hint="eastAsia" w:ascii="宋体" w:hAnsi="宋体" w:cs="宋体"/>
                <w:color w:val="auto"/>
                <w:szCs w:val="21"/>
                <w:highlight w:val="none"/>
                <w:lang w:val="en-US" w:eastAsia="zh-CN"/>
              </w:rPr>
              <w:t>2</w:t>
            </w:r>
            <w:r>
              <w:rPr>
                <w:rFonts w:ascii="宋体" w:hAnsi="宋体" w:cs="宋体"/>
                <w:color w:val="auto"/>
                <w:szCs w:val="21"/>
                <w:highlight w:val="none"/>
              </w:rPr>
              <w:t>）</w:t>
            </w:r>
          </w:p>
        </w:tc>
        <w:tc>
          <w:tcPr>
            <w:tcW w:w="2014" w:type="dxa"/>
            <w:tcBorders>
              <w:top w:val="single" w:color="auto" w:sz="4" w:space="0"/>
              <w:left w:val="single" w:color="auto" w:sz="4" w:space="0"/>
              <w:bottom w:val="single" w:color="auto" w:sz="4" w:space="0"/>
              <w:right w:val="single" w:color="auto" w:sz="4" w:space="0"/>
            </w:tcBorders>
            <w:vAlign w:val="center"/>
          </w:tcPr>
          <w:p w14:paraId="6CF69A1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投标报价</w:t>
            </w:r>
            <w:r>
              <w:rPr>
                <w:rFonts w:ascii="宋体" w:hAnsi="宋体" w:cs="宋体"/>
                <w:color w:val="auto"/>
                <w:szCs w:val="21"/>
                <w:highlight w:val="none"/>
              </w:rPr>
              <w:t>评分标准</w:t>
            </w:r>
          </w:p>
        </w:tc>
        <w:tc>
          <w:tcPr>
            <w:tcW w:w="7019" w:type="dxa"/>
            <w:gridSpan w:val="2"/>
            <w:tcBorders>
              <w:top w:val="single" w:color="auto" w:sz="4" w:space="0"/>
              <w:left w:val="single" w:color="auto" w:sz="4" w:space="0"/>
              <w:bottom w:val="single" w:color="auto" w:sz="4" w:space="0"/>
              <w:right w:val="single" w:color="auto" w:sz="4" w:space="0"/>
            </w:tcBorders>
            <w:vAlign w:val="center"/>
          </w:tcPr>
          <w:p w14:paraId="4BD992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当通过形式审查、资格审查和工程总承包实施及运营管理方案响应性审查并经算术校核的建安工程费总投标报价等于评标参考价时得100分，建安工程费总投标报价每高于评标参考价1%，扣0.</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分，每低于评标参考价1%，扣0.1分，扣至0 分为止。精确到小数点后两位，第三位小数四舍五入。</w:t>
            </w:r>
          </w:p>
        </w:tc>
      </w:tr>
      <w:tr w14:paraId="502A53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8" w:hRule="atLeast"/>
        </w:trPr>
        <w:tc>
          <w:tcPr>
            <w:tcW w:w="9933" w:type="dxa"/>
            <w:gridSpan w:val="4"/>
            <w:tcBorders>
              <w:top w:val="single" w:color="auto" w:sz="4" w:space="0"/>
              <w:left w:val="single" w:color="auto" w:sz="4" w:space="0"/>
              <w:bottom w:val="single" w:color="auto" w:sz="4" w:space="0"/>
              <w:right w:val="single" w:color="auto" w:sz="4" w:space="0"/>
            </w:tcBorders>
            <w:vAlign w:val="center"/>
          </w:tcPr>
          <w:p w14:paraId="5A28360B">
            <w:pPr>
              <w:spacing w:line="360" w:lineRule="auto"/>
              <w:jc w:val="center"/>
              <w:rPr>
                <w:rFonts w:ascii="宋体" w:hAnsi="宋体" w:cs="宋体"/>
                <w:color w:val="auto"/>
                <w:szCs w:val="21"/>
                <w:highlight w:val="none"/>
              </w:rPr>
            </w:pPr>
            <w:r>
              <w:rPr>
                <w:rFonts w:hint="eastAsia" w:ascii="宋体" w:hAnsi="宋体" w:cs="宋体"/>
                <w:b/>
                <w:color w:val="auto"/>
                <w:kern w:val="1"/>
                <w:szCs w:val="21"/>
                <w:highlight w:val="none"/>
              </w:rPr>
              <w:t>需要补充的其他内容</w:t>
            </w:r>
          </w:p>
        </w:tc>
      </w:tr>
      <w:tr w14:paraId="1E9B40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8" w:hRule="atLeast"/>
        </w:trPr>
        <w:tc>
          <w:tcPr>
            <w:tcW w:w="9933" w:type="dxa"/>
            <w:gridSpan w:val="4"/>
            <w:tcBorders>
              <w:top w:val="single" w:color="auto" w:sz="4" w:space="0"/>
              <w:left w:val="single" w:color="auto" w:sz="4" w:space="0"/>
              <w:bottom w:val="single" w:color="auto" w:sz="4" w:space="0"/>
              <w:right w:val="single" w:color="auto" w:sz="4" w:space="0"/>
            </w:tcBorders>
            <w:vAlign w:val="center"/>
          </w:tcPr>
          <w:p w14:paraId="4160EF29">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关于联合体投标人评标的相关规定：</w:t>
            </w:r>
          </w:p>
          <w:p w14:paraId="292F8DA8">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（1）如投标人组成联合体，联合体组成单位最多由</w:t>
            </w:r>
            <w:r>
              <w:rPr>
                <w:rFonts w:hint="eastAsia" w:ascii="宋体" w:hAnsi="宋体" w:cs="宋体"/>
                <w:color w:val="auto"/>
                <w:kern w:val="1"/>
                <w:szCs w:val="21"/>
                <w:highlight w:val="none"/>
                <w:lang w:val="en-US" w:eastAsia="zh-CN"/>
              </w:rPr>
              <w:t>5</w:t>
            </w:r>
            <w:r>
              <w:rPr>
                <w:rFonts w:hint="eastAsia" w:ascii="宋体" w:hAnsi="宋体" w:cs="宋体"/>
                <w:color w:val="auto"/>
                <w:kern w:val="1"/>
                <w:szCs w:val="21"/>
                <w:highlight w:val="none"/>
              </w:rPr>
              <w:t>家组成（勘察单位不超过1家、设计单位不超过1家、施工单位不超过</w:t>
            </w:r>
            <w:r>
              <w:rPr>
                <w:rFonts w:hint="eastAsia" w:ascii="宋体" w:hAnsi="宋体" w:cs="宋体"/>
                <w:color w:val="auto"/>
                <w:kern w:val="1"/>
                <w:szCs w:val="21"/>
                <w:highlight w:val="none"/>
                <w:lang w:val="en-US" w:eastAsia="zh-CN"/>
              </w:rPr>
              <w:t>2</w:t>
            </w:r>
            <w:r>
              <w:rPr>
                <w:rFonts w:hint="eastAsia" w:ascii="宋体" w:hAnsi="宋体" w:cs="宋体"/>
                <w:color w:val="auto"/>
                <w:kern w:val="1"/>
                <w:szCs w:val="21"/>
                <w:highlight w:val="none"/>
              </w:rPr>
              <w:t>家、运营单位不超过1家），应以承担运营任务的1家单位为牵头方，并签定联合体共同投标协议书（格式见本项目招标公告附件二）。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其承担的工作内容对应的资质等级较低的单位确定资质等级。</w:t>
            </w:r>
          </w:p>
          <w:p w14:paraId="455D1E0F">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）投标人拟任本工程项目负责人（兼</w:t>
            </w:r>
            <w:r>
              <w:rPr>
                <w:rFonts w:hint="eastAsia" w:ascii="宋体" w:hAnsi="宋体" w:cs="宋体"/>
                <w:color w:val="auto"/>
                <w:kern w:val="1"/>
                <w:szCs w:val="21"/>
                <w:highlight w:val="none"/>
                <w:lang w:val="en-US" w:eastAsia="zh-CN"/>
              </w:rPr>
              <w:t>施工</w:t>
            </w:r>
            <w:r>
              <w:rPr>
                <w:rFonts w:hint="eastAsia" w:ascii="宋体" w:hAnsi="宋体" w:cs="宋体"/>
                <w:color w:val="auto"/>
                <w:kern w:val="1"/>
                <w:szCs w:val="21"/>
                <w:highlight w:val="none"/>
              </w:rPr>
              <w:t>负责人）、</w:t>
            </w:r>
            <w:r>
              <w:rPr>
                <w:rFonts w:hint="eastAsia" w:ascii="宋体" w:hAnsi="宋体" w:cs="宋体"/>
                <w:color w:val="auto"/>
                <w:kern w:val="1"/>
                <w:szCs w:val="21"/>
                <w:highlight w:val="none"/>
                <w:lang w:val="en-US" w:eastAsia="zh-CN"/>
              </w:rPr>
              <w:t>勘察负责人、</w:t>
            </w:r>
            <w:r>
              <w:rPr>
                <w:rFonts w:hint="eastAsia" w:ascii="宋体" w:hAnsi="宋体" w:cs="宋体"/>
                <w:color w:val="auto"/>
                <w:kern w:val="1"/>
                <w:szCs w:val="21"/>
                <w:highlight w:val="none"/>
              </w:rPr>
              <w:t>设计负责人、技术负责人、专职安全员必须是联合体中对应分工成员的正式员工，并且不得兼任。</w:t>
            </w:r>
          </w:p>
          <w:p w14:paraId="32DD1601">
            <w:pPr>
              <w:spacing w:line="360" w:lineRule="auto"/>
              <w:jc w:val="left"/>
              <w:rPr>
                <w:rFonts w:ascii="宋体" w:hAnsi="宋体" w:cs="宋体"/>
                <w:color w:val="auto"/>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）联合体的资格条件按联合体任务分工进行评审，其中项目负责人（兼</w:t>
            </w:r>
            <w:r>
              <w:rPr>
                <w:rFonts w:hint="eastAsia" w:ascii="宋体" w:hAnsi="宋体" w:cs="宋体"/>
                <w:color w:val="auto"/>
                <w:kern w:val="1"/>
                <w:szCs w:val="21"/>
                <w:highlight w:val="none"/>
                <w:lang w:val="en-US" w:eastAsia="zh-CN"/>
              </w:rPr>
              <w:t>施工</w:t>
            </w:r>
            <w:r>
              <w:rPr>
                <w:rFonts w:hint="eastAsia" w:ascii="宋体" w:hAnsi="宋体" w:cs="宋体"/>
                <w:color w:val="auto"/>
                <w:kern w:val="1"/>
                <w:szCs w:val="21"/>
                <w:highlight w:val="none"/>
              </w:rPr>
              <w:t>负责人）以联合体</w:t>
            </w:r>
            <w:r>
              <w:rPr>
                <w:rFonts w:hint="eastAsia" w:ascii="宋体" w:hAnsi="宋体" w:cs="宋体"/>
                <w:color w:val="auto"/>
                <w:kern w:val="1"/>
                <w:szCs w:val="21"/>
                <w:highlight w:val="none"/>
                <w:lang w:val="en-US" w:eastAsia="zh-CN"/>
              </w:rPr>
              <w:t>施工</w:t>
            </w:r>
            <w:r>
              <w:rPr>
                <w:rFonts w:hint="eastAsia" w:ascii="宋体" w:hAnsi="宋体" w:cs="宋体"/>
                <w:color w:val="auto"/>
                <w:kern w:val="1"/>
                <w:szCs w:val="21"/>
                <w:highlight w:val="none"/>
              </w:rPr>
              <w:t>方为准；施工资质、安全生产许可证、施工负责人、专职安全员、技术负责人以联合体中承担施工任务的单位为准；如投标人组成联合体有两家施工单位，施工负责人、专职安全员、技术负责人，应全部由其中一家施工单位提供；工程设计资质、设计负责人以承接设计任务的单位为准；工程勘察资质以承担勘察任务的单位为准。</w:t>
            </w:r>
          </w:p>
        </w:tc>
      </w:tr>
    </w:tbl>
    <w:p w14:paraId="6B211E62">
      <w:pPr>
        <w:rPr>
          <w:color w:val="auto"/>
          <w:highlight w:val="none"/>
        </w:rPr>
      </w:pPr>
    </w:p>
    <w:p w14:paraId="28B83100">
      <w:pPr>
        <w:spacing w:line="360" w:lineRule="auto"/>
        <w:jc w:val="left"/>
        <w:rPr>
          <w:rFonts w:ascii="宋体" w:hAnsi="宋体" w:cs="宋体"/>
          <w:color w:val="auto"/>
          <w:highlight w:val="none"/>
        </w:rPr>
        <w:sectPr>
          <w:headerReference r:id="rId7" w:type="default"/>
          <w:footerReference r:id="rId8" w:type="default"/>
          <w:pgSz w:w="11907" w:h="16840"/>
          <w:pgMar w:top="1361" w:right="1304" w:bottom="1304" w:left="1304" w:header="851" w:footer="720" w:gutter="0"/>
          <w:cols w:space="720" w:num="1"/>
        </w:sectPr>
      </w:pPr>
    </w:p>
    <w:p w14:paraId="62DF0034">
      <w:pPr>
        <w:pStyle w:val="4"/>
        <w:rPr>
          <w:rFonts w:ascii="宋体" w:hAnsi="宋体" w:eastAsia="宋体" w:cs="宋体"/>
          <w:color w:val="auto"/>
          <w:sz w:val="24"/>
          <w:szCs w:val="24"/>
          <w:highlight w:val="none"/>
        </w:rPr>
      </w:pPr>
      <w:bookmarkStart w:id="488" w:name="_Toc3262"/>
      <w:bookmarkEnd w:id="488"/>
      <w:bookmarkStart w:id="489" w:name="_Toc27323"/>
      <w:bookmarkEnd w:id="489"/>
      <w:bookmarkStart w:id="490" w:name="_Toc7537"/>
      <w:bookmarkStart w:id="491" w:name="_Toc152042377"/>
      <w:bookmarkStart w:id="492" w:name="_Toc6788"/>
      <w:bookmarkStart w:id="493" w:name="_Toc152005945"/>
      <w:bookmarkStart w:id="494" w:name="_Toc152045600"/>
      <w:bookmarkStart w:id="495" w:name="_Toc247527625"/>
      <w:bookmarkStart w:id="496" w:name="_Toc28120"/>
      <w:bookmarkStart w:id="497" w:name="_Toc247514024"/>
      <w:bookmarkStart w:id="498" w:name="_Toc144974567"/>
      <w:bookmarkStart w:id="499" w:name="_Toc1626"/>
      <w:bookmarkStart w:id="500" w:name="_Toc16711"/>
      <w:bookmarkStart w:id="501" w:name="_Toc5620347"/>
      <w:r>
        <w:rPr>
          <w:rFonts w:hint="eastAsia" w:ascii="宋体" w:hAnsi="宋体" w:eastAsia="宋体" w:cs="宋体"/>
          <w:color w:val="auto"/>
          <w:sz w:val="24"/>
          <w:szCs w:val="24"/>
          <w:highlight w:val="none"/>
        </w:rPr>
        <w:t>1. 评标方法</w:t>
      </w:r>
      <w:bookmarkEnd w:id="490"/>
      <w:bookmarkEnd w:id="491"/>
      <w:bookmarkEnd w:id="492"/>
      <w:bookmarkEnd w:id="493"/>
      <w:bookmarkEnd w:id="494"/>
      <w:bookmarkEnd w:id="495"/>
      <w:bookmarkEnd w:id="496"/>
      <w:bookmarkEnd w:id="497"/>
      <w:bookmarkEnd w:id="498"/>
    </w:p>
    <w:p w14:paraId="168CD781">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本次评标采用评定分离（评标采用综合评估法，定标采用票决法+撰写评语）。评标委员会对满足招标文件实质性要求的投标文件（评标部分），按照本章第2.2款规定的评分标准进行打分，并按总得分由高到低顺序推荐合格中标候选人，但</w:t>
      </w:r>
      <w:r>
        <w:rPr>
          <w:rFonts w:hint="eastAsia" w:ascii="宋体" w:hAnsi="宋体" w:cs="宋体"/>
          <w:color w:val="auto"/>
          <w:highlight w:val="none"/>
          <w:u w:val="single"/>
          <w:lang w:val="en-US" w:eastAsia="zh-CN"/>
        </w:rPr>
        <w:t>总</w:t>
      </w:r>
      <w:r>
        <w:rPr>
          <w:rFonts w:hint="eastAsia" w:ascii="宋体" w:hAnsi="宋体" w:cs="宋体"/>
          <w:color w:val="auto"/>
          <w:highlight w:val="none"/>
          <w:u w:val="single"/>
        </w:rPr>
        <w:t>投标报价低于其成本的除外。总分相同的，以工程总承包实施及运营管理方案技术部分得分高的排前；总得分与工程总承包实施及运营管理方案技术部分得分相同的投标文件，</w:t>
      </w:r>
      <w:r>
        <w:rPr>
          <w:rFonts w:hint="eastAsia" w:ascii="宋体" w:hAnsi="宋体" w:cs="宋体"/>
          <w:color w:val="auto"/>
          <w:szCs w:val="21"/>
          <w:highlight w:val="none"/>
          <w:u w:val="single"/>
        </w:rPr>
        <w:t>以总投标报价较低的排前</w:t>
      </w:r>
      <w:r>
        <w:rPr>
          <w:rFonts w:hint="eastAsia" w:ascii="宋体" w:hAnsi="宋体" w:cs="宋体"/>
          <w:color w:val="auto"/>
          <w:highlight w:val="none"/>
          <w:u w:val="single"/>
        </w:rPr>
        <w:t>；如仍存在相同情况，则对具有相同情况的投标人，由评委通过记名投票表决（不得弃权），以“少数服从多数”的原则确定排序。</w:t>
      </w:r>
    </w:p>
    <w:p w14:paraId="49302C7E">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合格中标候选人按统一社会信用代码后4位（除校验码外）大小排位，如统一社会信用代码后4位出现字母情况的，字母以“0”进行代替大小排位；如出现后4位（除校验码外）大小一致的，则随机排位。</w:t>
      </w:r>
    </w:p>
    <w:p w14:paraId="3528C67B">
      <w:pPr>
        <w:spacing w:line="400" w:lineRule="exact"/>
        <w:ind w:firstLine="420" w:firstLineChars="200"/>
        <w:rPr>
          <w:rFonts w:ascii="宋体" w:hAnsi="宋体" w:cs="宋体"/>
          <w:color w:val="auto"/>
          <w:highlight w:val="none"/>
        </w:rPr>
      </w:pPr>
      <w:bookmarkStart w:id="502" w:name="_Toc112335931"/>
      <w:r>
        <w:rPr>
          <w:rFonts w:hint="eastAsia" w:ascii="宋体" w:hAnsi="宋体" w:cs="宋体"/>
          <w:color w:val="auto"/>
          <w:highlight w:val="none"/>
        </w:rPr>
        <w:t>注：投标文件（评标部分）总得分及评标委员会票决得分排序仅作为推荐入围定标阶段的依据，不作为定标阶段确定中标人的依据。</w:t>
      </w:r>
      <w:bookmarkEnd w:id="502"/>
    </w:p>
    <w:p w14:paraId="60684FDC">
      <w:pPr>
        <w:pStyle w:val="4"/>
        <w:spacing w:line="240" w:lineRule="auto"/>
        <w:rPr>
          <w:rFonts w:ascii="宋体" w:hAnsi="宋体" w:eastAsia="宋体" w:cs="宋体"/>
          <w:color w:val="auto"/>
          <w:highlight w:val="none"/>
        </w:rPr>
      </w:pPr>
      <w:bookmarkStart w:id="503" w:name="_Toc5675"/>
      <w:bookmarkStart w:id="504" w:name="_Toc247527626"/>
      <w:bookmarkStart w:id="505" w:name="_Toc247514025"/>
      <w:bookmarkStart w:id="506" w:name="_Toc16927"/>
      <w:bookmarkStart w:id="507" w:name="_Toc152005946"/>
      <w:bookmarkStart w:id="508" w:name="_Toc152045601"/>
      <w:bookmarkStart w:id="509" w:name="_Toc152042378"/>
      <w:bookmarkStart w:id="510" w:name="_Toc144974568"/>
      <w:bookmarkStart w:id="511" w:name="_Toc29422"/>
      <w:r>
        <w:rPr>
          <w:rFonts w:hint="eastAsia" w:ascii="宋体" w:hAnsi="宋体" w:eastAsia="宋体" w:cs="宋体"/>
          <w:color w:val="auto"/>
          <w:sz w:val="24"/>
          <w:szCs w:val="24"/>
          <w:highlight w:val="none"/>
        </w:rPr>
        <w:t>2. 评审标准</w:t>
      </w:r>
      <w:bookmarkEnd w:id="503"/>
      <w:bookmarkEnd w:id="504"/>
      <w:bookmarkEnd w:id="505"/>
      <w:bookmarkEnd w:id="506"/>
      <w:bookmarkEnd w:id="507"/>
      <w:bookmarkEnd w:id="508"/>
      <w:bookmarkEnd w:id="509"/>
      <w:bookmarkEnd w:id="510"/>
      <w:bookmarkEnd w:id="511"/>
    </w:p>
    <w:p w14:paraId="149701A2">
      <w:pPr>
        <w:pStyle w:val="5"/>
        <w:spacing w:line="240" w:lineRule="auto"/>
        <w:ind w:firstLine="138"/>
        <w:rPr>
          <w:rFonts w:ascii="宋体" w:eastAsia="宋体" w:cs="宋体"/>
          <w:b/>
          <w:color w:val="auto"/>
          <w:highlight w:val="none"/>
        </w:rPr>
      </w:pPr>
      <w:bookmarkStart w:id="512" w:name="_Toc247527627"/>
      <w:bookmarkStart w:id="513" w:name="_Toc30223"/>
      <w:bookmarkStart w:id="514" w:name="_Toc144974569"/>
      <w:bookmarkStart w:id="515" w:name="_Toc152042379"/>
      <w:bookmarkStart w:id="516" w:name="_Toc20046"/>
      <w:bookmarkStart w:id="517" w:name="_Toc152005947"/>
      <w:bookmarkStart w:id="518" w:name="_Toc247514026"/>
      <w:bookmarkStart w:id="519" w:name="_Toc152045602"/>
      <w:bookmarkStart w:id="520" w:name="_Toc32113"/>
      <w:r>
        <w:rPr>
          <w:rFonts w:hint="eastAsia" w:ascii="宋体" w:hAnsi="宋体" w:eastAsia="宋体" w:cs="宋体"/>
          <w:b/>
          <w:color w:val="auto"/>
          <w:sz w:val="24"/>
          <w:szCs w:val="24"/>
          <w:highlight w:val="none"/>
        </w:rPr>
        <w:t>2.1 初步评审标准</w:t>
      </w:r>
      <w:bookmarkEnd w:id="512"/>
      <w:bookmarkEnd w:id="513"/>
      <w:bookmarkEnd w:id="514"/>
      <w:bookmarkEnd w:id="515"/>
      <w:bookmarkEnd w:id="516"/>
      <w:bookmarkEnd w:id="517"/>
      <w:bookmarkEnd w:id="518"/>
      <w:bookmarkEnd w:id="519"/>
      <w:bookmarkEnd w:id="520"/>
    </w:p>
    <w:p w14:paraId="711BF2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2.1.1 形式评审标准：见评标办法前附表。</w:t>
      </w:r>
    </w:p>
    <w:p w14:paraId="32C39F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2.1.2 资格评审标准：见评标办法前附表。</w:t>
      </w:r>
    </w:p>
    <w:p w14:paraId="1D807B35">
      <w:pPr>
        <w:pStyle w:val="15"/>
        <w:spacing w:line="360" w:lineRule="auto"/>
        <w:rPr>
          <w:color w:val="auto"/>
          <w:highlight w:val="none"/>
        </w:rPr>
      </w:pPr>
      <w:r>
        <w:rPr>
          <w:rFonts w:hint="eastAsia" w:ascii="宋体" w:hAnsi="宋体" w:cs="宋体"/>
          <w:color w:val="auto"/>
          <w:highlight w:val="none"/>
        </w:rPr>
        <w:t>2.1.3</w:t>
      </w:r>
      <w:r>
        <w:rPr>
          <w:rFonts w:hint="eastAsia" w:ascii="宋体" w:hAnsi="宋体" w:cs="宋体"/>
          <w:color w:val="auto"/>
          <w:szCs w:val="21"/>
          <w:highlight w:val="none"/>
        </w:rPr>
        <w:t>工程总承包实施及运营管理方案</w:t>
      </w:r>
      <w:r>
        <w:rPr>
          <w:rFonts w:ascii="宋体" w:hAnsi="宋体" w:cs="宋体"/>
          <w:color w:val="auto"/>
          <w:szCs w:val="21"/>
          <w:highlight w:val="none"/>
        </w:rPr>
        <w:t>响应性评审标准</w:t>
      </w:r>
      <w:r>
        <w:rPr>
          <w:rFonts w:hint="eastAsia" w:ascii="宋体" w:hAnsi="宋体" w:cs="宋体"/>
          <w:color w:val="auto"/>
          <w:highlight w:val="none"/>
        </w:rPr>
        <w:t>：见评标办法前附表。</w:t>
      </w:r>
    </w:p>
    <w:p w14:paraId="0FE41B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14:paraId="08D1931F">
      <w:pPr>
        <w:pStyle w:val="5"/>
        <w:spacing w:line="240" w:lineRule="auto"/>
        <w:ind w:firstLine="138"/>
        <w:rPr>
          <w:rFonts w:ascii="宋体" w:eastAsia="宋体" w:cs="宋体"/>
          <w:b/>
          <w:color w:val="auto"/>
          <w:highlight w:val="none"/>
        </w:rPr>
      </w:pPr>
      <w:bookmarkStart w:id="521" w:name="_Toc23882"/>
      <w:bookmarkStart w:id="522" w:name="_Toc144974570"/>
      <w:bookmarkStart w:id="523" w:name="_Toc152042380"/>
      <w:bookmarkStart w:id="524" w:name="_Toc247514027"/>
      <w:bookmarkStart w:id="525" w:name="_Toc152005948"/>
      <w:bookmarkStart w:id="526" w:name="_Toc12471"/>
      <w:bookmarkStart w:id="527" w:name="_Toc152045603"/>
      <w:bookmarkStart w:id="528" w:name="_Toc247527628"/>
      <w:bookmarkStart w:id="529" w:name="_Toc26906"/>
      <w:r>
        <w:rPr>
          <w:rFonts w:hint="eastAsia" w:ascii="宋体" w:hAnsi="宋体" w:eastAsia="宋体" w:cs="宋体"/>
          <w:b/>
          <w:color w:val="auto"/>
          <w:sz w:val="24"/>
          <w:szCs w:val="24"/>
          <w:highlight w:val="none"/>
        </w:rPr>
        <w:t>2.2 分值构成与评分标准</w:t>
      </w:r>
      <w:bookmarkEnd w:id="521"/>
      <w:bookmarkEnd w:id="522"/>
      <w:bookmarkEnd w:id="523"/>
      <w:bookmarkEnd w:id="524"/>
      <w:bookmarkEnd w:id="525"/>
      <w:bookmarkEnd w:id="526"/>
      <w:bookmarkEnd w:id="527"/>
      <w:bookmarkEnd w:id="528"/>
      <w:bookmarkEnd w:id="529"/>
    </w:p>
    <w:p w14:paraId="0C62B05F">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2.2.1 分值构成</w:t>
      </w:r>
    </w:p>
    <w:p w14:paraId="35B13DFF">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）工程总承包实施及运营管理方案技术部分：见评标办法前附表；</w:t>
      </w:r>
    </w:p>
    <w:p w14:paraId="45021DF5">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ascii="宋体" w:hAnsi="宋体" w:cs="宋体"/>
          <w:color w:val="auto"/>
          <w:szCs w:val="21"/>
          <w:highlight w:val="none"/>
        </w:rPr>
        <w:t>投标报价</w:t>
      </w:r>
      <w:r>
        <w:rPr>
          <w:rFonts w:hint="eastAsia" w:ascii="宋体" w:hAnsi="宋体" w:cs="宋体"/>
          <w:color w:val="auto"/>
          <w:highlight w:val="none"/>
        </w:rPr>
        <w:t>：见评标办法前附表。</w:t>
      </w:r>
    </w:p>
    <w:p w14:paraId="78F5BEE5">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2.2.2 评标参考价计算</w:t>
      </w:r>
    </w:p>
    <w:p w14:paraId="50304D3E">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评标参考价计算方法：见评标办法前附表。</w:t>
      </w:r>
    </w:p>
    <w:p w14:paraId="33409638">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2.2.3 投标报价的偏差率计算</w:t>
      </w:r>
    </w:p>
    <w:p w14:paraId="265598F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投标报价的偏差率计算公式：见评标办法前附表。</w:t>
      </w:r>
    </w:p>
    <w:p w14:paraId="2AE57F5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2.2.4 评分标准</w:t>
      </w:r>
    </w:p>
    <w:p w14:paraId="652A7D8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）工程总承包实施及运营管理方案技术部分评分标准：见评标办法前附表；</w:t>
      </w:r>
    </w:p>
    <w:p w14:paraId="42C52CD5">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ascii="宋体" w:hAnsi="宋体" w:cs="宋体"/>
          <w:color w:val="auto"/>
          <w:szCs w:val="21"/>
          <w:highlight w:val="none"/>
        </w:rPr>
        <w:t>投标报价</w:t>
      </w:r>
      <w:r>
        <w:rPr>
          <w:rFonts w:hint="eastAsia" w:ascii="宋体" w:hAnsi="宋体" w:cs="宋体"/>
          <w:color w:val="auto"/>
          <w:highlight w:val="none"/>
        </w:rPr>
        <w:t>评分标准：见评标办法前附表。</w:t>
      </w:r>
    </w:p>
    <w:p w14:paraId="7A0C4CFC">
      <w:pPr>
        <w:pStyle w:val="4"/>
        <w:spacing w:line="240" w:lineRule="auto"/>
        <w:rPr>
          <w:rFonts w:ascii="宋体" w:hAnsi="宋体" w:eastAsia="宋体" w:cs="宋体"/>
          <w:color w:val="auto"/>
          <w:highlight w:val="none"/>
        </w:rPr>
      </w:pPr>
      <w:bookmarkStart w:id="530" w:name="_Toc152045604"/>
      <w:bookmarkStart w:id="531" w:name="_Toc152005949"/>
      <w:bookmarkStart w:id="532" w:name="_Toc21659"/>
      <w:bookmarkStart w:id="533" w:name="_Toc247514028"/>
      <w:bookmarkStart w:id="534" w:name="_Toc152042381"/>
      <w:bookmarkStart w:id="535" w:name="_Toc247527629"/>
      <w:bookmarkStart w:id="536" w:name="_Toc16433"/>
      <w:bookmarkStart w:id="537" w:name="_Toc144974571"/>
      <w:bookmarkStart w:id="538" w:name="_Toc20112"/>
      <w:r>
        <w:rPr>
          <w:rFonts w:hint="eastAsia" w:ascii="宋体" w:hAnsi="宋体" w:eastAsia="宋体" w:cs="宋体"/>
          <w:color w:val="auto"/>
          <w:sz w:val="24"/>
          <w:szCs w:val="24"/>
          <w:highlight w:val="none"/>
        </w:rPr>
        <w:t>3. 评标程序</w:t>
      </w:r>
      <w:bookmarkEnd w:id="530"/>
      <w:bookmarkEnd w:id="531"/>
      <w:bookmarkEnd w:id="532"/>
      <w:bookmarkEnd w:id="533"/>
      <w:bookmarkEnd w:id="534"/>
      <w:bookmarkEnd w:id="535"/>
      <w:bookmarkEnd w:id="536"/>
      <w:bookmarkEnd w:id="537"/>
      <w:bookmarkEnd w:id="538"/>
    </w:p>
    <w:p w14:paraId="41775A96">
      <w:pPr>
        <w:spacing w:line="400" w:lineRule="exact"/>
        <w:ind w:firstLine="420" w:firstLineChars="200"/>
        <w:rPr>
          <w:rFonts w:ascii="宋体" w:hAnsi="宋体" w:cs="宋体"/>
          <w:color w:val="auto"/>
          <w:highlight w:val="none"/>
        </w:rPr>
      </w:pPr>
      <w:bookmarkStart w:id="539" w:name="_Toc247514029"/>
      <w:bookmarkStart w:id="540" w:name="_Toc152045605"/>
      <w:bookmarkStart w:id="541" w:name="_Toc32182"/>
      <w:bookmarkStart w:id="542" w:name="_Toc247527630"/>
      <w:bookmarkStart w:id="543" w:name="_Toc152042382"/>
      <w:bookmarkStart w:id="544" w:name="_Toc144974572"/>
      <w:r>
        <w:rPr>
          <w:rFonts w:hint="eastAsia" w:ascii="宋体" w:hAnsi="宋体" w:cs="宋体"/>
          <w:color w:val="auto"/>
          <w:highlight w:val="none"/>
        </w:rPr>
        <w:t>本项目采取电子评标。</w:t>
      </w:r>
    </w:p>
    <w:p w14:paraId="20D0F1B3">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本项目评标采用综合评估法。评标委员会对满足招标文件实质性要求的投标文件，按照本章第2.2款规定的评分标准进行打分，并按得分由高到低顺序推荐</w:t>
      </w:r>
      <w:r>
        <w:rPr>
          <w:rFonts w:hint="eastAsia" w:ascii="宋体" w:hAnsi="宋体" w:cs="宋体"/>
          <w:color w:val="auto"/>
          <w:highlight w:val="none"/>
          <w:u w:val="single"/>
        </w:rPr>
        <w:t>合格</w:t>
      </w:r>
      <w:r>
        <w:rPr>
          <w:rFonts w:hint="eastAsia" w:ascii="宋体" w:hAnsi="宋体" w:cs="宋体"/>
          <w:color w:val="auto"/>
          <w:highlight w:val="none"/>
        </w:rPr>
        <w:t>中标候选人，但</w:t>
      </w:r>
      <w:r>
        <w:rPr>
          <w:rFonts w:hint="eastAsia" w:ascii="宋体" w:hAnsi="宋体" w:cs="宋体"/>
          <w:color w:val="auto"/>
          <w:highlight w:val="none"/>
          <w:lang w:val="en-US" w:eastAsia="zh-CN"/>
        </w:rPr>
        <w:t>总</w:t>
      </w:r>
      <w:r>
        <w:rPr>
          <w:rFonts w:hint="eastAsia" w:ascii="宋体" w:hAnsi="宋体" w:cs="宋体"/>
          <w:color w:val="auto"/>
          <w:highlight w:val="none"/>
        </w:rPr>
        <w:t>投标报价低于其成本的除外。</w:t>
      </w:r>
    </w:p>
    <w:p w14:paraId="0E3E138C">
      <w:pPr>
        <w:pStyle w:val="5"/>
        <w:spacing w:line="240" w:lineRule="auto"/>
        <w:ind w:firstLine="138"/>
        <w:rPr>
          <w:rFonts w:ascii="宋体" w:eastAsia="宋体" w:cs="宋体"/>
          <w:b/>
          <w:color w:val="auto"/>
          <w:highlight w:val="none"/>
        </w:rPr>
      </w:pPr>
      <w:bookmarkStart w:id="545" w:name="_Toc12838"/>
      <w:bookmarkStart w:id="546" w:name="_Toc152005950"/>
      <w:bookmarkStart w:id="547" w:name="_Toc32286"/>
      <w:bookmarkStart w:id="548" w:name="_Toc21483"/>
      <w:bookmarkStart w:id="549" w:name="_Toc25234"/>
      <w:bookmarkStart w:id="550" w:name="_Toc14076"/>
      <w:bookmarkStart w:id="551" w:name="_Toc20083"/>
      <w:r>
        <w:rPr>
          <w:rFonts w:hint="eastAsia" w:ascii="宋体" w:hAnsi="宋体" w:eastAsia="宋体" w:cs="宋体"/>
          <w:b/>
          <w:color w:val="auto"/>
          <w:sz w:val="24"/>
          <w:szCs w:val="24"/>
          <w:highlight w:val="none"/>
        </w:rPr>
        <w:t>3.1 初步评审</w:t>
      </w:r>
      <w:bookmarkEnd w:id="539"/>
      <w:bookmarkEnd w:id="540"/>
      <w:bookmarkEnd w:id="541"/>
      <w:bookmarkEnd w:id="542"/>
      <w:bookmarkEnd w:id="543"/>
      <w:bookmarkEnd w:id="544"/>
      <w:bookmarkEnd w:id="545"/>
      <w:bookmarkEnd w:id="546"/>
      <w:bookmarkEnd w:id="547"/>
      <w:bookmarkEnd w:id="548"/>
      <w:bookmarkEnd w:id="549"/>
      <w:bookmarkEnd w:id="550"/>
      <w:bookmarkEnd w:id="551"/>
    </w:p>
    <w:p w14:paraId="4BFE91AB">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3.1.1 评标委员会依据本章第2.1款规定的标准对投标文件</w:t>
      </w:r>
      <w:r>
        <w:rPr>
          <w:rFonts w:hint="eastAsia" w:ascii="宋体" w:hAnsi="宋体" w:cs="宋体"/>
          <w:color w:val="auto"/>
          <w:highlight w:val="none"/>
          <w:u w:val="single"/>
        </w:rPr>
        <w:t>（评标部分）</w:t>
      </w:r>
      <w:r>
        <w:rPr>
          <w:rFonts w:hint="eastAsia" w:ascii="宋体" w:hAnsi="宋体" w:cs="宋体"/>
          <w:color w:val="auto"/>
          <w:highlight w:val="none"/>
        </w:rPr>
        <w:t>进行初步评审。有一项不符合评审标准的，评标委员会应当否决其投标。</w:t>
      </w:r>
      <w:r>
        <w:rPr>
          <w:rFonts w:hint="eastAsia" w:ascii="宋体" w:hAnsi="宋体" w:cs="宋体"/>
          <w:color w:val="auto"/>
          <w:highlight w:val="none"/>
          <w:u w:val="single"/>
        </w:rPr>
        <w:t>在进行初步评审过程中，若评委意见不一致时，则按少数服从多数的原则，决定该投标人是否通过相应阶段的评审，进入下一阶段评审。只有通过初步评审合格的投标人才能进入详细评审阶段。若通过初步评审的合格投标人家数不足3家的，应当重新招标。</w:t>
      </w:r>
    </w:p>
    <w:p w14:paraId="784E4A01">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3.1.2 投标人有以下情形之一的，评标委员会应当否决其投标：</w:t>
      </w:r>
    </w:p>
    <w:p w14:paraId="1E13DB57">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（1）第二章“投标人须知”第1.4.3项、第1.4.4项规定的任何一种情形的；</w:t>
      </w:r>
    </w:p>
    <w:p w14:paraId="15A8D9FF">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（2）串通投标或弄虚作假或有其他违法行为的；</w:t>
      </w:r>
    </w:p>
    <w:p w14:paraId="30CECF0B">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（3）不按评标委员会要求澄清、说明或补正的。</w:t>
      </w:r>
    </w:p>
    <w:p w14:paraId="7762168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3.1.3投标报价有算术错误的，评标委员会按以下原则对投标报价进行修正，修正的价格经投标人书面确认后具有约束力。投标人不接受修正价格的，评标委员会应当否决其投标。</w:t>
      </w:r>
    </w:p>
    <w:p w14:paraId="5E8552B9">
      <w:pPr>
        <w:spacing w:line="360" w:lineRule="auto"/>
        <w:ind w:firstLine="420" w:firstLineChars="200"/>
        <w:rPr>
          <w:rFonts w:ascii="宋体" w:hAnsi="宋体" w:cs="宋体"/>
          <w:color w:val="auto"/>
          <w:szCs w:val="21"/>
          <w:highlight w:val="none"/>
        </w:rPr>
      </w:pPr>
      <w:bookmarkStart w:id="552" w:name="_Toc152042384"/>
      <w:bookmarkStart w:id="553" w:name="_Toc247514030"/>
      <w:bookmarkStart w:id="554" w:name="_Toc152045606"/>
      <w:bookmarkStart w:id="555" w:name="_Toc247527631"/>
      <w:bookmarkStart w:id="556" w:name="_Toc3684"/>
      <w:bookmarkStart w:id="557" w:name="_Toc144974573"/>
      <w:r>
        <w:rPr>
          <w:rFonts w:hint="eastAsia" w:ascii="宋体" w:hAnsi="宋体" w:cs="宋体"/>
          <w:color w:val="auto"/>
          <w:szCs w:val="21"/>
          <w:highlight w:val="none"/>
        </w:rPr>
        <w:t>（1）如果投标下浮率与最高总投标限价计算出来的总投标报价不等于投标人所报的总投标报价时，以投标下浮率为准修正总投标报价（下浮率有明显的数量级错误的除外，此时应修正下浮率），若修正后的总投标报价超过最高投标限价的，作否决投标处理；</w:t>
      </w:r>
    </w:p>
    <w:p w14:paraId="2EE022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（2）如果分项投标报价累加不等总投标报价的，以分项投标报价累加为准，修正总投标报价（分项投标报价有明显的数量级错误的除外，此时应修正分项投标报价）；</w:t>
      </w:r>
    </w:p>
    <w:p w14:paraId="651C5B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（3）投标文件存在其他计算性错误的，按就低不就高计算并修正；</w:t>
      </w:r>
    </w:p>
    <w:p w14:paraId="5D283E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（4）按上述修正错误的原则及方法调整或修正投标文件的投标报价，调整后的投标报价对投标人起约束作用。如果投标人不接受修正后的报价，则取消其投标资格或中标资格。</w:t>
      </w:r>
    </w:p>
    <w:p w14:paraId="0D5CA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3.1.4不得将文件顺序、明显的文字错误等列为否决投标的情形。评委发现文件中含义不明确、对同类问题表述不一致、有明显文字和计算错误的，应当要求投标人作必要的澄清、说明后再判定投标人是否通过审查，不得直接认定其不通过审查。</w:t>
      </w:r>
    </w:p>
    <w:p w14:paraId="2D0B693E">
      <w:pPr>
        <w:pStyle w:val="5"/>
        <w:spacing w:line="240" w:lineRule="auto"/>
        <w:ind w:firstLine="138"/>
        <w:rPr>
          <w:rFonts w:ascii="宋体" w:eastAsia="宋体" w:cs="宋体"/>
          <w:b/>
          <w:color w:val="auto"/>
          <w:highlight w:val="none"/>
        </w:rPr>
      </w:pPr>
      <w:bookmarkStart w:id="558" w:name="_Toc30534"/>
      <w:bookmarkStart w:id="559" w:name="_Toc31123"/>
      <w:bookmarkStart w:id="560" w:name="_Toc152005951"/>
      <w:bookmarkStart w:id="561" w:name="_Toc11294"/>
      <w:bookmarkStart w:id="562" w:name="_Toc11367"/>
      <w:bookmarkStart w:id="563" w:name="_Toc22572"/>
      <w:bookmarkStart w:id="564" w:name="_Toc18511"/>
      <w:r>
        <w:rPr>
          <w:rFonts w:hint="eastAsia" w:ascii="宋体" w:hAnsi="宋体" w:eastAsia="宋体" w:cs="宋体"/>
          <w:b/>
          <w:color w:val="auto"/>
          <w:sz w:val="24"/>
          <w:szCs w:val="24"/>
          <w:highlight w:val="none"/>
        </w:rPr>
        <w:t>3.2 详细评审</w:t>
      </w:r>
      <w:bookmarkEnd w:id="552"/>
      <w:bookmarkEnd w:id="553"/>
      <w:bookmarkEnd w:id="554"/>
      <w:bookmarkEnd w:id="555"/>
      <w:bookmarkEnd w:id="556"/>
      <w:bookmarkEnd w:id="557"/>
      <w:bookmarkEnd w:id="558"/>
      <w:bookmarkEnd w:id="559"/>
      <w:bookmarkEnd w:id="560"/>
      <w:bookmarkEnd w:id="561"/>
      <w:bookmarkEnd w:id="562"/>
      <w:bookmarkEnd w:id="563"/>
      <w:bookmarkEnd w:id="564"/>
    </w:p>
    <w:p w14:paraId="6047B67F">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3.2.1 评标委员会按本章第2.2款规定的量化因素和分值进行打分，并计算出</w:t>
      </w:r>
      <w:r>
        <w:rPr>
          <w:rFonts w:hint="eastAsia" w:ascii="宋体" w:hAnsi="宋体" w:cs="宋体"/>
          <w:color w:val="auto"/>
          <w:highlight w:val="none"/>
          <w:u w:val="single"/>
        </w:rPr>
        <w:t>投标文件（评标部分）</w:t>
      </w:r>
      <w:r>
        <w:rPr>
          <w:rFonts w:hint="eastAsia" w:ascii="宋体" w:hAnsi="宋体" w:cs="宋体"/>
          <w:color w:val="auto"/>
          <w:highlight w:val="none"/>
        </w:rPr>
        <w:t xml:space="preserve">综合评估得分。 </w:t>
      </w:r>
    </w:p>
    <w:p w14:paraId="764DE0E6">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）按本章第2.2.4（</w:t>
      </w:r>
      <w:r>
        <w:rPr>
          <w:rFonts w:hint="eastAsia" w:ascii="宋体" w:hAnsi="宋体" w:cs="宋体"/>
          <w:color w:val="auto"/>
          <w:highlight w:val="none"/>
          <w:lang w:val="en-US" w:eastAsia="zh-CN"/>
        </w:rPr>
        <w:t>1</w:t>
      </w:r>
      <w:r>
        <w:rPr>
          <w:rFonts w:hint="eastAsia" w:ascii="宋体" w:hAnsi="宋体" w:cs="宋体"/>
          <w:color w:val="auto"/>
          <w:highlight w:val="none"/>
        </w:rPr>
        <w:t>）目规定的评审因素和分值对工程总承包实施及运营管理方案技术部分计算出得分</w:t>
      </w:r>
      <w:r>
        <w:rPr>
          <w:rFonts w:hint="eastAsia" w:ascii="宋体" w:hAnsi="宋体" w:cs="宋体"/>
          <w:color w:val="auto"/>
          <w:highlight w:val="none"/>
          <w:lang w:val="en-US" w:eastAsia="zh-CN"/>
        </w:rPr>
        <w:t>A</w:t>
      </w:r>
      <w:r>
        <w:rPr>
          <w:rFonts w:hint="eastAsia" w:ascii="宋体" w:hAnsi="宋体" w:cs="宋体"/>
          <w:color w:val="auto"/>
          <w:highlight w:val="none"/>
        </w:rPr>
        <w:t>；</w:t>
      </w:r>
    </w:p>
    <w:p w14:paraId="0A7A4FC5">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）按本章第2.2.4（</w:t>
      </w:r>
      <w:r>
        <w:rPr>
          <w:rFonts w:hint="eastAsia" w:ascii="宋体" w:hAnsi="宋体" w:cs="宋体"/>
          <w:color w:val="auto"/>
          <w:highlight w:val="none"/>
          <w:lang w:val="en-US" w:eastAsia="zh-CN"/>
        </w:rPr>
        <w:t>2</w:t>
      </w:r>
      <w:r>
        <w:rPr>
          <w:rFonts w:hint="eastAsia" w:ascii="宋体" w:hAnsi="宋体" w:cs="宋体"/>
          <w:color w:val="auto"/>
          <w:highlight w:val="none"/>
        </w:rPr>
        <w:t>）目规定的评审因素和分值对</w:t>
      </w:r>
      <w:r>
        <w:rPr>
          <w:rFonts w:hint="eastAsia" w:ascii="宋体" w:hAnsi="宋体" w:cs="宋体"/>
          <w:color w:val="auto"/>
          <w:highlight w:val="none"/>
          <w:lang w:val="en-US" w:eastAsia="zh-CN"/>
        </w:rPr>
        <w:t>总建安工程费</w:t>
      </w:r>
      <w:r>
        <w:rPr>
          <w:rFonts w:hint="eastAsia" w:ascii="宋体" w:hAnsi="宋体" w:cs="宋体"/>
          <w:color w:val="auto"/>
          <w:highlight w:val="none"/>
        </w:rPr>
        <w:t>投标报价计算出得分</w:t>
      </w:r>
      <w:r>
        <w:rPr>
          <w:rFonts w:hint="eastAsia" w:ascii="宋体" w:hAnsi="宋体" w:cs="宋体"/>
          <w:color w:val="auto"/>
          <w:highlight w:val="none"/>
          <w:lang w:val="en-US" w:eastAsia="zh-CN"/>
        </w:rPr>
        <w:t>B</w:t>
      </w:r>
      <w:r>
        <w:rPr>
          <w:rFonts w:hint="eastAsia" w:ascii="宋体" w:hAnsi="宋体" w:cs="宋体"/>
          <w:color w:val="auto"/>
          <w:highlight w:val="none"/>
        </w:rPr>
        <w:t>。</w:t>
      </w:r>
    </w:p>
    <w:p w14:paraId="231FB2B2">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3.2.2 评分分值计算保留小数点后两位，小数点后第三位“四舍五入”。</w:t>
      </w:r>
    </w:p>
    <w:p w14:paraId="6FD5EFB8">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3.2.3 </w:t>
      </w:r>
      <w:r>
        <w:rPr>
          <w:rFonts w:hint="eastAsia" w:ascii="宋体" w:hAnsi="宋体" w:cs="宋体"/>
          <w:color w:val="auto"/>
          <w:highlight w:val="none"/>
          <w:u w:val="single"/>
        </w:rPr>
        <w:t>投标人的投标文件（评标部分）总得分为工程总承包实施及运营管理方案技术部分得分、</w:t>
      </w:r>
      <w:r>
        <w:rPr>
          <w:rFonts w:hint="eastAsia" w:ascii="宋体" w:hAnsi="宋体" w:cs="宋体"/>
          <w:color w:val="auto"/>
          <w:highlight w:val="none"/>
          <w:u w:val="single"/>
          <w:lang w:val="en-US" w:eastAsia="zh-CN"/>
        </w:rPr>
        <w:t>总</w:t>
      </w:r>
      <w:r>
        <w:rPr>
          <w:rFonts w:hint="eastAsia" w:ascii="宋体" w:hAnsi="宋体" w:cs="宋体"/>
          <w:color w:val="auto"/>
          <w:highlight w:val="none"/>
          <w:lang w:val="en-US" w:eastAsia="zh-CN"/>
        </w:rPr>
        <w:t>建安工程费</w:t>
      </w:r>
      <w:r>
        <w:rPr>
          <w:rFonts w:hint="eastAsia" w:ascii="宋体" w:hAnsi="宋体" w:cs="宋体"/>
          <w:color w:val="auto"/>
          <w:highlight w:val="none"/>
          <w:u w:val="single"/>
        </w:rPr>
        <w:t>投标报价得分之和。评标委员会应按照投标文件（评标部分）总得分从高至低的顺序推荐排序位于前20名次的合格投标人不排序进入定标阶段，若通过初步评审的合格投标人大于等于3家，小于等于20家的，则全部通过初步评审的合格投标人不排序进入定标阶段；若通过初步评审的合格投标人大于20家的，按投标文件（评标部分）总得分从高到低进行排序，推荐排序位于前20名次的合格投标人不排序进入定标阶段（若前20名次的合格投标人中存在投标文件（评标部分）总得分相同的，则按第三章“评标、定标办法”第1款的原则确定排序。）。计分采用百分制，投标文件（评标部分）总得分计算方法：</w:t>
      </w:r>
      <w:r>
        <w:rPr>
          <w:rFonts w:hint="eastAsia" w:ascii="宋体" w:hAnsi="宋体" w:cs="宋体"/>
          <w:color w:val="auto"/>
          <w:highlight w:val="none"/>
        </w:rPr>
        <w:t>=A</w:t>
      </w:r>
      <w:r>
        <w:rPr>
          <w:rFonts w:hint="default" w:ascii="宋体" w:hAnsi="宋体" w:cs="宋体"/>
          <w:color w:val="auto"/>
          <w:highlight w:val="none"/>
          <w:lang w:val="en-US"/>
        </w:rPr>
        <w:t>×权重</w:t>
      </w:r>
      <w:r>
        <w:rPr>
          <w:rFonts w:hint="eastAsia" w:ascii="宋体" w:hAnsi="宋体" w:cs="宋体"/>
          <w:color w:val="auto"/>
          <w:highlight w:val="none"/>
          <w:lang w:val="en-US" w:eastAsia="zh-CN"/>
        </w:rPr>
        <w:t>50</w:t>
      </w:r>
      <w:r>
        <w:rPr>
          <w:rFonts w:hint="default" w:ascii="宋体" w:hAnsi="宋体" w:cs="宋体"/>
          <w:color w:val="auto"/>
          <w:highlight w:val="none"/>
          <w:lang w:val="en-US"/>
        </w:rPr>
        <w:t>%+B×权重</w:t>
      </w:r>
      <w:r>
        <w:rPr>
          <w:rFonts w:hint="eastAsia" w:ascii="宋体" w:hAnsi="宋体" w:cs="宋体"/>
          <w:color w:val="auto"/>
          <w:highlight w:val="none"/>
          <w:lang w:val="en-US" w:eastAsia="zh-CN"/>
        </w:rPr>
        <w:t>50</w:t>
      </w:r>
      <w:r>
        <w:rPr>
          <w:rFonts w:hint="default" w:ascii="宋体" w:hAnsi="宋体" w:cs="宋体"/>
          <w:color w:val="auto"/>
          <w:highlight w:val="none"/>
          <w:lang w:val="en-US"/>
        </w:rPr>
        <w:t>%</w:t>
      </w:r>
      <w:r>
        <w:rPr>
          <w:rFonts w:hint="eastAsia" w:ascii="宋体" w:hAnsi="宋体" w:cs="宋体"/>
          <w:color w:val="auto"/>
          <w:highlight w:val="none"/>
        </w:rPr>
        <w:t>。</w:t>
      </w:r>
    </w:p>
    <w:p w14:paraId="0717E166">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2B87DC3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3.2.5 评</w:t>
      </w:r>
      <w:r>
        <w:rPr>
          <w:rFonts w:hint="eastAsia" w:ascii="宋体" w:hAnsi="宋体" w:cs="宋体"/>
          <w:color w:val="auto"/>
          <w:highlight w:val="none"/>
          <w:lang w:val="en-US" w:eastAsia="zh-CN"/>
        </w:rPr>
        <w:t>标</w:t>
      </w:r>
      <w:r>
        <w:rPr>
          <w:rFonts w:hint="eastAsia" w:ascii="宋体" w:hAnsi="宋体" w:cs="宋体"/>
          <w:color w:val="auto"/>
          <w:highlight w:val="none"/>
        </w:rPr>
        <w:t>委</w:t>
      </w:r>
      <w:r>
        <w:rPr>
          <w:rFonts w:hint="eastAsia" w:ascii="宋体" w:hAnsi="宋体" w:cs="宋体"/>
          <w:color w:val="auto"/>
          <w:highlight w:val="none"/>
          <w:lang w:val="en-US" w:eastAsia="zh-CN"/>
        </w:rPr>
        <w:t>员会</w:t>
      </w:r>
      <w:r>
        <w:rPr>
          <w:rFonts w:hint="eastAsia" w:ascii="宋体" w:hAnsi="宋体" w:cs="宋体"/>
          <w:color w:val="auto"/>
          <w:highlight w:val="none"/>
        </w:rPr>
        <w:t>发现投标文件中含义不明确、对同类问题表述不一致、有明显文字和计算错误的，应当要求投标人作必要的澄清、说明后再判定投标人是否通过评审，不得直接否决投标。</w:t>
      </w:r>
    </w:p>
    <w:p w14:paraId="1D82388B">
      <w:pPr>
        <w:pStyle w:val="5"/>
        <w:spacing w:line="240" w:lineRule="auto"/>
        <w:ind w:firstLine="138"/>
        <w:rPr>
          <w:rFonts w:ascii="宋体" w:eastAsia="宋体" w:cs="宋体"/>
          <w:b/>
          <w:color w:val="auto"/>
          <w:highlight w:val="none"/>
          <w:u w:val="single"/>
        </w:rPr>
      </w:pPr>
      <w:bookmarkStart w:id="565" w:name="_Toc11720"/>
      <w:bookmarkStart w:id="566" w:name="_Toc11536"/>
      <w:bookmarkStart w:id="567" w:name="_Toc18323"/>
      <w:bookmarkStart w:id="568" w:name="_Toc24934"/>
      <w:bookmarkStart w:id="569" w:name="_Toc1654"/>
      <w:bookmarkStart w:id="570" w:name="_Toc6602"/>
      <w:bookmarkStart w:id="571" w:name="_Toc152005952"/>
      <w:bookmarkStart w:id="572" w:name="_Toc33695049"/>
      <w:bookmarkStart w:id="573" w:name="_Toc25126"/>
      <w:r>
        <w:rPr>
          <w:rFonts w:hint="eastAsia" w:ascii="宋体" w:hAnsi="宋体" w:eastAsia="宋体" w:cs="宋体"/>
          <w:b/>
          <w:color w:val="auto"/>
          <w:sz w:val="24"/>
          <w:szCs w:val="24"/>
          <w:highlight w:val="none"/>
        </w:rPr>
        <w:t>3.3具体评标程序</w:t>
      </w:r>
      <w:bookmarkEnd w:id="565"/>
      <w:bookmarkEnd w:id="566"/>
      <w:bookmarkEnd w:id="567"/>
      <w:bookmarkEnd w:id="568"/>
      <w:bookmarkEnd w:id="569"/>
      <w:bookmarkEnd w:id="570"/>
      <w:bookmarkEnd w:id="571"/>
    </w:p>
    <w:bookmarkEnd w:id="572"/>
    <w:bookmarkEnd w:id="573"/>
    <w:p w14:paraId="1853192B">
      <w:pPr>
        <w:pStyle w:val="5"/>
        <w:spacing w:line="240" w:lineRule="auto"/>
        <w:ind w:firstLine="138"/>
        <w:rPr>
          <w:rFonts w:ascii="宋体" w:eastAsia="宋体" w:cs="宋体"/>
          <w:b/>
          <w:color w:val="auto"/>
          <w:highlight w:val="none"/>
        </w:rPr>
      </w:pPr>
      <w:bookmarkStart w:id="574" w:name="_Toc152005954"/>
      <w:bookmarkStart w:id="575" w:name="_Toc21909"/>
      <w:bookmarkStart w:id="576" w:name="_Toc15441"/>
      <w:bookmarkStart w:id="577" w:name="_Toc24271"/>
      <w:bookmarkStart w:id="578" w:name="_Toc17272"/>
      <w:bookmarkStart w:id="579" w:name="_Toc439246059"/>
      <w:bookmarkStart w:id="580" w:name="_Toc439240660"/>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）形式审查及资格审查</w:t>
      </w:r>
      <w:bookmarkEnd w:id="574"/>
      <w:bookmarkEnd w:id="575"/>
      <w:bookmarkEnd w:id="576"/>
      <w:bookmarkEnd w:id="577"/>
      <w:bookmarkEnd w:id="578"/>
    </w:p>
    <w:p w14:paraId="1A79B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形式审查中全部符合形式评审标准（详见前附表）中规定情形的，为形式审查合格。否则为形式审查不合格，经</w:t>
      </w:r>
      <w:r>
        <w:rPr>
          <w:rFonts w:hint="eastAsia" w:ascii="宋体" w:hAnsi="宋体" w:cs="宋体"/>
          <w:color w:val="auto"/>
          <w:highlight w:val="none"/>
          <w:lang w:eastAsia="zh-CN"/>
        </w:rPr>
        <w:t>评标委员会</w:t>
      </w:r>
      <w:r>
        <w:rPr>
          <w:rFonts w:hint="eastAsia" w:ascii="宋体" w:hAnsi="宋体" w:cs="宋体"/>
          <w:color w:val="auto"/>
          <w:highlight w:val="none"/>
        </w:rPr>
        <w:t>评委共同</w:t>
      </w:r>
      <w:r>
        <w:rPr>
          <w:rFonts w:hint="eastAsia" w:ascii="宋体" w:hAnsi="宋体" w:cs="宋体"/>
          <w:color w:val="auto"/>
          <w:szCs w:val="21"/>
          <w:highlight w:val="none"/>
        </w:rPr>
        <w:t>认定后，其投标文件将被拒绝。如</w:t>
      </w:r>
      <w:r>
        <w:rPr>
          <w:rFonts w:hint="eastAsia" w:ascii="宋体" w:hAnsi="宋体" w:cs="宋体"/>
          <w:color w:val="auto"/>
          <w:highlight w:val="none"/>
          <w:lang w:eastAsia="zh-CN"/>
        </w:rPr>
        <w:t>评标委员会</w:t>
      </w:r>
      <w:r>
        <w:rPr>
          <w:rFonts w:hint="eastAsia" w:ascii="宋体" w:hAnsi="宋体" w:cs="宋体"/>
          <w:color w:val="auto"/>
          <w:szCs w:val="21"/>
          <w:highlight w:val="none"/>
        </w:rPr>
        <w:t>评委的评审意见不一致时，以</w:t>
      </w:r>
      <w:r>
        <w:rPr>
          <w:rFonts w:hint="eastAsia" w:ascii="宋体" w:hAnsi="宋体" w:cs="宋体"/>
          <w:color w:val="auto"/>
          <w:highlight w:val="none"/>
          <w:lang w:eastAsia="zh-CN"/>
        </w:rPr>
        <w:t>评标委员会</w:t>
      </w:r>
      <w:r>
        <w:rPr>
          <w:rFonts w:hint="eastAsia" w:ascii="宋体" w:hAnsi="宋体" w:cs="宋体"/>
          <w:color w:val="auto"/>
          <w:szCs w:val="21"/>
          <w:highlight w:val="none"/>
        </w:rPr>
        <w:t>过半数成员的意见作为</w:t>
      </w:r>
      <w:r>
        <w:rPr>
          <w:rFonts w:hint="eastAsia" w:ascii="宋体" w:hAnsi="宋体" w:cs="宋体"/>
          <w:color w:val="auto"/>
          <w:highlight w:val="none"/>
          <w:lang w:eastAsia="zh-CN"/>
        </w:rPr>
        <w:t>评标委员会</w:t>
      </w:r>
      <w:r>
        <w:rPr>
          <w:rFonts w:hint="eastAsia" w:ascii="宋体" w:hAnsi="宋体" w:cs="宋体"/>
          <w:color w:val="auto"/>
          <w:szCs w:val="21"/>
          <w:highlight w:val="none"/>
        </w:rPr>
        <w:t>对该情形的认定结论。</w:t>
      </w:r>
    </w:p>
    <w:p w14:paraId="1EB471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汇总形式审查情况，只有通过形式审查的投标人方可进入下一阶段的评审。形式审查合格的投标人少于3名的，则本项目招标失败。</w:t>
      </w:r>
    </w:p>
    <w:p w14:paraId="2D4073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w:t>
      </w:r>
      <w:r>
        <w:rPr>
          <w:rFonts w:hint="eastAsia" w:ascii="宋体" w:hAnsi="宋体" w:cs="宋体"/>
          <w:color w:val="auto"/>
          <w:szCs w:val="21"/>
          <w:highlight w:val="none"/>
          <w:lang w:val="en-US" w:eastAsia="zh-CN"/>
        </w:rPr>
        <w:t>3</w:t>
      </w:r>
      <w:r>
        <w:rPr>
          <w:rFonts w:hint="eastAsia" w:ascii="宋体" w:hAnsi="宋体" w:cs="宋体"/>
          <w:color w:val="auto"/>
          <w:highlight w:val="none"/>
          <w:lang w:eastAsia="zh-CN"/>
        </w:rPr>
        <w:t>评标委员会</w:t>
      </w:r>
      <w:r>
        <w:rPr>
          <w:rFonts w:hint="eastAsia" w:ascii="宋体" w:hAnsi="宋体" w:cs="宋体"/>
          <w:color w:val="auto"/>
          <w:highlight w:val="none"/>
        </w:rPr>
        <w:t>评委</w:t>
      </w:r>
      <w:r>
        <w:rPr>
          <w:rFonts w:hint="eastAsia" w:ascii="宋体" w:hAnsi="宋体" w:cs="宋体"/>
          <w:color w:val="auto"/>
          <w:szCs w:val="21"/>
          <w:highlight w:val="none"/>
        </w:rPr>
        <w:t>对所有通过形式审查的投标人进行资格审查。资格审查文件中全部符合</w:t>
      </w:r>
      <w:r>
        <w:rPr>
          <w:rFonts w:hint="eastAsia" w:ascii="宋体" w:hAnsi="宋体" w:cs="宋体"/>
          <w:color w:val="auto"/>
          <w:highlight w:val="none"/>
        </w:rPr>
        <w:t>资格评审标准（详见前附表）</w:t>
      </w:r>
      <w:r>
        <w:rPr>
          <w:rFonts w:hint="eastAsia" w:ascii="宋体" w:hAnsi="宋体" w:cs="宋体"/>
          <w:color w:val="auto"/>
          <w:szCs w:val="21"/>
          <w:highlight w:val="none"/>
        </w:rPr>
        <w:t>中规定情形的，为资格审查合格。否则为资格审查不合格，经</w:t>
      </w:r>
      <w:r>
        <w:rPr>
          <w:rFonts w:hint="eastAsia" w:ascii="宋体" w:hAnsi="宋体" w:cs="宋体"/>
          <w:color w:val="auto"/>
          <w:highlight w:val="none"/>
          <w:lang w:eastAsia="zh-CN"/>
        </w:rPr>
        <w:t>评标委员会</w:t>
      </w:r>
      <w:r>
        <w:rPr>
          <w:rFonts w:hint="eastAsia" w:ascii="宋体" w:hAnsi="宋体" w:cs="宋体"/>
          <w:color w:val="auto"/>
          <w:highlight w:val="none"/>
        </w:rPr>
        <w:t>评委共同</w:t>
      </w:r>
      <w:r>
        <w:rPr>
          <w:rFonts w:hint="eastAsia" w:ascii="宋体" w:hAnsi="宋体" w:cs="宋体"/>
          <w:color w:val="auto"/>
          <w:szCs w:val="21"/>
          <w:highlight w:val="none"/>
        </w:rPr>
        <w:t>认定后，其投标将被拒绝。如</w:t>
      </w:r>
      <w:r>
        <w:rPr>
          <w:rFonts w:hint="eastAsia" w:ascii="宋体" w:hAnsi="宋体" w:cs="宋体"/>
          <w:color w:val="auto"/>
          <w:highlight w:val="none"/>
          <w:lang w:eastAsia="zh-CN"/>
        </w:rPr>
        <w:t>评标委员会</w:t>
      </w:r>
      <w:r>
        <w:rPr>
          <w:rFonts w:hint="eastAsia" w:ascii="宋体" w:hAnsi="宋体" w:cs="宋体"/>
          <w:color w:val="auto"/>
          <w:szCs w:val="21"/>
          <w:highlight w:val="none"/>
        </w:rPr>
        <w:t>评委的评审意见不一致时，以</w:t>
      </w:r>
      <w:r>
        <w:rPr>
          <w:rFonts w:hint="eastAsia" w:ascii="宋体" w:hAnsi="宋体" w:cs="宋体"/>
          <w:color w:val="auto"/>
          <w:highlight w:val="none"/>
          <w:lang w:eastAsia="zh-CN"/>
        </w:rPr>
        <w:t>评标委员会</w:t>
      </w:r>
      <w:r>
        <w:rPr>
          <w:rFonts w:hint="eastAsia" w:ascii="宋体" w:hAnsi="宋体" w:cs="宋体"/>
          <w:color w:val="auto"/>
          <w:szCs w:val="21"/>
          <w:highlight w:val="none"/>
        </w:rPr>
        <w:t>过半数成员的意见作为评标委员会对该情形的认定结论。只有通过资格审查的投标人方可进入下一阶段的评审。</w:t>
      </w:r>
    </w:p>
    <w:p w14:paraId="2FE23E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汇总资格审查情况，编写资格审查报告。资格审查合格的投标人少于3名的，则本项目招标失败。</w:t>
      </w:r>
    </w:p>
    <w:p w14:paraId="56C9D3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评委发现投标文件中含义不明确、对同类问题表述不一致、有明显文字和计算错误的，应当要求投标人作必要的澄清、说明后再判定投标人是否通过有效性审查，不得直接否决投标。</w:t>
      </w:r>
    </w:p>
    <w:p w14:paraId="7A7D258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特别声明：资审合格后，投标人的资</w:t>
      </w:r>
      <w:bookmarkEnd w:id="579"/>
      <w:bookmarkEnd w:id="580"/>
      <w:r>
        <w:rPr>
          <w:rFonts w:hint="eastAsia" w:ascii="宋体" w:hAnsi="宋体" w:cs="宋体"/>
          <w:b/>
          <w:color w:val="auto"/>
          <w:szCs w:val="21"/>
          <w:highlight w:val="none"/>
        </w:rPr>
        <w:t>格</w:t>
      </w:r>
      <w:bookmarkStart w:id="581" w:name="_Toc439240661"/>
      <w:bookmarkStart w:id="582" w:name="_Toc439246060"/>
      <w:bookmarkStart w:id="583" w:name="_Toc414"/>
      <w:bookmarkStart w:id="584" w:name="_Toc28515"/>
      <w:bookmarkStart w:id="585" w:name="_Toc33695050"/>
      <w:bookmarkStart w:id="586" w:name="_Toc9446"/>
      <w:r>
        <w:rPr>
          <w:rFonts w:hint="eastAsia" w:ascii="宋体" w:hAnsi="宋体" w:cs="宋体"/>
          <w:b/>
          <w:color w:val="auto"/>
          <w:szCs w:val="21"/>
          <w:highlight w:val="none"/>
        </w:rPr>
        <w:t>发生变化而不满足投标人合格条</w:t>
      </w:r>
      <w:bookmarkEnd w:id="581"/>
      <w:bookmarkEnd w:id="582"/>
      <w:r>
        <w:rPr>
          <w:rFonts w:hint="eastAsia" w:ascii="宋体" w:hAnsi="宋体" w:cs="宋体"/>
          <w:b/>
          <w:color w:val="auto"/>
          <w:szCs w:val="21"/>
          <w:highlight w:val="none"/>
        </w:rPr>
        <w:t>件，在发出中标通知书</w:t>
      </w:r>
      <w:bookmarkEnd w:id="583"/>
      <w:bookmarkEnd w:id="584"/>
      <w:bookmarkEnd w:id="585"/>
      <w:bookmarkEnd w:id="586"/>
      <w:r>
        <w:rPr>
          <w:rFonts w:hint="eastAsia" w:ascii="宋体" w:hAnsi="宋体" w:cs="宋体"/>
          <w:b/>
          <w:color w:val="auto"/>
          <w:szCs w:val="21"/>
          <w:highlight w:val="none"/>
        </w:rPr>
        <w:t>前，资格问题仍未解决的，招标人将取消其中标资格。</w:t>
      </w:r>
    </w:p>
    <w:p w14:paraId="12D1249D">
      <w:pPr>
        <w:pStyle w:val="5"/>
        <w:spacing w:line="240" w:lineRule="auto"/>
        <w:ind w:firstLine="138"/>
        <w:rPr>
          <w:rFonts w:ascii="宋体" w:eastAsia="宋体" w:cs="宋体"/>
          <w:b/>
          <w:color w:val="auto"/>
          <w:highlight w:val="none"/>
        </w:rPr>
      </w:pPr>
      <w:bookmarkStart w:id="587" w:name="_Toc27841"/>
      <w:bookmarkStart w:id="588" w:name="_Toc152005955"/>
      <w:bookmarkStart w:id="589" w:name="_Toc6019"/>
      <w:bookmarkStart w:id="590" w:name="_Toc15813"/>
      <w:bookmarkStart w:id="591" w:name="_Toc28764"/>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）工程总承包实施及运营管理方案评审</w:t>
      </w:r>
      <w:bookmarkEnd w:id="587"/>
      <w:bookmarkEnd w:id="588"/>
      <w:bookmarkEnd w:id="589"/>
      <w:bookmarkEnd w:id="590"/>
      <w:bookmarkEnd w:id="591"/>
    </w:p>
    <w:p w14:paraId="140357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工程总承包实施及运营管理方案的响应性审查：通过资格审查的投标文件中没有任一种列于工程总承包实施及运营管理方案响应性评审标准（详见前附表）中情形的，为有效</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。否则为无效</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，经</w:t>
      </w:r>
      <w:r>
        <w:rPr>
          <w:rFonts w:hint="eastAsia" w:ascii="宋体" w:hAnsi="宋体" w:cs="宋体"/>
          <w:color w:val="auto"/>
          <w:highlight w:val="none"/>
          <w:lang w:eastAsia="zh-CN"/>
        </w:rPr>
        <w:t>评标委员会</w:t>
      </w:r>
      <w:r>
        <w:rPr>
          <w:rFonts w:hint="eastAsia" w:ascii="宋体" w:hAnsi="宋体" w:cs="宋体"/>
          <w:color w:val="auto"/>
          <w:szCs w:val="21"/>
          <w:highlight w:val="none"/>
        </w:rPr>
        <w:t>评委共同认定后，其投标文件将被拒绝。如</w:t>
      </w:r>
      <w:r>
        <w:rPr>
          <w:rFonts w:hint="eastAsia" w:ascii="宋体" w:hAnsi="宋体" w:cs="宋体"/>
          <w:color w:val="auto"/>
          <w:highlight w:val="none"/>
          <w:lang w:eastAsia="zh-CN"/>
        </w:rPr>
        <w:t>评标委员会</w:t>
      </w:r>
      <w:r>
        <w:rPr>
          <w:rFonts w:hint="eastAsia" w:ascii="宋体" w:hAnsi="宋体" w:cs="宋体"/>
          <w:color w:val="auto"/>
          <w:szCs w:val="21"/>
          <w:highlight w:val="none"/>
        </w:rPr>
        <w:t>评委的评审意见不一致时，以</w:t>
      </w:r>
      <w:r>
        <w:rPr>
          <w:rFonts w:hint="eastAsia" w:ascii="宋体" w:hAnsi="宋体" w:cs="宋体"/>
          <w:color w:val="auto"/>
          <w:highlight w:val="none"/>
          <w:lang w:eastAsia="zh-CN"/>
        </w:rPr>
        <w:t>评标委员会</w:t>
      </w:r>
      <w:r>
        <w:rPr>
          <w:rFonts w:hint="eastAsia" w:ascii="宋体" w:hAnsi="宋体" w:cs="宋体"/>
          <w:color w:val="auto"/>
          <w:szCs w:val="21"/>
          <w:highlight w:val="none"/>
        </w:rPr>
        <w:t>评委过半数成员的意见作为评标委员会对该情形的认定结论。</w:t>
      </w:r>
    </w:p>
    <w:p w14:paraId="563B5E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w:t>
      </w:r>
      <w:r>
        <w:rPr>
          <w:rFonts w:hint="eastAsia" w:ascii="宋体" w:hAnsi="宋体" w:cs="宋体"/>
          <w:color w:val="auto"/>
          <w:szCs w:val="21"/>
          <w:highlight w:val="none"/>
          <w:lang w:val="en-US" w:eastAsia="zh-CN"/>
        </w:rPr>
        <w:t>7</w:t>
      </w:r>
      <w:r>
        <w:rPr>
          <w:rFonts w:hint="eastAsia" w:ascii="宋体" w:hAnsi="宋体" w:cs="宋体"/>
          <w:color w:val="auto"/>
          <w:highlight w:val="none"/>
        </w:rPr>
        <w:t>工程总承包实施及运营管理方案技术部分</w:t>
      </w:r>
      <w:r>
        <w:rPr>
          <w:rFonts w:hint="eastAsia" w:ascii="宋体" w:hAnsi="宋体" w:cs="宋体"/>
          <w:color w:val="auto"/>
          <w:szCs w:val="21"/>
          <w:highlight w:val="none"/>
        </w:rPr>
        <w:t>详细审查：</w:t>
      </w:r>
      <w:r>
        <w:rPr>
          <w:rFonts w:hint="eastAsia" w:ascii="宋体" w:hAnsi="宋体" w:cs="宋体"/>
          <w:color w:val="auto"/>
          <w:highlight w:val="none"/>
          <w:lang w:eastAsia="zh-CN"/>
        </w:rPr>
        <w:t>评标委员会</w:t>
      </w:r>
      <w:r>
        <w:rPr>
          <w:rFonts w:hint="eastAsia" w:ascii="宋体" w:hAnsi="宋体" w:cs="宋体"/>
          <w:color w:val="auto"/>
          <w:szCs w:val="21"/>
          <w:highlight w:val="none"/>
        </w:rPr>
        <w:t>评委按照</w:t>
      </w:r>
      <w:r>
        <w:rPr>
          <w:rFonts w:hint="eastAsia" w:ascii="宋体" w:hAnsi="宋体" w:cs="宋体"/>
          <w:color w:val="auto"/>
          <w:highlight w:val="none"/>
        </w:rPr>
        <w:t>工程总承包实施及运营管理方案技术部分</w:t>
      </w:r>
      <w:r>
        <w:rPr>
          <w:rFonts w:hint="eastAsia" w:ascii="宋体" w:hAnsi="宋体" w:cs="宋体"/>
          <w:color w:val="auto"/>
          <w:szCs w:val="21"/>
          <w:highlight w:val="none"/>
        </w:rPr>
        <w:t>评分标准（详见前附表），对通过响应性审查的投标文件进行详细审查，评分。</w:t>
      </w:r>
    </w:p>
    <w:p w14:paraId="7E21D984">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3.3.</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各投标人工程总承包实施及运营管理方案技术部分得分为各评委评分的算术平均值，</w:t>
      </w:r>
      <w:r>
        <w:rPr>
          <w:rFonts w:hint="eastAsia" w:ascii="宋体" w:hAnsi="宋体" w:cs="宋体"/>
          <w:color w:val="auto"/>
          <w:highlight w:val="none"/>
          <w:lang w:eastAsia="zh-CN"/>
        </w:rPr>
        <w:t>评标委员会</w:t>
      </w:r>
      <w:r>
        <w:rPr>
          <w:rFonts w:hint="eastAsia" w:ascii="宋体" w:hAnsi="宋体" w:cs="宋体"/>
          <w:color w:val="auto"/>
          <w:szCs w:val="21"/>
          <w:highlight w:val="none"/>
        </w:rPr>
        <w:t>按此汇总</w:t>
      </w:r>
      <w:bookmarkStart w:id="592" w:name="_Toc439246061"/>
      <w:bookmarkStart w:id="593" w:name="_Toc439240662"/>
      <w:bookmarkStart w:id="594" w:name="_Toc28797"/>
      <w:bookmarkStart w:id="595" w:name="_Toc6339"/>
      <w:bookmarkStart w:id="596" w:name="_Toc14774"/>
      <w:bookmarkStart w:id="597" w:name="_Toc33695051"/>
      <w:r>
        <w:rPr>
          <w:rFonts w:hint="eastAsia" w:ascii="宋体" w:hAnsi="宋体" w:cs="宋体"/>
          <w:color w:val="auto"/>
          <w:szCs w:val="21"/>
          <w:highlight w:val="none"/>
        </w:rPr>
        <w:t>每个投标人</w:t>
      </w:r>
      <w:r>
        <w:rPr>
          <w:rFonts w:hint="eastAsia" w:ascii="宋体" w:hAnsi="宋体" w:cs="宋体"/>
          <w:color w:val="auto"/>
          <w:highlight w:val="none"/>
        </w:rPr>
        <w:t>工程总承包实施及运营管理方案技术部分</w:t>
      </w:r>
      <w:bookmarkEnd w:id="592"/>
      <w:bookmarkEnd w:id="593"/>
      <w:r>
        <w:rPr>
          <w:rFonts w:hint="eastAsia" w:ascii="宋体" w:hAnsi="宋体" w:cs="宋体"/>
          <w:color w:val="auto"/>
          <w:szCs w:val="21"/>
          <w:highlight w:val="none"/>
        </w:rPr>
        <w:t>详细审查得分，</w:t>
      </w:r>
      <w:bookmarkEnd w:id="594"/>
      <w:bookmarkEnd w:id="595"/>
      <w:bookmarkEnd w:id="596"/>
      <w:bookmarkEnd w:id="597"/>
      <w:r>
        <w:rPr>
          <w:rFonts w:hint="eastAsia" w:ascii="宋体" w:hAnsi="宋体" w:cs="宋体"/>
          <w:color w:val="auto"/>
          <w:szCs w:val="21"/>
          <w:highlight w:val="none"/>
        </w:rPr>
        <w:t>分数出现小数点，保留小数点后二位，第三位小数四舍五入。</w:t>
      </w:r>
    </w:p>
    <w:p w14:paraId="43CDCDAF">
      <w:pPr>
        <w:pStyle w:val="5"/>
        <w:spacing w:line="240" w:lineRule="auto"/>
        <w:ind w:firstLine="138"/>
        <w:rPr>
          <w:rFonts w:ascii="宋体" w:eastAsia="宋体" w:cs="宋体"/>
          <w:b/>
          <w:color w:val="auto"/>
          <w:highlight w:val="none"/>
        </w:rPr>
      </w:pPr>
      <w:bookmarkStart w:id="598" w:name="_Toc28575"/>
      <w:bookmarkStart w:id="599" w:name="_Toc152005956"/>
      <w:bookmarkStart w:id="600" w:name="_Toc1753"/>
      <w:bookmarkStart w:id="601" w:name="_Toc24527"/>
      <w:bookmarkStart w:id="602" w:name="_Toc27924"/>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）投标报价得分</w:t>
      </w:r>
      <w:bookmarkEnd w:id="598"/>
      <w:bookmarkEnd w:id="599"/>
      <w:bookmarkEnd w:id="600"/>
      <w:bookmarkEnd w:id="601"/>
      <w:bookmarkEnd w:id="602"/>
    </w:p>
    <w:p w14:paraId="717899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投标报价的算术校核。</w:t>
      </w:r>
      <w:r>
        <w:rPr>
          <w:rFonts w:hint="eastAsia" w:ascii="宋体" w:hAnsi="宋体" w:cs="宋体"/>
          <w:color w:val="auto"/>
          <w:highlight w:val="none"/>
          <w:lang w:eastAsia="zh-CN"/>
        </w:rPr>
        <w:t>评标委员会</w:t>
      </w:r>
      <w:r>
        <w:rPr>
          <w:rFonts w:hint="eastAsia" w:ascii="宋体" w:hAnsi="宋体" w:cs="宋体"/>
          <w:color w:val="auto"/>
          <w:szCs w:val="21"/>
          <w:highlight w:val="none"/>
        </w:rPr>
        <w:t>对通过形式审查、资格审查</w:t>
      </w:r>
      <w:r>
        <w:rPr>
          <w:rFonts w:hint="eastAsia" w:ascii="宋体" w:hAnsi="宋体" w:cs="宋体"/>
          <w:color w:val="auto"/>
          <w:highlight w:val="none"/>
        </w:rPr>
        <w:t>和工程总承包实施及运营管理方案响应性审查</w:t>
      </w:r>
      <w:r>
        <w:rPr>
          <w:rFonts w:hint="eastAsia" w:ascii="宋体" w:hAnsi="宋体" w:cs="宋体"/>
          <w:color w:val="auto"/>
          <w:szCs w:val="21"/>
          <w:highlight w:val="none"/>
        </w:rPr>
        <w:t>的投标文件的投标报价进行算术校核，具体标准如下：</w:t>
      </w:r>
    </w:p>
    <w:p w14:paraId="46142B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如果投标下浮率与最高投标限价计算出来的总投标报价不等于投标人所报的总投标报价时，以投标下浮率为准修正总投标报价（下浮率有明显的数量级错误的除外，此时应修正下浮率），若修正后的总投标报价超过最高投标限价的，作否决投标处理；</w:t>
      </w:r>
    </w:p>
    <w:p w14:paraId="1E1674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（2）如果分项投标报价累加不等总投标报价的，以分项投标报价累加为准，修正总投标报价（分项投标报价有明显的数量级错误的除外，此时应修正分项投标报价）；</w:t>
      </w:r>
    </w:p>
    <w:p w14:paraId="751A7F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（3）投标文件存在其他计算性错误的，按就低不就高计算并修正；</w:t>
      </w:r>
    </w:p>
    <w:p w14:paraId="7EE878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（4）按上述修正错误的原则及方法调整或修正投标文件的投标报价，调整后的投标报价对投标人起约束作用。如果投标人不接受修正后的报价，则取消其投标资格或中标资格。</w:t>
      </w:r>
    </w:p>
    <w:p w14:paraId="184140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投标报价评分</w:t>
      </w:r>
    </w:p>
    <w:p w14:paraId="189B88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当通过形式审查、资格审查和工程总承包实施及运营管理方案响应性审查并经算术校核的投标人</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建安工程费，若位于[95%，100%]建安工程费最高投标限价区间的投标价大于或等于五个，则在位于[95%，100%]建安工程费最高投标限价区间的投标价中，去掉一个最高价和一个最低价后，剩余报价的算术平均值为评标参考价。若位于[95%，100%]建安工程费最高投标限价区间的投标价少于五个，直接取区间中的</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建安工程费的算术平均值为评标参考价。若没有投标价位于[95%，100%]建安工程费最高投标限价区间，则评标参考价=建安工程费最高投标限价×95%。</w:t>
      </w:r>
    </w:p>
    <w:p w14:paraId="4DC8A4B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当通过形式审查、资格审查和工程总承包实施及运营管理方案响应性审查并经算术校核的</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建安工程费等于评标参考价时得100分，</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建安工程费每高于评标参考价1%，扣0.</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分，每低于评标参考价1%，扣0.1分，扣至0 分为止。精确到小数点后两位，第三位小数四舍五入。</w:t>
      </w:r>
    </w:p>
    <w:p w14:paraId="0F52848E">
      <w:pPr>
        <w:pStyle w:val="5"/>
        <w:spacing w:line="240" w:lineRule="auto"/>
        <w:ind w:firstLine="138"/>
        <w:rPr>
          <w:rFonts w:ascii="宋体" w:eastAsia="宋体" w:cs="宋体"/>
          <w:b/>
          <w:color w:val="auto"/>
          <w:highlight w:val="none"/>
        </w:rPr>
      </w:pPr>
      <w:bookmarkStart w:id="603" w:name="_Toc5953"/>
      <w:bookmarkStart w:id="604" w:name="_Toc152005958"/>
      <w:bookmarkStart w:id="605" w:name="_Toc11354"/>
      <w:bookmarkStart w:id="606" w:name="_Toc26164"/>
      <w:bookmarkStart w:id="607" w:name="_Toc26515"/>
      <w:r>
        <w:rPr>
          <w:rFonts w:hint="eastAsia" w:ascii="宋体" w:hAnsi="宋体" w:eastAsia="宋体" w:cs="宋体"/>
          <w:b/>
          <w:color w:val="auto"/>
          <w:sz w:val="24"/>
          <w:szCs w:val="24"/>
          <w:highlight w:val="none"/>
        </w:rPr>
        <w:t>3.4投标文件的澄清和补正</w:t>
      </w:r>
      <w:bookmarkEnd w:id="603"/>
      <w:bookmarkEnd w:id="604"/>
      <w:bookmarkEnd w:id="605"/>
      <w:bookmarkEnd w:id="606"/>
      <w:bookmarkEnd w:id="607"/>
    </w:p>
    <w:p w14:paraId="4084B2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3.4.1为有助于投标文件的审查、评价和比较，评标期间，经评标委员会中两人以上（含两人）的成员以书面形式提出动议，评标委员会应当书面发出澄清通知，要求投标人对投标文件含义不明确的内容作出澄清。</w:t>
      </w:r>
    </w:p>
    <w:p w14:paraId="5383C8F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3.4.2 澄清、说明和补正不得改变投标文件的实质性内容（算术性错误修正的除外）。投标人的书面澄清、说明和补正属于投标文件的组成部分。</w:t>
      </w:r>
    </w:p>
    <w:p w14:paraId="06621D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3.4.3 评标委员会成员均应当阅读投标人的澄清，但应独立参考澄清对投标文件进行评审。</w:t>
      </w:r>
    </w:p>
    <w:p w14:paraId="65FCBB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3.4.4如果投标文件实质上不响应招标文件的各项要求，评标委员会相应评审将按照响应性</w:t>
      </w:r>
      <w:bookmarkStart w:id="608" w:name="_Toc2675449"/>
      <w:bookmarkStart w:id="609" w:name="_Toc15798"/>
      <w:bookmarkStart w:id="610" w:name="_Toc11986"/>
      <w:bookmarkStart w:id="611" w:name="_Toc33695054"/>
      <w:bookmarkStart w:id="612" w:name="_Toc18372"/>
      <w:r>
        <w:rPr>
          <w:rFonts w:hint="eastAsia" w:ascii="宋体" w:hAnsi="宋体" w:cs="宋体"/>
          <w:color w:val="auto"/>
          <w:highlight w:val="none"/>
        </w:rPr>
        <w:t>审查标准予以拒</w:t>
      </w:r>
      <w:bookmarkEnd w:id="608"/>
      <w:bookmarkEnd w:id="609"/>
      <w:bookmarkEnd w:id="610"/>
      <w:bookmarkEnd w:id="611"/>
      <w:bookmarkEnd w:id="612"/>
      <w:r>
        <w:rPr>
          <w:rFonts w:hint="eastAsia" w:ascii="宋体" w:hAnsi="宋体" w:cs="宋体"/>
          <w:color w:val="auto"/>
          <w:highlight w:val="none"/>
        </w:rPr>
        <w:t>绝，不接受投标人通过修改或撤销其不符合要求的差异或保留，使之成为具有响应性的投标。</w:t>
      </w:r>
    </w:p>
    <w:p w14:paraId="3A6DF921">
      <w:pPr>
        <w:pStyle w:val="5"/>
        <w:spacing w:line="240" w:lineRule="auto"/>
        <w:ind w:firstLine="138"/>
        <w:rPr>
          <w:rFonts w:ascii="宋体" w:eastAsia="宋体" w:cs="宋体"/>
          <w:b/>
          <w:color w:val="auto"/>
          <w:highlight w:val="none"/>
        </w:rPr>
      </w:pPr>
      <w:bookmarkStart w:id="613" w:name="_Toc687"/>
      <w:bookmarkStart w:id="614" w:name="_Toc19024"/>
      <w:bookmarkStart w:id="615" w:name="_Toc30431"/>
      <w:bookmarkStart w:id="616" w:name="_Toc19874"/>
      <w:bookmarkStart w:id="617" w:name="_Toc152005959"/>
      <w:r>
        <w:rPr>
          <w:rFonts w:hint="eastAsia" w:ascii="宋体" w:hAnsi="宋体" w:eastAsia="宋体" w:cs="宋体"/>
          <w:b/>
          <w:color w:val="auto"/>
          <w:sz w:val="24"/>
          <w:szCs w:val="24"/>
          <w:highlight w:val="none"/>
        </w:rPr>
        <w:t>3.5评标结果</w:t>
      </w:r>
      <w:bookmarkEnd w:id="613"/>
      <w:bookmarkEnd w:id="614"/>
      <w:bookmarkEnd w:id="615"/>
      <w:bookmarkEnd w:id="616"/>
      <w:bookmarkEnd w:id="617"/>
    </w:p>
    <w:p w14:paraId="1B0ECC0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3.5.1 除第二章“投标人须知”前附表授权直接确定中标人外，评标委员会按照</w:t>
      </w:r>
      <w:r>
        <w:rPr>
          <w:rFonts w:hint="eastAsia" w:ascii="宋体" w:hAnsi="宋体" w:cs="宋体"/>
          <w:color w:val="auto"/>
          <w:highlight w:val="none"/>
          <w:u w:val="single"/>
        </w:rPr>
        <w:t>投标文件（评标部分）总</w:t>
      </w:r>
      <w:r>
        <w:rPr>
          <w:rFonts w:hint="eastAsia" w:ascii="宋体" w:hAnsi="宋体" w:cs="宋体"/>
          <w:color w:val="auto"/>
          <w:highlight w:val="none"/>
        </w:rPr>
        <w:t>得分由高到低的顺序推荐</w:t>
      </w:r>
      <w:r>
        <w:rPr>
          <w:rFonts w:hint="eastAsia" w:ascii="宋体" w:hAnsi="宋体" w:cs="宋体"/>
          <w:color w:val="auto"/>
          <w:highlight w:val="none"/>
          <w:u w:val="single"/>
        </w:rPr>
        <w:t>前20名次的合格投标人不排序进入定标阶段，若通过初步评审的合格投标人大于等于</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家，小于等于20家的，则全部通过初步评审的合格投标人不排序进入定标阶段；若通过初步评审的合格投标人大于20家的，按投标文件（评标部分）总得分从高到低进行排序，推荐排序位于前20名次的合格投标人不排序进入定标阶段（若前20名次的合格投标人中存在投标文件（评标部分）总得分相同的，则按第三章“评标、定标办法”第1款的原则确定排序。）</w:t>
      </w:r>
      <w:r>
        <w:rPr>
          <w:rFonts w:hint="eastAsia" w:ascii="宋体" w:hAnsi="宋体" w:cs="宋体"/>
          <w:color w:val="auto"/>
          <w:highlight w:val="none"/>
        </w:rPr>
        <w:t>。</w:t>
      </w:r>
    </w:p>
    <w:p w14:paraId="3A59C92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3.5.2 评标委员会完成评标后，应当向招标人提交书面评标报告</w:t>
      </w:r>
      <w:r>
        <w:rPr>
          <w:rFonts w:hint="eastAsia" w:ascii="宋体" w:hAnsi="宋体" w:cs="宋体"/>
          <w:color w:val="auto"/>
          <w:highlight w:val="none"/>
          <w:u w:val="single"/>
        </w:rPr>
        <w:t>及合格中标候选人名单</w:t>
      </w:r>
      <w:r>
        <w:rPr>
          <w:rFonts w:hint="eastAsia" w:ascii="宋体" w:hAnsi="宋体" w:cs="宋体"/>
          <w:color w:val="auto"/>
          <w:highlight w:val="none"/>
        </w:rPr>
        <w:t>。</w:t>
      </w:r>
    </w:p>
    <w:p w14:paraId="54690A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04F97C30">
      <w:pPr>
        <w:spacing w:line="360" w:lineRule="auto"/>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3.6定标（定标办法采用票决法+撰写评语）</w:t>
      </w:r>
    </w:p>
    <w:p w14:paraId="776217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3.6.1定标委员会由招标人组建。</w:t>
      </w:r>
    </w:p>
    <w:p w14:paraId="12FD9AD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3.6.2招标人在合格中标候选人公示完成后10个工作日内完成定标工作。</w:t>
      </w:r>
    </w:p>
    <w:p w14:paraId="630195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3.6.3定标工作开始后，发放选票，由定标委员会参考定标因素及定标辅助资料进行投票排名。</w:t>
      </w:r>
    </w:p>
    <w:p w14:paraId="093BDF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3.6.4定标辅助资料为评标阶段的评标报告、投标人提交的投标文件。</w:t>
      </w:r>
    </w:p>
    <w:p w14:paraId="5561CC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3.6.5定标委员会根据定标辅助资料，在同等条件下，定标因素的相对标准按以下几个方面进行：</w:t>
      </w:r>
      <w:r>
        <w:rPr>
          <w:rFonts w:hint="eastAsia" w:ascii="宋体" w:hAnsi="宋体" w:cs="宋体"/>
          <w:color w:val="auto"/>
          <w:highlight w:val="none"/>
        </w:rPr>
        <w:cr/>
      </w:r>
      <w:r>
        <w:rPr>
          <w:rFonts w:hint="eastAsia" w:ascii="宋体" w:hAnsi="宋体" w:cs="宋体"/>
          <w:color w:val="auto"/>
          <w:highlight w:val="none"/>
        </w:rPr>
        <w:t xml:space="preserve">    （1）方案因素；</w:t>
      </w:r>
    </w:p>
    <w:p w14:paraId="672F7CBD">
      <w:pPr>
        <w:numPr>
          <w:ilvl w:val="-1"/>
          <w:numId w:val="0"/>
        </w:numPr>
        <w:spacing w:line="360" w:lineRule="auto"/>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2</w:t>
      </w:r>
      <w:r>
        <w:rPr>
          <w:rFonts w:hint="eastAsia" w:ascii="宋体" w:hAnsi="宋体" w:cs="宋体"/>
          <w:color w:val="auto"/>
          <w:highlight w:val="none"/>
        </w:rPr>
        <w:t>）价格因素。</w:t>
      </w:r>
    </w:p>
    <w:p w14:paraId="3AAD08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3.6.6投票规则：定标委员会根据定标因素对各合格中标候选人进行综合比较后，进行一次性票决，每位定标委员会成员只有 1 票表决权（即只能对其中一家合格中标候选人投票），得票数最多的投标人为中标人，若出现最高票数相同且无法决出中标人时，对最高票数相同的合格中标候选人再进行附加的一次性票决，直至决出中标人。若最高票数相同的合格中标候选人经三轮票决票数仍相同且无法决出中标人时，以</w:t>
      </w:r>
      <w:r>
        <w:rPr>
          <w:rFonts w:hint="eastAsia" w:ascii="宋体" w:hAnsi="宋体" w:cs="宋体"/>
          <w:color w:val="auto"/>
          <w:highlight w:val="none"/>
          <w:lang w:val="en-US" w:eastAsia="zh-CN"/>
        </w:rPr>
        <w:t>总</w:t>
      </w:r>
      <w:r>
        <w:rPr>
          <w:rFonts w:hint="eastAsia" w:ascii="宋体" w:hAnsi="宋体" w:cs="宋体"/>
          <w:color w:val="auto"/>
          <w:highlight w:val="none"/>
        </w:rPr>
        <w:t>投标报价低者为中标人。定标委员会成员投票时，应按照招标文件规定的投票规则独立行使投票权，不得弃权或产生废票。</w:t>
      </w:r>
    </w:p>
    <w:p w14:paraId="2A81B38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3.6.7经票决，定标委员会推荐合格中标候选人名单中定标得票数最高的为中标人，并提交定标报告。</w:t>
      </w:r>
    </w:p>
    <w:bookmarkEnd w:id="499"/>
    <w:bookmarkEnd w:id="500"/>
    <w:bookmarkEnd w:id="501"/>
    <w:p w14:paraId="1387791C">
      <w:pPr>
        <w:pStyle w:val="4"/>
        <w:spacing w:before="100" w:after="100" w:line="360" w:lineRule="auto"/>
        <w:rPr>
          <w:rFonts w:ascii="宋体" w:hAnsi="宋体" w:eastAsia="宋体" w:cs="宋体"/>
          <w:color w:val="auto"/>
          <w:sz w:val="24"/>
          <w:szCs w:val="24"/>
          <w:highlight w:val="none"/>
          <w:lang w:val="zh-CN"/>
        </w:rPr>
      </w:pPr>
      <w:bookmarkStart w:id="618" w:name="_Toc152005960"/>
      <w:bookmarkStart w:id="619" w:name="_Toc25683"/>
      <w:r>
        <w:rPr>
          <w:rFonts w:hint="eastAsia" w:ascii="宋体" w:hAnsi="宋体" w:eastAsia="宋体" w:cs="宋体"/>
          <w:color w:val="auto"/>
          <w:sz w:val="24"/>
          <w:szCs w:val="24"/>
          <w:highlight w:val="none"/>
          <w:lang w:val="zh-CN"/>
        </w:rPr>
        <w:t>4. 评标表格</w:t>
      </w:r>
      <w:bookmarkEnd w:id="618"/>
      <w:bookmarkEnd w:id="619"/>
    </w:p>
    <w:p w14:paraId="29A21EA8">
      <w:pPr>
        <w:spacing w:line="360" w:lineRule="auto"/>
        <w:ind w:firstLine="420"/>
        <w:rPr>
          <w:rFonts w:cs="宋体"/>
          <w:color w:val="auto"/>
          <w:kern w:val="1"/>
          <w:highlight w:val="none"/>
        </w:rPr>
      </w:pPr>
      <w:r>
        <w:rPr>
          <w:rFonts w:hint="eastAsia" w:ascii="宋体" w:hAnsi="宋体" w:cs="宋体"/>
          <w:color w:val="auto"/>
          <w:kern w:val="1"/>
          <w:szCs w:val="21"/>
          <w:highlight w:val="none"/>
        </w:rPr>
        <w:t>见附表。</w:t>
      </w:r>
    </w:p>
    <w:p w14:paraId="32D42DCD">
      <w:pPr>
        <w:pStyle w:val="4"/>
        <w:numPr>
          <w:ilvl w:val="-1"/>
          <w:numId w:val="0"/>
        </w:numPr>
        <w:spacing w:before="100" w:after="100" w:line="360" w:lineRule="auto"/>
        <w:rPr>
          <w:rFonts w:ascii="宋体" w:hAnsi="宋体" w:eastAsia="宋体" w:cs="宋体"/>
          <w:color w:val="auto"/>
          <w:sz w:val="24"/>
          <w:szCs w:val="24"/>
          <w:highlight w:val="none"/>
          <w:lang w:val="zh-CN"/>
        </w:rPr>
      </w:pPr>
      <w:bookmarkStart w:id="620" w:name="_Toc152005961"/>
      <w:bookmarkStart w:id="621" w:name="_Toc17110"/>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 否决性条款汇总</w:t>
      </w:r>
      <w:bookmarkEnd w:id="620"/>
      <w:bookmarkEnd w:id="621"/>
    </w:p>
    <w:p w14:paraId="010DAAAF">
      <w:pPr>
        <w:spacing w:line="360" w:lineRule="auto"/>
        <w:ind w:firstLine="422"/>
        <w:jc w:val="center"/>
        <w:rPr>
          <w:rFonts w:ascii="宋体" w:hAnsi="宋体" w:cs="宋体"/>
          <w:b/>
          <w:color w:val="auto"/>
          <w:kern w:val="1"/>
          <w:highlight w:val="none"/>
        </w:rPr>
      </w:pPr>
      <w:r>
        <w:rPr>
          <w:rFonts w:hint="eastAsia" w:ascii="宋体" w:hAnsi="宋体" w:cs="宋体"/>
          <w:b/>
          <w:color w:val="auto"/>
          <w:kern w:val="1"/>
          <w:highlight w:val="none"/>
          <w:lang w:val="zh-CN"/>
        </w:rPr>
        <w:t>否决性条款汇总</w:t>
      </w:r>
    </w:p>
    <w:p w14:paraId="295DD510">
      <w:pPr>
        <w:spacing w:line="360" w:lineRule="auto"/>
        <w:ind w:firstLine="420"/>
        <w:rPr>
          <w:rFonts w:ascii="宋体" w:hAnsi="宋体" w:cs="宋体"/>
          <w:color w:val="auto"/>
          <w:kern w:val="1"/>
          <w:highlight w:val="none"/>
        </w:rPr>
      </w:pPr>
    </w:p>
    <w:p w14:paraId="7E87EFCB">
      <w:pPr>
        <w:spacing w:line="360" w:lineRule="auto"/>
        <w:ind w:firstLine="420"/>
        <w:rPr>
          <w:rFonts w:ascii="宋体" w:hAnsi="宋体" w:cs="宋体"/>
          <w:color w:val="auto"/>
          <w:kern w:val="1"/>
          <w:highlight w:val="none"/>
        </w:rPr>
      </w:pPr>
      <w:r>
        <w:rPr>
          <w:rFonts w:hint="eastAsia" w:ascii="宋体" w:hAnsi="宋体" w:cs="宋体"/>
          <w:color w:val="auto"/>
          <w:kern w:val="1"/>
          <w:highlight w:val="none"/>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26135636">
      <w:pPr>
        <w:spacing w:line="360" w:lineRule="auto"/>
        <w:ind w:firstLine="420"/>
        <w:rPr>
          <w:rFonts w:ascii="宋体" w:hAnsi="宋体" w:cs="宋体"/>
          <w:color w:val="auto"/>
          <w:kern w:val="1"/>
          <w:highlight w:val="none"/>
        </w:rPr>
      </w:pPr>
      <w:r>
        <w:rPr>
          <w:rFonts w:hint="eastAsia" w:ascii="宋体" w:hAnsi="宋体" w:cs="宋体"/>
          <w:color w:val="auto"/>
          <w:kern w:val="1"/>
          <w:highlight w:val="none"/>
          <w:lang w:val="zh-CN"/>
        </w:rPr>
        <w:t>否决性条款是指招标文件中规定的不予受理投标或者作无效标以及不合格标处理等否定投标文件效力的条款。</w:t>
      </w:r>
    </w:p>
    <w:p w14:paraId="21891E5B">
      <w:pP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lang w:val="zh-CN"/>
        </w:rPr>
        <w:t>一、若出现以下情况，电子招标投标交易平台将予以拒收其投标文件：</w:t>
      </w:r>
    </w:p>
    <w:p w14:paraId="2020C331">
      <w:pPr>
        <w:spacing w:line="360" w:lineRule="auto"/>
        <w:ind w:firstLine="420"/>
        <w:rPr>
          <w:rFonts w:ascii="宋体" w:hAnsi="宋体" w:cs="宋体"/>
          <w:color w:val="auto"/>
          <w:kern w:val="1"/>
          <w:highlight w:val="none"/>
          <w:lang w:val="zh-CN"/>
        </w:rPr>
      </w:pPr>
      <w:r>
        <w:rPr>
          <w:rFonts w:hint="eastAsia" w:ascii="宋体" w:hAnsi="宋体" w:cs="宋体"/>
          <w:color w:val="auto"/>
          <w:kern w:val="1"/>
          <w:highlight w:val="none"/>
          <w:lang w:val="zh-CN"/>
        </w:rPr>
        <w:t xml:space="preserve">  在招标文件规定的投标截止时间后递交投标文件的。</w:t>
      </w:r>
    </w:p>
    <w:p w14:paraId="0F5A61F3">
      <w:pPr>
        <w:spacing w:line="360" w:lineRule="auto"/>
        <w:ind w:firstLine="420" w:firstLineChars="200"/>
        <w:rPr>
          <w:rFonts w:ascii="宋体" w:hAnsi="宋体" w:cs="宋体"/>
          <w:color w:val="auto"/>
          <w:kern w:val="1"/>
          <w:highlight w:val="none"/>
          <w:lang w:val="zh-CN"/>
        </w:rPr>
      </w:pPr>
      <w:r>
        <w:rPr>
          <w:rFonts w:hint="eastAsia" w:ascii="宋体" w:hAnsi="宋体" w:cs="宋体"/>
          <w:color w:val="auto"/>
          <w:kern w:val="1"/>
          <w:highlight w:val="none"/>
          <w:lang w:val="zh-CN"/>
        </w:rPr>
        <w:t>二、若出现不符合形式评审、资格评审、响应性评审的评审因素，当无效标处理。</w:t>
      </w:r>
    </w:p>
    <w:p w14:paraId="7FBD1662">
      <w:pPr>
        <w:spacing w:line="360" w:lineRule="auto"/>
        <w:ind w:firstLine="420" w:firstLineChars="200"/>
        <w:rPr>
          <w:rFonts w:ascii="宋体" w:hAnsi="宋体" w:cs="宋体"/>
          <w:color w:val="auto"/>
          <w:kern w:val="1"/>
          <w:highlight w:val="none"/>
          <w:lang w:val="zh-CN"/>
        </w:rPr>
        <w:sectPr>
          <w:headerReference r:id="rId9" w:type="default"/>
          <w:footerReference r:id="rId10" w:type="default"/>
          <w:pgSz w:w="11907" w:h="16840"/>
          <w:pgMar w:top="1361" w:right="1304" w:bottom="1304" w:left="1304" w:header="851" w:footer="720" w:gutter="0"/>
          <w:cols w:space="720" w:num="1"/>
        </w:sectPr>
      </w:pPr>
      <w:bookmarkStart w:id="622" w:name="_Toc22589"/>
      <w:bookmarkEnd w:id="622"/>
      <w:bookmarkStart w:id="623" w:name="_Toc29974"/>
      <w:bookmarkEnd w:id="623"/>
      <w:bookmarkStart w:id="624" w:name="_Toc11733"/>
      <w:bookmarkEnd w:id="624"/>
      <w:bookmarkStart w:id="625" w:name="_Toc14390"/>
      <w:bookmarkEnd w:id="625"/>
      <w:bookmarkStart w:id="626" w:name="_Toc26760"/>
      <w:bookmarkEnd w:id="626"/>
      <w:bookmarkStart w:id="627" w:name="_Toc14978"/>
      <w:bookmarkEnd w:id="627"/>
      <w:bookmarkStart w:id="628" w:name="_Toc3493"/>
      <w:bookmarkEnd w:id="628"/>
      <w:bookmarkStart w:id="629" w:name="_Toc25997"/>
      <w:bookmarkEnd w:id="629"/>
    </w:p>
    <w:p w14:paraId="35FF20A7">
      <w:pPr>
        <w:spacing w:line="400" w:lineRule="exact"/>
        <w:jc w:val="left"/>
        <w:rPr>
          <w:rFonts w:ascii="宋体" w:hAnsi="宋体" w:cs="宋体"/>
          <w:b/>
          <w:color w:val="auto"/>
          <w:kern w:val="1"/>
          <w:sz w:val="28"/>
          <w:szCs w:val="28"/>
          <w:highlight w:val="none"/>
        </w:rPr>
      </w:pPr>
      <w:r>
        <w:rPr>
          <w:rFonts w:hint="eastAsia" w:ascii="宋体" w:hAnsi="宋体" w:cs="宋体"/>
          <w:b/>
          <w:color w:val="auto"/>
          <w:sz w:val="28"/>
          <w:szCs w:val="28"/>
          <w:highlight w:val="none"/>
        </w:rPr>
        <w:t>附表1：</w:t>
      </w:r>
    </w:p>
    <w:p w14:paraId="79ECA3C9">
      <w:pPr>
        <w:jc w:val="center"/>
        <w:rPr>
          <w:rFonts w:ascii="宋体" w:hAnsi="宋体" w:cs="宋体"/>
          <w:b/>
          <w:color w:val="auto"/>
          <w:kern w:val="1"/>
          <w:sz w:val="28"/>
          <w:szCs w:val="28"/>
          <w:highlight w:val="none"/>
        </w:rPr>
      </w:pPr>
      <w:r>
        <w:rPr>
          <w:rFonts w:hint="eastAsia" w:ascii="宋体" w:hAnsi="宋体" w:cs="宋体"/>
          <w:b/>
          <w:color w:val="auto"/>
          <w:kern w:val="1"/>
          <w:sz w:val="28"/>
          <w:szCs w:val="28"/>
          <w:highlight w:val="none"/>
        </w:rPr>
        <w:t>形式评审表</w:t>
      </w:r>
    </w:p>
    <w:tbl>
      <w:tblPr>
        <w:tblStyle w:val="20"/>
        <w:tblW w:w="1345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2"/>
        <w:gridCol w:w="3535"/>
        <w:gridCol w:w="9278"/>
      </w:tblGrid>
      <w:tr w14:paraId="1E52BA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 w:hRule="atLeast"/>
          <w:jc w:val="center"/>
        </w:trPr>
        <w:tc>
          <w:tcPr>
            <w:tcW w:w="642" w:type="dxa"/>
            <w:vAlign w:val="center"/>
          </w:tcPr>
          <w:p w14:paraId="1E988BCC">
            <w:pPr>
              <w:pStyle w:val="24"/>
              <w:jc w:val="center"/>
              <w:rPr>
                <w:rFonts w:ascii="宋体" w:hAnsi="宋体" w:cs="宋体"/>
                <w:color w:val="auto"/>
                <w:szCs w:val="21"/>
                <w:highlight w:val="none"/>
              </w:rPr>
            </w:pPr>
            <w:r>
              <w:rPr>
                <w:rFonts w:ascii="宋体" w:hAnsi="宋体" w:cs="宋体"/>
                <w:color w:val="auto"/>
                <w:szCs w:val="21"/>
                <w:highlight w:val="none"/>
              </w:rPr>
              <w:t>序号</w:t>
            </w:r>
          </w:p>
        </w:tc>
        <w:tc>
          <w:tcPr>
            <w:tcW w:w="3535" w:type="dxa"/>
            <w:vAlign w:val="center"/>
          </w:tcPr>
          <w:p w14:paraId="6F5F133E">
            <w:pPr>
              <w:pStyle w:val="24"/>
              <w:ind w:leftChars="-37" w:hanging="77" w:hangingChars="37"/>
              <w:jc w:val="center"/>
              <w:rPr>
                <w:rFonts w:ascii="宋体" w:hAnsi="宋体" w:cs="宋体"/>
                <w:color w:val="auto"/>
                <w:szCs w:val="21"/>
                <w:highlight w:val="none"/>
              </w:rPr>
            </w:pPr>
            <w:r>
              <w:rPr>
                <w:rFonts w:ascii="宋体" w:hAnsi="宋体" w:cs="宋体"/>
                <w:color w:val="auto"/>
                <w:szCs w:val="21"/>
                <w:highlight w:val="none"/>
              </w:rPr>
              <w:t>评审因素</w:t>
            </w:r>
          </w:p>
        </w:tc>
        <w:tc>
          <w:tcPr>
            <w:tcW w:w="9278" w:type="dxa"/>
            <w:vAlign w:val="center"/>
          </w:tcPr>
          <w:p w14:paraId="335E8DAE">
            <w:pPr>
              <w:pStyle w:val="24"/>
              <w:ind w:firstLine="420" w:firstLineChars="200"/>
              <w:jc w:val="center"/>
              <w:rPr>
                <w:rFonts w:ascii="宋体" w:hAnsi="宋体" w:cs="宋体"/>
                <w:color w:val="auto"/>
                <w:szCs w:val="21"/>
                <w:highlight w:val="none"/>
              </w:rPr>
            </w:pPr>
            <w:r>
              <w:rPr>
                <w:rFonts w:ascii="宋体" w:hAnsi="宋体" w:cs="宋体"/>
                <w:color w:val="auto"/>
                <w:szCs w:val="21"/>
                <w:highlight w:val="none"/>
              </w:rPr>
              <w:t>评审标准</w:t>
            </w:r>
          </w:p>
        </w:tc>
      </w:tr>
      <w:tr w14:paraId="59669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5D6E8A60">
            <w:pPr>
              <w:pStyle w:val="24"/>
              <w:jc w:val="center"/>
              <w:rPr>
                <w:rFonts w:ascii="宋体" w:hAnsi="宋体" w:cs="宋体"/>
                <w:color w:val="auto"/>
                <w:szCs w:val="21"/>
                <w:highlight w:val="none"/>
              </w:rPr>
            </w:pPr>
            <w:r>
              <w:rPr>
                <w:rFonts w:ascii="宋体" w:hAnsi="宋体" w:cs="宋体"/>
                <w:color w:val="auto"/>
                <w:szCs w:val="21"/>
                <w:highlight w:val="none"/>
              </w:rPr>
              <w:t>1</w:t>
            </w:r>
          </w:p>
        </w:tc>
        <w:tc>
          <w:tcPr>
            <w:tcW w:w="3535" w:type="dxa"/>
            <w:vAlign w:val="center"/>
          </w:tcPr>
          <w:p w14:paraId="3A9747AD">
            <w:pPr>
              <w:jc w:val="center"/>
              <w:rPr>
                <w:rFonts w:ascii="宋体" w:hAnsi="宋体" w:cs="宋体"/>
                <w:color w:val="auto"/>
                <w:szCs w:val="21"/>
                <w:highlight w:val="none"/>
              </w:rPr>
            </w:pPr>
            <w:r>
              <w:rPr>
                <w:rFonts w:ascii="宋体" w:hAnsi="宋体" w:cs="宋体"/>
                <w:color w:val="auto"/>
                <w:szCs w:val="21"/>
                <w:highlight w:val="none"/>
              </w:rPr>
              <w:t>投标人名称</w:t>
            </w:r>
          </w:p>
        </w:tc>
        <w:tc>
          <w:tcPr>
            <w:tcW w:w="9278" w:type="dxa"/>
            <w:vAlign w:val="center"/>
          </w:tcPr>
          <w:p w14:paraId="6B51B557">
            <w:pPr>
              <w:rPr>
                <w:rFonts w:ascii="宋体" w:hAnsi="宋体" w:cs="宋体"/>
                <w:color w:val="auto"/>
                <w:szCs w:val="21"/>
                <w:highlight w:val="none"/>
              </w:rPr>
            </w:pPr>
            <w:r>
              <w:rPr>
                <w:rFonts w:ascii="宋体" w:hAnsi="宋体" w:cs="宋体"/>
                <w:color w:val="auto"/>
                <w:szCs w:val="21"/>
                <w:highlight w:val="none"/>
              </w:rPr>
              <w:t>投标人名称与营业执照、资质证书一致，投标人名称、</w:t>
            </w: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兼</w:t>
            </w:r>
            <w:r>
              <w:rPr>
                <w:rFonts w:hint="eastAsia" w:ascii="宋体" w:hAnsi="宋体" w:cs="宋体"/>
                <w:color w:val="auto"/>
                <w:szCs w:val="21"/>
                <w:highlight w:val="none"/>
              </w:rPr>
              <w:t>施工负责人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、专职</w:t>
            </w:r>
            <w:r>
              <w:rPr>
                <w:rFonts w:ascii="宋体" w:hAnsi="宋体" w:cs="宋体"/>
                <w:color w:val="auto"/>
                <w:szCs w:val="21"/>
                <w:highlight w:val="none"/>
              </w:rPr>
              <w:t>安全员与投标登记时一致</w:t>
            </w:r>
          </w:p>
        </w:tc>
      </w:tr>
      <w:tr w14:paraId="76783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jc w:val="center"/>
        </w:trPr>
        <w:tc>
          <w:tcPr>
            <w:tcW w:w="642" w:type="dxa"/>
            <w:vAlign w:val="center"/>
          </w:tcPr>
          <w:p w14:paraId="3422EB76">
            <w:pPr>
              <w:pStyle w:val="24"/>
              <w:jc w:val="center"/>
              <w:rPr>
                <w:rFonts w:ascii="宋体" w:hAnsi="宋体" w:cs="宋体"/>
                <w:color w:val="auto"/>
                <w:szCs w:val="21"/>
                <w:highlight w:val="none"/>
              </w:rPr>
            </w:pPr>
            <w:r>
              <w:rPr>
                <w:rFonts w:ascii="宋体" w:hAnsi="宋体" w:cs="宋体"/>
                <w:color w:val="auto"/>
                <w:szCs w:val="21"/>
                <w:highlight w:val="none"/>
              </w:rPr>
              <w:t>2</w:t>
            </w:r>
          </w:p>
        </w:tc>
        <w:tc>
          <w:tcPr>
            <w:tcW w:w="3535" w:type="dxa"/>
            <w:vAlign w:val="center"/>
          </w:tcPr>
          <w:p w14:paraId="67B8ABA5">
            <w:pPr>
              <w:jc w:val="center"/>
              <w:rPr>
                <w:rFonts w:ascii="宋体" w:hAnsi="宋体" w:cs="宋体"/>
                <w:color w:val="auto"/>
                <w:szCs w:val="21"/>
                <w:highlight w:val="none"/>
              </w:rPr>
            </w:pPr>
            <w:r>
              <w:rPr>
                <w:rFonts w:ascii="宋体" w:hAnsi="宋体" w:cs="宋体"/>
                <w:color w:val="auto"/>
                <w:szCs w:val="21"/>
                <w:highlight w:val="none"/>
              </w:rPr>
              <w:t>法定代表人证明及授权委托书</w:t>
            </w:r>
          </w:p>
        </w:tc>
        <w:tc>
          <w:tcPr>
            <w:tcW w:w="9278" w:type="dxa"/>
            <w:vAlign w:val="center"/>
          </w:tcPr>
          <w:p w14:paraId="20690CDC">
            <w:pPr>
              <w:rPr>
                <w:rFonts w:ascii="宋体" w:hAnsi="宋体" w:cs="宋体"/>
                <w:color w:val="auto"/>
                <w:szCs w:val="21"/>
                <w:highlight w:val="none"/>
              </w:rPr>
            </w:pPr>
            <w:r>
              <w:rPr>
                <w:rFonts w:ascii="宋体" w:hAnsi="宋体" w:cs="宋体"/>
                <w:color w:val="auto"/>
                <w:szCs w:val="21"/>
                <w:highlight w:val="none"/>
              </w:rPr>
              <w:t>投标文件中有有效的法定代表人证明书，或由委托代理人签字或盖章的投标文件中有法定代表人证明书和授权委托证明书</w:t>
            </w:r>
          </w:p>
        </w:tc>
      </w:tr>
      <w:tr w14:paraId="729B29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9" w:hRule="atLeast"/>
          <w:jc w:val="center"/>
        </w:trPr>
        <w:tc>
          <w:tcPr>
            <w:tcW w:w="642" w:type="dxa"/>
            <w:vAlign w:val="center"/>
          </w:tcPr>
          <w:p w14:paraId="48DEEA94">
            <w:pPr>
              <w:pStyle w:val="24"/>
              <w:jc w:val="center"/>
              <w:rPr>
                <w:rFonts w:ascii="宋体" w:hAnsi="宋体" w:cs="宋体"/>
                <w:color w:val="auto"/>
                <w:szCs w:val="21"/>
                <w:highlight w:val="none"/>
              </w:rPr>
            </w:pPr>
            <w:r>
              <w:rPr>
                <w:rFonts w:ascii="宋体" w:hAnsi="宋体" w:cs="宋体"/>
                <w:color w:val="auto"/>
                <w:szCs w:val="21"/>
                <w:highlight w:val="none"/>
              </w:rPr>
              <w:t>3</w:t>
            </w:r>
          </w:p>
        </w:tc>
        <w:tc>
          <w:tcPr>
            <w:tcW w:w="3535" w:type="dxa"/>
            <w:vAlign w:val="center"/>
          </w:tcPr>
          <w:p w14:paraId="5DC6AA1D">
            <w:pPr>
              <w:jc w:val="center"/>
              <w:rPr>
                <w:rFonts w:ascii="宋体" w:hAnsi="宋体" w:cs="宋体"/>
                <w:color w:val="auto"/>
                <w:szCs w:val="21"/>
                <w:highlight w:val="none"/>
              </w:rPr>
            </w:pPr>
            <w:r>
              <w:rPr>
                <w:rFonts w:ascii="宋体" w:hAnsi="宋体" w:cs="宋体"/>
                <w:color w:val="auto"/>
                <w:highlight w:val="none"/>
              </w:rPr>
              <w:t>《投标函》、《勘察设计投标书》、《技术投标书》、《投标承诺书》、《经济标投标书》</w:t>
            </w:r>
          </w:p>
        </w:tc>
        <w:tc>
          <w:tcPr>
            <w:tcW w:w="9278" w:type="dxa"/>
            <w:vAlign w:val="center"/>
          </w:tcPr>
          <w:p w14:paraId="7495A41A">
            <w:pPr>
              <w:rPr>
                <w:rFonts w:ascii="宋体" w:hAnsi="宋体" w:cs="宋体"/>
                <w:color w:val="auto"/>
                <w:szCs w:val="21"/>
                <w:highlight w:val="none"/>
              </w:rPr>
            </w:pPr>
            <w:r>
              <w:rPr>
                <w:rFonts w:hint="eastAsia" w:ascii="宋体" w:hAnsi="宋体" w:cs="宋体"/>
                <w:color w:val="auto"/>
                <w:highlight w:val="none"/>
              </w:rPr>
              <w:t>按招标文件规定的格式填写，没有出现内容不全，或者关键字迹模糊无法辨认的；有法定代表人或其委托代理人签字或盖章并加盖单位章</w:t>
            </w:r>
          </w:p>
        </w:tc>
      </w:tr>
      <w:tr w14:paraId="17034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073BAD94">
            <w:pPr>
              <w:pStyle w:val="24"/>
              <w:jc w:val="center"/>
              <w:rPr>
                <w:rFonts w:ascii="宋体" w:hAnsi="宋体" w:cs="宋体"/>
                <w:color w:val="auto"/>
                <w:szCs w:val="21"/>
                <w:highlight w:val="none"/>
              </w:rPr>
            </w:pPr>
            <w:r>
              <w:rPr>
                <w:rFonts w:ascii="宋体" w:hAnsi="宋体" w:cs="宋体"/>
                <w:color w:val="auto"/>
                <w:szCs w:val="21"/>
                <w:highlight w:val="none"/>
              </w:rPr>
              <w:t>4</w:t>
            </w:r>
          </w:p>
        </w:tc>
        <w:tc>
          <w:tcPr>
            <w:tcW w:w="3535" w:type="dxa"/>
            <w:vAlign w:val="center"/>
          </w:tcPr>
          <w:p w14:paraId="4BD42705">
            <w:pPr>
              <w:jc w:val="center"/>
              <w:rPr>
                <w:rFonts w:ascii="宋体" w:hAnsi="宋体" w:cs="宋体"/>
                <w:color w:val="auto"/>
                <w:szCs w:val="21"/>
                <w:highlight w:val="none"/>
              </w:rPr>
            </w:pPr>
            <w:r>
              <w:rPr>
                <w:rFonts w:ascii="宋体" w:hAnsi="宋体" w:cs="宋体"/>
                <w:color w:val="auto"/>
                <w:szCs w:val="21"/>
                <w:highlight w:val="none"/>
              </w:rPr>
              <w:t>投标文件格式</w:t>
            </w:r>
          </w:p>
        </w:tc>
        <w:tc>
          <w:tcPr>
            <w:tcW w:w="9278" w:type="dxa"/>
            <w:vAlign w:val="center"/>
          </w:tcPr>
          <w:p w14:paraId="068BB8D1">
            <w:pPr>
              <w:rPr>
                <w:rFonts w:ascii="宋体" w:hAnsi="宋体" w:cs="宋体"/>
                <w:color w:val="auto"/>
                <w:szCs w:val="21"/>
                <w:highlight w:val="none"/>
              </w:rPr>
            </w:pPr>
            <w:r>
              <w:rPr>
                <w:rFonts w:ascii="宋体" w:hAnsi="宋体" w:cs="宋体"/>
                <w:color w:val="auto"/>
                <w:szCs w:val="21"/>
                <w:highlight w:val="none"/>
              </w:rPr>
              <w:t>符合第</w:t>
            </w:r>
            <w:r>
              <w:rPr>
                <w:rFonts w:hint="eastAsia" w:ascii="宋体" w:hAnsi="宋体" w:cs="宋体"/>
                <w:color w:val="auto"/>
                <w:szCs w:val="21"/>
                <w:highlight w:val="none"/>
              </w:rPr>
              <w:t>八</w:t>
            </w:r>
            <w:r>
              <w:rPr>
                <w:rFonts w:ascii="宋体" w:hAnsi="宋体" w:cs="宋体"/>
                <w:color w:val="auto"/>
                <w:szCs w:val="21"/>
                <w:highlight w:val="none"/>
              </w:rPr>
              <w:t>章“投标文件格式”的要求，按规定盖章签署，主要内容齐全，关键字迹清晰、能辨认</w:t>
            </w:r>
          </w:p>
        </w:tc>
      </w:tr>
      <w:tr w14:paraId="673EF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4388DD87">
            <w:pPr>
              <w:pStyle w:val="24"/>
              <w:jc w:val="center"/>
              <w:rPr>
                <w:rFonts w:ascii="宋体" w:hAnsi="宋体" w:cs="宋体"/>
                <w:color w:val="auto"/>
                <w:szCs w:val="21"/>
                <w:highlight w:val="none"/>
              </w:rPr>
            </w:pPr>
            <w:r>
              <w:rPr>
                <w:rFonts w:ascii="宋体" w:hAnsi="宋体" w:cs="宋体"/>
                <w:color w:val="auto"/>
                <w:szCs w:val="21"/>
                <w:highlight w:val="none"/>
              </w:rPr>
              <w:t>5</w:t>
            </w:r>
          </w:p>
        </w:tc>
        <w:tc>
          <w:tcPr>
            <w:tcW w:w="3535" w:type="dxa"/>
            <w:vAlign w:val="center"/>
          </w:tcPr>
          <w:p w14:paraId="44EB9E5C">
            <w:pPr>
              <w:jc w:val="center"/>
              <w:rPr>
                <w:rFonts w:ascii="宋体" w:hAnsi="宋体" w:cs="宋体"/>
                <w:color w:val="auto"/>
                <w:szCs w:val="21"/>
                <w:highlight w:val="none"/>
              </w:rPr>
            </w:pPr>
            <w:r>
              <w:rPr>
                <w:rFonts w:ascii="宋体" w:hAnsi="宋体" w:cs="宋体"/>
                <w:color w:val="auto"/>
                <w:highlight w:val="none"/>
              </w:rPr>
              <w:t>联合体投标</w:t>
            </w:r>
          </w:p>
        </w:tc>
        <w:tc>
          <w:tcPr>
            <w:tcW w:w="9278" w:type="dxa"/>
            <w:vAlign w:val="center"/>
          </w:tcPr>
          <w:p w14:paraId="0C8D5B24">
            <w:pPr>
              <w:rPr>
                <w:rFonts w:ascii="宋体" w:hAnsi="宋体" w:cs="宋体"/>
                <w:color w:val="auto"/>
                <w:szCs w:val="21"/>
                <w:highlight w:val="none"/>
              </w:rPr>
            </w:pPr>
            <w:r>
              <w:rPr>
                <w:rFonts w:ascii="宋体" w:hAnsi="宋体" w:cs="宋体"/>
                <w:color w:val="auto"/>
                <w:highlight w:val="none"/>
              </w:rPr>
              <w:t>若为联合体投标，则需提交联合体共同投标协议书，并明确联合体牵头人</w:t>
            </w:r>
          </w:p>
        </w:tc>
      </w:tr>
      <w:tr w14:paraId="0627B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7F03A55E">
            <w:pPr>
              <w:pStyle w:val="24"/>
              <w:jc w:val="center"/>
              <w:rPr>
                <w:rFonts w:ascii="宋体" w:hAnsi="宋体" w:cs="宋体"/>
                <w:color w:val="auto"/>
                <w:szCs w:val="21"/>
                <w:highlight w:val="none"/>
              </w:rPr>
            </w:pPr>
            <w:r>
              <w:rPr>
                <w:rFonts w:ascii="宋体" w:hAnsi="宋体" w:cs="宋体"/>
                <w:color w:val="auto"/>
                <w:szCs w:val="21"/>
                <w:highlight w:val="none"/>
              </w:rPr>
              <w:t>6</w:t>
            </w:r>
          </w:p>
        </w:tc>
        <w:tc>
          <w:tcPr>
            <w:tcW w:w="3535" w:type="dxa"/>
            <w:vAlign w:val="center"/>
          </w:tcPr>
          <w:p w14:paraId="2EB6757A">
            <w:pPr>
              <w:jc w:val="center"/>
              <w:rPr>
                <w:rFonts w:ascii="宋体" w:hAnsi="宋体" w:cs="宋体"/>
                <w:color w:val="auto"/>
                <w:szCs w:val="21"/>
                <w:highlight w:val="none"/>
              </w:rPr>
            </w:pPr>
            <w:r>
              <w:rPr>
                <w:rFonts w:ascii="宋体" w:hAnsi="宋体" w:cs="宋体"/>
                <w:color w:val="auto"/>
                <w:szCs w:val="21"/>
                <w:highlight w:val="none"/>
              </w:rPr>
              <w:t>报价唯一</w:t>
            </w:r>
          </w:p>
        </w:tc>
        <w:tc>
          <w:tcPr>
            <w:tcW w:w="9278" w:type="dxa"/>
            <w:vAlign w:val="center"/>
          </w:tcPr>
          <w:p w14:paraId="1CEC0A05">
            <w:pPr>
              <w:rPr>
                <w:rFonts w:ascii="宋体" w:hAnsi="宋体" w:cs="宋体"/>
                <w:color w:val="auto"/>
                <w:szCs w:val="21"/>
                <w:highlight w:val="none"/>
              </w:rPr>
            </w:pPr>
            <w:r>
              <w:rPr>
                <w:rFonts w:ascii="宋体" w:hAnsi="宋体" w:cs="宋体"/>
                <w:color w:val="auto"/>
                <w:szCs w:val="21"/>
                <w:highlight w:val="none"/>
              </w:rPr>
              <w:t>只能有一个有效</w:t>
            </w:r>
            <w:r>
              <w:rPr>
                <w:rFonts w:hint="eastAsia" w:ascii="宋体" w:hAnsi="宋体" w:cs="宋体"/>
                <w:color w:val="auto"/>
                <w:szCs w:val="21"/>
                <w:highlight w:val="none"/>
                <w:lang w:val="en-US" w:eastAsia="zh-CN"/>
              </w:rPr>
              <w:t>总</w:t>
            </w:r>
            <w:r>
              <w:rPr>
                <w:rFonts w:ascii="宋体" w:hAnsi="宋体" w:cs="宋体"/>
                <w:color w:val="auto"/>
                <w:szCs w:val="21"/>
                <w:highlight w:val="none"/>
              </w:rPr>
              <w:t>投标报价</w:t>
            </w:r>
          </w:p>
        </w:tc>
      </w:tr>
      <w:tr w14:paraId="2A1B8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2E8F2D1B">
            <w:pPr>
              <w:pStyle w:val="24"/>
              <w:jc w:val="center"/>
              <w:rPr>
                <w:rFonts w:ascii="宋体" w:hAnsi="宋体" w:cs="宋体"/>
                <w:color w:val="auto"/>
                <w:szCs w:val="21"/>
                <w:highlight w:val="none"/>
              </w:rPr>
            </w:pPr>
            <w:r>
              <w:rPr>
                <w:rFonts w:ascii="宋体" w:hAnsi="宋体" w:cs="宋体"/>
                <w:color w:val="auto"/>
                <w:szCs w:val="21"/>
                <w:highlight w:val="none"/>
              </w:rPr>
              <w:t>7</w:t>
            </w:r>
          </w:p>
        </w:tc>
        <w:tc>
          <w:tcPr>
            <w:tcW w:w="3535" w:type="dxa"/>
            <w:vAlign w:val="center"/>
          </w:tcPr>
          <w:p w14:paraId="47B3DA78">
            <w:pPr>
              <w:jc w:val="center"/>
              <w:rPr>
                <w:rFonts w:ascii="宋体" w:hAnsi="宋体" w:cs="宋体"/>
                <w:color w:val="auto"/>
                <w:szCs w:val="21"/>
                <w:highlight w:val="none"/>
              </w:rPr>
            </w:pPr>
            <w:r>
              <w:rPr>
                <w:rFonts w:ascii="宋体" w:hAnsi="宋体" w:cs="宋体"/>
                <w:color w:val="auto"/>
                <w:highlight w:val="none"/>
              </w:rPr>
              <w:t>参与编制投标文件人员名单</w:t>
            </w:r>
          </w:p>
        </w:tc>
        <w:tc>
          <w:tcPr>
            <w:tcW w:w="9278" w:type="dxa"/>
            <w:vAlign w:val="center"/>
          </w:tcPr>
          <w:p w14:paraId="356E53CD">
            <w:pPr>
              <w:rPr>
                <w:rFonts w:ascii="宋体" w:hAnsi="宋体" w:cs="宋体"/>
                <w:color w:val="auto"/>
                <w:szCs w:val="21"/>
                <w:highlight w:val="none"/>
              </w:rPr>
            </w:pPr>
            <w:r>
              <w:rPr>
                <w:rFonts w:ascii="宋体" w:hAnsi="宋体" w:cs="宋体"/>
                <w:color w:val="auto"/>
                <w:highlight w:val="none"/>
              </w:rPr>
              <w:t>有《参与编制</w:t>
            </w:r>
            <w:r>
              <w:rPr>
                <w:rFonts w:hint="eastAsia" w:ascii="宋体" w:hAnsi="宋体" w:cs="宋体"/>
                <w:color w:val="auto"/>
                <w:highlight w:val="none"/>
              </w:rPr>
              <w:t>工程总承包实施及运营管理方案</w:t>
            </w:r>
            <w:r>
              <w:rPr>
                <w:rFonts w:ascii="宋体" w:hAnsi="宋体" w:cs="宋体"/>
                <w:color w:val="auto"/>
                <w:highlight w:val="none"/>
              </w:rPr>
              <w:t>技术投标文件人员名单》和《参与编制</w:t>
            </w:r>
            <w:r>
              <w:rPr>
                <w:rFonts w:hint="eastAsia" w:ascii="宋体" w:hAnsi="宋体" w:cs="宋体"/>
                <w:color w:val="auto"/>
                <w:highlight w:val="none"/>
              </w:rPr>
              <w:t>工程总承包实施及运营管理方案</w:t>
            </w:r>
            <w:r>
              <w:rPr>
                <w:rFonts w:ascii="宋体" w:hAnsi="宋体" w:cs="宋体"/>
                <w:color w:val="auto"/>
                <w:highlight w:val="none"/>
              </w:rPr>
              <w:t>经济投标文件人员名单》的</w:t>
            </w:r>
          </w:p>
        </w:tc>
      </w:tr>
      <w:tr w14:paraId="366DD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6B5343D1">
            <w:pPr>
              <w:pStyle w:val="24"/>
              <w:jc w:val="center"/>
              <w:rPr>
                <w:rFonts w:ascii="宋体" w:hAnsi="宋体" w:cs="宋体"/>
                <w:color w:val="auto"/>
                <w:szCs w:val="21"/>
                <w:highlight w:val="none"/>
              </w:rPr>
            </w:pPr>
            <w:r>
              <w:rPr>
                <w:rFonts w:ascii="宋体" w:hAnsi="宋体" w:cs="宋体"/>
                <w:color w:val="auto"/>
                <w:szCs w:val="21"/>
                <w:highlight w:val="none"/>
              </w:rPr>
              <w:t>8</w:t>
            </w:r>
          </w:p>
        </w:tc>
        <w:tc>
          <w:tcPr>
            <w:tcW w:w="3535" w:type="dxa"/>
            <w:vAlign w:val="center"/>
          </w:tcPr>
          <w:p w14:paraId="31FA2A26">
            <w:pPr>
              <w:jc w:val="center"/>
              <w:rPr>
                <w:rFonts w:ascii="宋体" w:hAnsi="宋体" w:cs="宋体"/>
                <w:color w:val="auto"/>
                <w:szCs w:val="21"/>
                <w:highlight w:val="none"/>
              </w:rPr>
            </w:pPr>
            <w:r>
              <w:rPr>
                <w:rFonts w:hint="eastAsia" w:ascii="宋体" w:hAnsi="宋体" w:cs="宋体"/>
                <w:color w:val="auto"/>
                <w:szCs w:val="21"/>
                <w:highlight w:val="none"/>
              </w:rPr>
              <w:t>加密打包投标文件电脑机器特征码</w:t>
            </w:r>
          </w:p>
        </w:tc>
        <w:tc>
          <w:tcPr>
            <w:tcW w:w="9278" w:type="dxa"/>
            <w:vAlign w:val="center"/>
          </w:tcPr>
          <w:p w14:paraId="15267688">
            <w:pPr>
              <w:rPr>
                <w:rFonts w:ascii="宋体" w:hAnsi="宋体" w:cs="宋体"/>
                <w:color w:val="auto"/>
                <w:szCs w:val="21"/>
                <w:highlight w:val="none"/>
              </w:rPr>
            </w:pPr>
            <w:r>
              <w:rPr>
                <w:rFonts w:ascii="宋体" w:hAnsi="宋体" w:cs="宋体"/>
                <w:color w:val="auto"/>
                <w:szCs w:val="21"/>
                <w:highlight w:val="none"/>
              </w:rPr>
              <w:t>投标人与其他投标人加密打包投标文件电脑机器特征码不一致的(以广州交易集团有限公司（广州公共资源交易中心）交易平台评标系统的检索信息为准)</w:t>
            </w:r>
          </w:p>
        </w:tc>
      </w:tr>
      <w:tr w14:paraId="798ED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5F4F7BA5">
            <w:pPr>
              <w:pStyle w:val="24"/>
              <w:jc w:val="center"/>
              <w:rPr>
                <w:rFonts w:ascii="宋体" w:hAnsi="宋体" w:cs="宋体"/>
                <w:color w:val="auto"/>
                <w:szCs w:val="21"/>
                <w:highlight w:val="none"/>
              </w:rPr>
            </w:pPr>
            <w:r>
              <w:rPr>
                <w:rFonts w:hint="eastAsia" w:ascii="宋体" w:hAnsi="宋体" w:cs="宋体"/>
                <w:color w:val="auto"/>
                <w:szCs w:val="21"/>
                <w:highlight w:val="none"/>
              </w:rPr>
              <w:t>9</w:t>
            </w:r>
          </w:p>
        </w:tc>
        <w:tc>
          <w:tcPr>
            <w:tcW w:w="3535" w:type="dxa"/>
            <w:vAlign w:val="center"/>
          </w:tcPr>
          <w:p w14:paraId="7A2B1FD1">
            <w:pPr>
              <w:jc w:val="center"/>
              <w:rPr>
                <w:rFonts w:ascii="宋体" w:hAnsi="宋体" w:cs="宋体"/>
                <w:color w:val="auto"/>
                <w:szCs w:val="21"/>
                <w:highlight w:val="none"/>
              </w:rPr>
            </w:pPr>
            <w:r>
              <w:rPr>
                <w:rFonts w:hint="eastAsia" w:ascii="宋体" w:hAnsi="宋体" w:cs="宋体"/>
                <w:color w:val="auto"/>
                <w:highlight w:val="none"/>
              </w:rPr>
              <w:t>投标文件工程量清单编制机器硬件信息一致</w:t>
            </w:r>
          </w:p>
        </w:tc>
        <w:tc>
          <w:tcPr>
            <w:tcW w:w="9278" w:type="dxa"/>
            <w:vAlign w:val="center"/>
          </w:tcPr>
          <w:p w14:paraId="7ED6C279">
            <w:pPr>
              <w:rPr>
                <w:rFonts w:ascii="宋体" w:hAnsi="宋体" w:cs="宋体"/>
                <w:color w:val="auto"/>
                <w:szCs w:val="21"/>
                <w:highlight w:val="none"/>
              </w:rPr>
            </w:pPr>
            <w:r>
              <w:rPr>
                <w:rFonts w:hint="eastAsia" w:ascii="宋体" w:hAnsi="宋体" w:cs="宋体"/>
                <w:color w:val="auto"/>
                <w:highlight w:val="none"/>
              </w:rPr>
              <w:t>投标人与本项目其他投标人的投标文件工程量清单编制机器硬件信息不一致的(以广州交易集团有限公司（广州公共资源交易中心）交易平台评标系统的检索信息为准)</w:t>
            </w:r>
          </w:p>
        </w:tc>
      </w:tr>
      <w:tr w14:paraId="391CF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20671833">
            <w:pPr>
              <w:pStyle w:val="24"/>
              <w:jc w:val="center"/>
              <w:rPr>
                <w:rFonts w:ascii="宋体" w:hAnsi="宋体" w:cs="宋体"/>
                <w:color w:val="auto"/>
                <w:szCs w:val="21"/>
                <w:highlight w:val="none"/>
              </w:rPr>
            </w:pPr>
            <w:r>
              <w:rPr>
                <w:rFonts w:hint="eastAsia" w:ascii="宋体" w:hAnsi="宋体" w:cs="宋体"/>
                <w:color w:val="auto"/>
                <w:szCs w:val="21"/>
                <w:highlight w:val="none"/>
              </w:rPr>
              <w:t>10</w:t>
            </w:r>
          </w:p>
        </w:tc>
        <w:tc>
          <w:tcPr>
            <w:tcW w:w="3535" w:type="dxa"/>
            <w:vAlign w:val="center"/>
          </w:tcPr>
          <w:p w14:paraId="6BA14096">
            <w:pPr>
              <w:jc w:val="center"/>
              <w:rPr>
                <w:rFonts w:ascii="宋体" w:hAnsi="宋体" w:cs="宋体"/>
                <w:color w:val="auto"/>
                <w:szCs w:val="21"/>
                <w:highlight w:val="none"/>
              </w:rPr>
            </w:pPr>
            <w:r>
              <w:rPr>
                <w:rFonts w:ascii="宋体" w:hAnsi="宋体" w:cs="宋体"/>
                <w:color w:val="auto"/>
                <w:highlight w:val="none"/>
              </w:rPr>
              <w:t>串通投标情形</w:t>
            </w:r>
          </w:p>
        </w:tc>
        <w:tc>
          <w:tcPr>
            <w:tcW w:w="9278" w:type="dxa"/>
            <w:vAlign w:val="center"/>
          </w:tcPr>
          <w:p w14:paraId="422F88E9">
            <w:pPr>
              <w:rPr>
                <w:rFonts w:ascii="宋体" w:hAnsi="宋体" w:cs="宋体"/>
                <w:color w:val="auto"/>
                <w:szCs w:val="21"/>
                <w:highlight w:val="none"/>
              </w:rPr>
            </w:pPr>
            <w:r>
              <w:rPr>
                <w:rFonts w:ascii="宋体" w:hAnsi="宋体" w:cs="宋体"/>
                <w:color w:val="auto"/>
                <w:highlight w:val="none"/>
              </w:rPr>
              <w:t>不存在串通投标情形（串通投标情形以《中华人民共和国招标投标法实施条例》的规定为准）</w:t>
            </w:r>
          </w:p>
        </w:tc>
      </w:tr>
      <w:tr w14:paraId="495D90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177" w:type="dxa"/>
            <w:gridSpan w:val="2"/>
            <w:vAlign w:val="center"/>
          </w:tcPr>
          <w:p w14:paraId="7206FE6C">
            <w:pPr>
              <w:jc w:val="center"/>
              <w:rPr>
                <w:rFonts w:ascii="宋体" w:hAnsi="宋体" w:cs="宋体"/>
                <w:color w:val="auto"/>
                <w:szCs w:val="21"/>
                <w:highlight w:val="none"/>
              </w:rPr>
            </w:pPr>
            <w:r>
              <w:rPr>
                <w:rFonts w:ascii="宋体" w:hAnsi="宋体" w:cs="宋体"/>
                <w:color w:val="auto"/>
                <w:szCs w:val="21"/>
                <w:highlight w:val="none"/>
              </w:rPr>
              <w:t>结论</w:t>
            </w:r>
          </w:p>
        </w:tc>
        <w:tc>
          <w:tcPr>
            <w:tcW w:w="9278" w:type="dxa"/>
            <w:vAlign w:val="center"/>
          </w:tcPr>
          <w:p w14:paraId="7BA188A8">
            <w:pPr>
              <w:rPr>
                <w:rFonts w:ascii="宋体" w:hAnsi="宋体" w:cs="宋体"/>
                <w:color w:val="auto"/>
                <w:szCs w:val="21"/>
                <w:highlight w:val="none"/>
              </w:rPr>
            </w:pPr>
          </w:p>
        </w:tc>
      </w:tr>
    </w:tbl>
    <w:p w14:paraId="4F447F03">
      <w:pPr>
        <w:spacing w:line="300" w:lineRule="exact"/>
        <w:ind w:right="848" w:rightChars="404"/>
        <w:rPr>
          <w:rFonts w:ascii="宋体" w:hAnsi="宋体" w:cs="宋体"/>
          <w:color w:val="auto"/>
          <w:szCs w:val="21"/>
          <w:highlight w:val="none"/>
        </w:rPr>
      </w:pPr>
      <w:r>
        <w:rPr>
          <w:rFonts w:hint="eastAsia" w:ascii="宋体" w:hAnsi="宋体" w:cs="宋体"/>
          <w:color w:val="auto"/>
          <w:szCs w:val="21"/>
          <w:highlight w:val="none"/>
        </w:rPr>
        <w:t>注：1.每一项目符合有效的记“通过”无效的记“不通过”，全部审查项目均为有效的，结论为“通过”，否则为“不通过”。</w:t>
      </w:r>
    </w:p>
    <w:p w14:paraId="40D7A4F1">
      <w:pPr>
        <w:spacing w:line="300" w:lineRule="exact"/>
        <w:ind w:right="848" w:rightChars="404"/>
        <w:rPr>
          <w:rFonts w:ascii="宋体" w:hAnsi="宋体" w:cs="宋体"/>
          <w:color w:val="auto"/>
          <w:szCs w:val="21"/>
          <w:highlight w:val="none"/>
        </w:rPr>
      </w:pPr>
      <w:r>
        <w:rPr>
          <w:rFonts w:hint="eastAsia" w:ascii="宋体" w:hAnsi="宋体" w:cs="宋体"/>
          <w:color w:val="auto"/>
          <w:szCs w:val="21"/>
          <w:highlight w:val="none"/>
        </w:rPr>
        <w:t>2.如对本表中某种情形的评审意见不一致时，以评审组过半数成员的意见作为评审组对该情形的认定结论。</w:t>
      </w:r>
    </w:p>
    <w:p w14:paraId="07D525C3">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文件中含义不明确、对同类问题表述不一致、有明显文字和计算错误的，应当要求投标人作必要的澄清、说明后再判定投标人是否通过审查，不得直接认定其不通过审查。</w:t>
      </w:r>
    </w:p>
    <w:p w14:paraId="79CE6D2C">
      <w:pPr>
        <w:spacing w:line="400" w:lineRule="exact"/>
        <w:jc w:val="left"/>
        <w:rPr>
          <w:rFonts w:ascii="宋体" w:hAnsi="宋体" w:cs="宋体"/>
          <w:b/>
          <w:color w:val="auto"/>
          <w:sz w:val="28"/>
          <w:szCs w:val="28"/>
          <w:highlight w:val="none"/>
        </w:rPr>
        <w:sectPr>
          <w:headerReference r:id="rId11" w:type="default"/>
          <w:footerReference r:id="rId12" w:type="default"/>
          <w:pgSz w:w="16838" w:h="11906" w:orient="landscape"/>
          <w:pgMar w:top="1134" w:right="1417" w:bottom="1134" w:left="1417" w:header="851" w:footer="992" w:gutter="0"/>
          <w:cols w:space="720" w:num="1"/>
          <w:docGrid w:type="lines" w:linePitch="321" w:charSpace="0"/>
        </w:sectPr>
      </w:pPr>
      <w:r>
        <w:rPr>
          <w:rFonts w:hint="eastAsia" w:ascii="宋体" w:hAnsi="宋体" w:cs="宋体"/>
          <w:color w:val="auto"/>
          <w:szCs w:val="21"/>
          <w:highlight w:val="none"/>
        </w:rPr>
        <w:t xml:space="preserve">评委签名： </w:t>
      </w:r>
    </w:p>
    <w:p w14:paraId="39845388">
      <w:pPr>
        <w:spacing w:line="400" w:lineRule="exact"/>
        <w:jc w:val="left"/>
        <w:rPr>
          <w:rFonts w:ascii="宋体" w:hAnsi="宋体" w:cs="宋体"/>
          <w:b/>
          <w:color w:val="auto"/>
          <w:kern w:val="1"/>
          <w:sz w:val="28"/>
          <w:szCs w:val="28"/>
          <w:highlight w:val="none"/>
        </w:rPr>
      </w:pPr>
      <w:r>
        <w:rPr>
          <w:rFonts w:hint="eastAsia" w:ascii="宋体" w:hAnsi="宋体" w:cs="宋体"/>
          <w:b/>
          <w:color w:val="auto"/>
          <w:sz w:val="28"/>
          <w:szCs w:val="28"/>
          <w:highlight w:val="none"/>
        </w:rPr>
        <w:t>附表2：</w:t>
      </w:r>
    </w:p>
    <w:p w14:paraId="15B20172">
      <w:pPr>
        <w:ind w:right="848" w:rightChars="404"/>
        <w:jc w:val="center"/>
        <w:rPr>
          <w:rFonts w:ascii="宋体" w:hAnsi="宋体" w:cs="宋体"/>
          <w:b/>
          <w:color w:val="auto"/>
          <w:sz w:val="36"/>
          <w:szCs w:val="36"/>
          <w:highlight w:val="none"/>
        </w:rPr>
      </w:pPr>
      <w:r>
        <w:rPr>
          <w:rFonts w:hint="eastAsia" w:ascii="宋体" w:hAnsi="宋体" w:cs="宋体"/>
          <w:b/>
          <w:color w:val="auto"/>
          <w:kern w:val="1"/>
          <w:sz w:val="28"/>
          <w:szCs w:val="28"/>
          <w:highlight w:val="none"/>
        </w:rPr>
        <w:t>资格评审表</w:t>
      </w:r>
    </w:p>
    <w:tbl>
      <w:tblPr>
        <w:tblStyle w:val="20"/>
        <w:tblW w:w="13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0"/>
        <w:gridCol w:w="12820"/>
      </w:tblGrid>
      <w:tr w14:paraId="08F5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3503F9FB">
            <w:pPr>
              <w:jc w:val="center"/>
              <w:rPr>
                <w:rFonts w:ascii="宋体" w:hAnsi="宋体" w:cs="宋体"/>
                <w:b/>
                <w:color w:val="auto"/>
                <w:szCs w:val="21"/>
                <w:highlight w:val="none"/>
              </w:rPr>
            </w:pPr>
            <w:r>
              <w:rPr>
                <w:rFonts w:ascii="宋体" w:hAnsi="宋体" w:cs="宋体"/>
                <w:b/>
                <w:color w:val="auto"/>
                <w:szCs w:val="21"/>
                <w:highlight w:val="none"/>
              </w:rPr>
              <w:t>序号</w:t>
            </w:r>
          </w:p>
        </w:tc>
        <w:tc>
          <w:tcPr>
            <w:tcW w:w="12820" w:type="dxa"/>
            <w:vAlign w:val="center"/>
          </w:tcPr>
          <w:p w14:paraId="0D651E40">
            <w:pPr>
              <w:jc w:val="center"/>
              <w:rPr>
                <w:rFonts w:ascii="宋体" w:hAnsi="宋体" w:cs="宋体"/>
                <w:b/>
                <w:color w:val="auto"/>
                <w:szCs w:val="21"/>
                <w:highlight w:val="none"/>
              </w:rPr>
            </w:pPr>
            <w:r>
              <w:rPr>
                <w:rFonts w:ascii="宋体" w:hAnsi="宋体" w:cs="宋体"/>
                <w:b/>
                <w:color w:val="auto"/>
                <w:szCs w:val="21"/>
                <w:highlight w:val="none"/>
              </w:rPr>
              <w:t>评审内容</w:t>
            </w:r>
          </w:p>
        </w:tc>
      </w:tr>
      <w:tr w14:paraId="0866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0E9B6560">
            <w:pPr>
              <w:spacing w:line="400" w:lineRule="exact"/>
              <w:jc w:val="center"/>
              <w:rPr>
                <w:rFonts w:ascii="宋体" w:hAnsi="宋体" w:cs="宋体"/>
                <w:color w:val="auto"/>
                <w:szCs w:val="21"/>
                <w:highlight w:val="none"/>
              </w:rPr>
            </w:pPr>
            <w:r>
              <w:rPr>
                <w:rFonts w:ascii="宋体" w:hAnsi="宋体" w:cs="宋体"/>
                <w:color w:val="auto"/>
                <w:szCs w:val="21"/>
                <w:highlight w:val="none"/>
              </w:rPr>
              <w:t>1</w:t>
            </w:r>
          </w:p>
        </w:tc>
        <w:tc>
          <w:tcPr>
            <w:tcW w:w="12820" w:type="dxa"/>
            <w:vAlign w:val="center"/>
          </w:tcPr>
          <w:p w14:paraId="0CD549C3">
            <w:pPr>
              <w:rPr>
                <w:rFonts w:ascii="宋体" w:hAnsi="宋体" w:cs="宋体"/>
                <w:color w:val="auto"/>
                <w:szCs w:val="21"/>
                <w:highlight w:val="none"/>
              </w:rPr>
            </w:pPr>
            <w:r>
              <w:rPr>
                <w:rFonts w:ascii="宋体" w:hAnsi="宋体" w:cs="宋体"/>
                <w:color w:val="auto"/>
                <w:szCs w:val="21"/>
                <w:highlight w:val="none"/>
              </w:rPr>
              <w:t>投标人</w:t>
            </w:r>
            <w:r>
              <w:rPr>
                <w:rFonts w:ascii="宋体" w:hAnsi="宋体" w:cs="宋体"/>
                <w:b/>
                <w:bCs/>
                <w:color w:val="auto"/>
                <w:szCs w:val="21"/>
                <w:highlight w:val="none"/>
              </w:rPr>
              <w:t>（若为联合体投标，指联合体各单位）</w:t>
            </w:r>
            <w:r>
              <w:rPr>
                <w:rFonts w:ascii="宋体" w:hAnsi="宋体" w:cs="宋体"/>
                <w:color w:val="auto"/>
                <w:szCs w:val="21"/>
                <w:highlight w:val="none"/>
              </w:rPr>
              <w:t>具有独立法人资格持有工商行政管理部门核发的法人营业执照或各级政府事业单位登记管理机关颁发的事业单位法人证书；联合体承担设计任务的单位为普通合伙企业形式的设计事务所的，需持有工商行政（市场监督）管理部门核发的合伙企业营业执照；联合体中承担勘察、设计任务的单位为单独投标的香港企业，需持有在香港进行商业登记的证明文书；按国家法律经营</w:t>
            </w:r>
          </w:p>
        </w:tc>
      </w:tr>
      <w:tr w14:paraId="7CC7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68408035">
            <w:pPr>
              <w:spacing w:line="400" w:lineRule="exact"/>
              <w:jc w:val="center"/>
              <w:rPr>
                <w:rFonts w:ascii="宋体" w:hAnsi="宋体" w:cs="宋体"/>
                <w:color w:val="auto"/>
                <w:szCs w:val="21"/>
                <w:highlight w:val="none"/>
              </w:rPr>
            </w:pPr>
            <w:r>
              <w:rPr>
                <w:rFonts w:ascii="宋体" w:hAnsi="宋体" w:cs="宋体"/>
                <w:color w:val="auto"/>
                <w:szCs w:val="21"/>
                <w:highlight w:val="none"/>
              </w:rPr>
              <w:t>2</w:t>
            </w:r>
          </w:p>
        </w:tc>
        <w:tc>
          <w:tcPr>
            <w:tcW w:w="12820" w:type="dxa"/>
            <w:vAlign w:val="center"/>
          </w:tcPr>
          <w:p w14:paraId="52888989">
            <w:pPr>
              <w:rPr>
                <w:rFonts w:ascii="宋体" w:hAnsi="宋体" w:cs="宋体"/>
                <w:color w:val="auto"/>
                <w:szCs w:val="21"/>
                <w:highlight w:val="none"/>
              </w:rPr>
            </w:pPr>
            <w:r>
              <w:rPr>
                <w:rFonts w:ascii="宋体" w:hAnsi="宋体" w:cs="宋体"/>
                <w:color w:val="auto"/>
                <w:szCs w:val="21"/>
                <w:highlight w:val="none"/>
              </w:rPr>
              <w:t>投标人</w:t>
            </w:r>
            <w:r>
              <w:rPr>
                <w:rFonts w:ascii="宋体" w:hAnsi="宋体" w:cs="宋体"/>
                <w:b/>
                <w:bCs/>
                <w:color w:val="auto"/>
                <w:szCs w:val="21"/>
                <w:highlight w:val="none"/>
              </w:rPr>
              <w:t>（若为联合体投标，指联合体承担施工任务的单位）</w:t>
            </w:r>
            <w:r>
              <w:rPr>
                <w:rFonts w:ascii="宋体" w:hAnsi="宋体" w:cs="宋体"/>
                <w:color w:val="auto"/>
                <w:szCs w:val="21"/>
                <w:highlight w:val="none"/>
              </w:rPr>
              <w:t>持有有效的建设行政主管部门颁发的安全生产许可证</w:t>
            </w:r>
          </w:p>
        </w:tc>
      </w:tr>
      <w:tr w14:paraId="09F4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1439CCAE">
            <w:pPr>
              <w:spacing w:line="400" w:lineRule="exact"/>
              <w:jc w:val="center"/>
              <w:rPr>
                <w:rFonts w:ascii="宋体" w:hAnsi="宋体" w:cs="宋体"/>
                <w:color w:val="auto"/>
                <w:szCs w:val="21"/>
                <w:highlight w:val="none"/>
              </w:rPr>
            </w:pPr>
            <w:r>
              <w:rPr>
                <w:rFonts w:ascii="宋体" w:hAnsi="宋体" w:cs="宋体"/>
                <w:color w:val="auto"/>
                <w:szCs w:val="21"/>
                <w:highlight w:val="none"/>
              </w:rPr>
              <w:t>3</w:t>
            </w:r>
          </w:p>
        </w:tc>
        <w:tc>
          <w:tcPr>
            <w:tcW w:w="12820" w:type="dxa"/>
            <w:vAlign w:val="center"/>
          </w:tcPr>
          <w:p w14:paraId="54B94471">
            <w:pPr>
              <w:rPr>
                <w:rFonts w:ascii="宋体" w:hAnsi="宋体" w:cs="宋体"/>
                <w:color w:val="auto"/>
                <w:szCs w:val="21"/>
                <w:highlight w:val="none"/>
              </w:rPr>
            </w:pPr>
            <w:r>
              <w:rPr>
                <w:rFonts w:ascii="宋体" w:hAnsi="宋体" w:cs="宋体"/>
                <w:color w:val="auto"/>
                <w:szCs w:val="21"/>
                <w:highlight w:val="none"/>
              </w:rPr>
              <w:t>投标人</w:t>
            </w:r>
            <w:r>
              <w:rPr>
                <w:rFonts w:ascii="宋体" w:hAnsi="宋体" w:cs="宋体"/>
                <w:b/>
                <w:bCs/>
                <w:color w:val="auto"/>
                <w:szCs w:val="21"/>
                <w:highlight w:val="none"/>
              </w:rPr>
              <w:t>（若为联合体投标，指联合体各单位）</w:t>
            </w:r>
            <w:r>
              <w:rPr>
                <w:rFonts w:ascii="宋体" w:hAnsi="宋体" w:cs="宋体"/>
                <w:color w:val="auto"/>
                <w:szCs w:val="21"/>
                <w:highlight w:val="none"/>
              </w:rPr>
              <w:t>企业资质符合招标公告要求</w:t>
            </w:r>
          </w:p>
        </w:tc>
      </w:tr>
      <w:tr w14:paraId="345B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2664CA40">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2820" w:type="dxa"/>
            <w:vAlign w:val="center"/>
          </w:tcPr>
          <w:p w14:paraId="193A3B97">
            <w:pPr>
              <w:rPr>
                <w:rFonts w:ascii="宋体" w:hAnsi="宋体" w:cs="宋体"/>
                <w:color w:val="auto"/>
                <w:szCs w:val="21"/>
                <w:highlight w:val="none"/>
              </w:rPr>
            </w:pPr>
            <w:r>
              <w:rPr>
                <w:rFonts w:ascii="宋体" w:hAnsi="宋体" w:cs="宋体"/>
                <w:color w:val="auto"/>
                <w:szCs w:val="21"/>
                <w:highlight w:val="none"/>
              </w:rPr>
              <w:t>投标人</w:t>
            </w:r>
            <w:r>
              <w:rPr>
                <w:rFonts w:ascii="宋体" w:hAnsi="宋体" w:cs="宋体"/>
                <w:b/>
                <w:bCs/>
                <w:color w:val="auto"/>
                <w:szCs w:val="21"/>
                <w:highlight w:val="none"/>
              </w:rPr>
              <w:t>（若为联合体投标，指联合体承担施工任务的单位）</w:t>
            </w:r>
            <w:r>
              <w:rPr>
                <w:rFonts w:ascii="宋体" w:hAnsi="宋体" w:cs="宋体"/>
                <w:color w:val="auto"/>
                <w:szCs w:val="21"/>
                <w:highlight w:val="none"/>
              </w:rPr>
              <w:t>拟担任本项目的</w:t>
            </w:r>
            <w:r>
              <w:rPr>
                <w:rFonts w:hint="eastAsia" w:ascii="宋体" w:hAnsi="宋体" w:cs="宋体"/>
                <w:color w:val="auto"/>
                <w:szCs w:val="21"/>
                <w:highlight w:val="none"/>
                <w:lang w:val="en-US" w:eastAsia="zh-CN"/>
              </w:rPr>
              <w:t>项目负责人（兼</w:t>
            </w:r>
            <w:r>
              <w:rPr>
                <w:rFonts w:hint="eastAsia" w:ascii="宋体" w:hAnsi="宋体" w:cs="宋体"/>
                <w:color w:val="auto"/>
                <w:szCs w:val="21"/>
                <w:highlight w:val="none"/>
              </w:rPr>
              <w:t>施工</w:t>
            </w:r>
            <w:r>
              <w:rPr>
                <w:rFonts w:ascii="宋体" w:hAnsi="宋体" w:cs="宋体"/>
                <w:color w:val="auto"/>
                <w:szCs w:val="21"/>
                <w:highlight w:val="none"/>
              </w:rPr>
              <w:t>负责人</w:t>
            </w:r>
            <w:r>
              <w:rPr>
                <w:rFonts w:hint="eastAsia" w:ascii="宋体" w:hAnsi="宋体" w:cs="宋体"/>
                <w:color w:val="auto"/>
                <w:szCs w:val="21"/>
                <w:highlight w:val="none"/>
                <w:lang w:eastAsia="zh-CN"/>
              </w:rPr>
              <w:t>）</w:t>
            </w:r>
            <w:r>
              <w:rPr>
                <w:rFonts w:ascii="宋体" w:hAnsi="宋体" w:cs="宋体"/>
                <w:color w:val="auto"/>
                <w:szCs w:val="21"/>
                <w:highlight w:val="none"/>
              </w:rPr>
              <w:t>资格满足招标公告要求</w:t>
            </w:r>
          </w:p>
        </w:tc>
      </w:tr>
      <w:tr w14:paraId="24CC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29599903">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2820" w:type="dxa"/>
            <w:vAlign w:val="center"/>
          </w:tcPr>
          <w:p w14:paraId="36635EA1">
            <w:pPr>
              <w:rPr>
                <w:rFonts w:ascii="宋体" w:hAnsi="宋体" w:cs="宋体"/>
                <w:color w:val="auto"/>
                <w:szCs w:val="21"/>
                <w:highlight w:val="none"/>
              </w:rPr>
            </w:pPr>
            <w:r>
              <w:rPr>
                <w:rFonts w:ascii="宋体" w:hAnsi="宋体" w:cs="宋体"/>
                <w:color w:val="auto"/>
                <w:szCs w:val="21"/>
                <w:highlight w:val="none"/>
              </w:rPr>
              <w:t>投标人</w:t>
            </w:r>
            <w:r>
              <w:rPr>
                <w:rFonts w:ascii="宋体" w:hAnsi="宋体" w:cs="宋体"/>
                <w:b/>
                <w:bCs/>
                <w:color w:val="auto"/>
                <w:szCs w:val="21"/>
                <w:highlight w:val="none"/>
              </w:rPr>
              <w:t>（若为联合体投标，指联合体承担设计任务的单位）</w:t>
            </w:r>
            <w:r>
              <w:rPr>
                <w:rFonts w:ascii="宋体" w:hAnsi="宋体" w:cs="宋体"/>
                <w:color w:val="auto"/>
                <w:szCs w:val="21"/>
                <w:highlight w:val="none"/>
              </w:rPr>
              <w:t>拟担任本项目的设计负责人资格满足招标公告要求</w:t>
            </w:r>
          </w:p>
        </w:tc>
      </w:tr>
      <w:tr w14:paraId="35B9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00FC3816">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2820" w:type="dxa"/>
            <w:vAlign w:val="center"/>
          </w:tcPr>
          <w:p w14:paraId="02C67618">
            <w:pPr>
              <w:rPr>
                <w:rFonts w:ascii="宋体" w:hAnsi="宋体" w:cs="宋体"/>
                <w:color w:val="auto"/>
                <w:szCs w:val="21"/>
                <w:highlight w:val="none"/>
              </w:rPr>
            </w:pPr>
            <w:r>
              <w:rPr>
                <w:rFonts w:ascii="宋体" w:hAnsi="宋体" w:cs="宋体"/>
                <w:color w:val="auto"/>
                <w:szCs w:val="21"/>
                <w:highlight w:val="none"/>
              </w:rPr>
              <w:t>投标人</w:t>
            </w:r>
            <w:r>
              <w:rPr>
                <w:rFonts w:ascii="宋体" w:hAnsi="宋体" w:cs="宋体"/>
                <w:b/>
                <w:bCs/>
                <w:color w:val="auto"/>
                <w:szCs w:val="21"/>
                <w:highlight w:val="none"/>
              </w:rPr>
              <w:t>（若为联合体投标，指联合体承担施工任务的单位）</w:t>
            </w:r>
            <w:r>
              <w:rPr>
                <w:rFonts w:ascii="宋体" w:hAnsi="宋体" w:cs="宋体"/>
                <w:color w:val="auto"/>
                <w:szCs w:val="21"/>
                <w:highlight w:val="none"/>
              </w:rPr>
              <w:t>拟担任本项目的技术负责人资格满足招标公告要求</w:t>
            </w:r>
          </w:p>
        </w:tc>
      </w:tr>
      <w:tr w14:paraId="1424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54EE3E58">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2820" w:type="dxa"/>
            <w:vAlign w:val="center"/>
          </w:tcPr>
          <w:p w14:paraId="25C282C0">
            <w:pPr>
              <w:rPr>
                <w:rFonts w:ascii="宋体" w:hAnsi="宋体" w:cs="宋体"/>
                <w:color w:val="auto"/>
                <w:szCs w:val="21"/>
                <w:highlight w:val="none"/>
              </w:rPr>
            </w:pPr>
            <w:r>
              <w:rPr>
                <w:rFonts w:ascii="宋体" w:hAnsi="宋体" w:cs="宋体"/>
                <w:color w:val="auto"/>
                <w:szCs w:val="21"/>
                <w:highlight w:val="none"/>
              </w:rPr>
              <w:t>投标人</w:t>
            </w:r>
            <w:r>
              <w:rPr>
                <w:rFonts w:ascii="宋体" w:hAnsi="宋体" w:cs="宋体"/>
                <w:b/>
                <w:bCs/>
                <w:color w:val="auto"/>
                <w:szCs w:val="21"/>
                <w:highlight w:val="none"/>
              </w:rPr>
              <w:t>（若为联合体投标，指联合体承担施工任务的单位）</w:t>
            </w:r>
            <w:r>
              <w:rPr>
                <w:rFonts w:hint="eastAsia" w:ascii="宋体" w:hAnsi="宋体" w:cs="宋体"/>
                <w:b w:val="0"/>
                <w:bCs w:val="0"/>
                <w:color w:val="auto"/>
                <w:szCs w:val="21"/>
                <w:highlight w:val="none"/>
                <w:lang w:val="en-US" w:eastAsia="zh-CN"/>
              </w:rPr>
              <w:t>项目负责人（兼</w:t>
            </w:r>
            <w:r>
              <w:rPr>
                <w:rFonts w:hint="eastAsia" w:ascii="宋体" w:hAnsi="宋体" w:cs="宋体"/>
                <w:bCs/>
                <w:color w:val="auto"/>
                <w:szCs w:val="21"/>
                <w:highlight w:val="none"/>
              </w:rPr>
              <w:t>施工</w:t>
            </w:r>
            <w:r>
              <w:rPr>
                <w:rFonts w:ascii="宋体" w:hAnsi="宋体" w:cs="宋体"/>
                <w:color w:val="auto"/>
                <w:szCs w:val="21"/>
                <w:highlight w:val="none"/>
              </w:rPr>
              <w:t>负责人</w:t>
            </w:r>
            <w:r>
              <w:rPr>
                <w:rFonts w:hint="eastAsia" w:ascii="宋体" w:hAnsi="宋体" w:cs="宋体"/>
                <w:color w:val="auto"/>
                <w:szCs w:val="21"/>
                <w:highlight w:val="none"/>
                <w:lang w:eastAsia="zh-CN"/>
              </w:rPr>
              <w:t>）</w:t>
            </w:r>
            <w:r>
              <w:rPr>
                <w:rFonts w:ascii="宋体" w:hAnsi="宋体" w:cs="宋体"/>
                <w:color w:val="auto"/>
                <w:szCs w:val="21"/>
                <w:highlight w:val="none"/>
              </w:rPr>
              <w:t>持有在有效期内的安全生产考核合格证书（B类）或建筑施工企业项目负责人安全生产考核合格证书。</w:t>
            </w:r>
            <w:r>
              <w:rPr>
                <w:rFonts w:hint="eastAsia" w:ascii="宋体" w:hAnsi="宋体" w:cs="宋体"/>
                <w:color w:val="auto"/>
                <w:szCs w:val="21"/>
                <w:highlight w:val="none"/>
                <w:lang w:val="en-US" w:eastAsia="zh-CN"/>
              </w:rPr>
              <w:t>项目负责人（兼</w:t>
            </w:r>
            <w:r>
              <w:rPr>
                <w:rFonts w:hint="eastAsia" w:ascii="宋体" w:hAnsi="宋体" w:cs="宋体"/>
                <w:color w:val="auto"/>
                <w:szCs w:val="21"/>
                <w:highlight w:val="none"/>
              </w:rPr>
              <w:t>施工负责人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、技术负责人和专职安全员</w:t>
            </w:r>
            <w:r>
              <w:rPr>
                <w:rFonts w:ascii="宋体" w:hAnsi="宋体" w:cs="宋体"/>
                <w:color w:val="auto"/>
                <w:szCs w:val="21"/>
                <w:highlight w:val="none"/>
              </w:rPr>
              <w:t>不为同一人</w:t>
            </w:r>
          </w:p>
        </w:tc>
      </w:tr>
      <w:tr w14:paraId="163C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2C57DBDE">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2820" w:type="dxa"/>
            <w:vAlign w:val="center"/>
          </w:tcPr>
          <w:p w14:paraId="00233A9A">
            <w:pPr>
              <w:rPr>
                <w:rFonts w:ascii="宋体" w:hAnsi="宋体" w:cs="宋体"/>
                <w:color w:val="auto"/>
                <w:szCs w:val="21"/>
                <w:highlight w:val="none"/>
              </w:rPr>
            </w:pPr>
            <w:r>
              <w:rPr>
                <w:rFonts w:ascii="宋体" w:hAnsi="宋体" w:cs="宋体"/>
                <w:color w:val="auto"/>
                <w:szCs w:val="21"/>
                <w:highlight w:val="none"/>
              </w:rPr>
              <w:t>投标人</w:t>
            </w:r>
            <w:r>
              <w:rPr>
                <w:rFonts w:ascii="宋体" w:hAnsi="宋体" w:cs="宋体"/>
                <w:b/>
                <w:bCs/>
                <w:color w:val="auto"/>
                <w:szCs w:val="21"/>
                <w:highlight w:val="none"/>
              </w:rPr>
              <w:t>（若为联合体投标，指联合体承担施工任务的单位）</w:t>
            </w:r>
            <w:r>
              <w:rPr>
                <w:rFonts w:ascii="宋体" w:hAnsi="宋体" w:cs="宋体"/>
                <w:color w:val="auto"/>
                <w:szCs w:val="21"/>
                <w:highlight w:val="none"/>
              </w:rPr>
              <w:t>专职安全员须具有在有效期内的</w:t>
            </w:r>
            <w:r>
              <w:rPr>
                <w:rFonts w:hint="eastAsia" w:ascii="宋体" w:hAnsi="宋体" w:cs="宋体"/>
                <w:color w:val="auto"/>
                <w:szCs w:val="21"/>
                <w:highlight w:val="none"/>
              </w:rPr>
              <w:t>安全生产考核合格证书（C类）或建筑施工企业专职安全生产管理人员安全生产考核合格证书（C3）</w:t>
            </w:r>
          </w:p>
        </w:tc>
      </w:tr>
      <w:tr w14:paraId="5102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576CC743">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2820" w:type="dxa"/>
            <w:vAlign w:val="center"/>
          </w:tcPr>
          <w:p w14:paraId="5024462A">
            <w:pPr>
              <w:rPr>
                <w:rFonts w:ascii="宋体" w:hAnsi="宋体" w:cs="宋体"/>
                <w:color w:val="auto"/>
                <w:szCs w:val="21"/>
                <w:highlight w:val="none"/>
              </w:rPr>
            </w:pPr>
            <w:r>
              <w:rPr>
                <w:rFonts w:ascii="宋体" w:hAnsi="宋体" w:cs="宋体"/>
                <w:color w:val="auto"/>
                <w:szCs w:val="21"/>
                <w:highlight w:val="none"/>
              </w:rPr>
              <w:t>资格审查前，投标人</w:t>
            </w:r>
            <w:r>
              <w:rPr>
                <w:rFonts w:ascii="宋体" w:hAnsi="宋体" w:cs="宋体"/>
                <w:b/>
                <w:bCs/>
                <w:color w:val="auto"/>
                <w:szCs w:val="21"/>
                <w:highlight w:val="none"/>
              </w:rPr>
              <w:t>（若为联合体投标，指联合体各单位）</w:t>
            </w:r>
            <w:r>
              <w:rPr>
                <w:rFonts w:hint="eastAsia" w:ascii="宋体" w:hAnsi="宋体" w:cs="宋体"/>
                <w:color w:val="auto"/>
                <w:szCs w:val="21"/>
                <w:highlight w:val="none"/>
              </w:rPr>
              <w:t>广州交易集团有限公司（广州公共资源交易中心）办理企业信息登记</w:t>
            </w:r>
            <w:r>
              <w:rPr>
                <w:rFonts w:ascii="宋体" w:hAnsi="宋体" w:cs="宋体"/>
                <w:color w:val="auto"/>
                <w:szCs w:val="21"/>
                <w:highlight w:val="none"/>
              </w:rPr>
              <w:t>及拟担任本工程</w:t>
            </w: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兼</w:t>
            </w:r>
            <w:r>
              <w:rPr>
                <w:rFonts w:hint="eastAsia" w:ascii="宋体" w:hAnsi="宋体" w:cs="宋体"/>
                <w:color w:val="auto"/>
                <w:szCs w:val="21"/>
                <w:highlight w:val="none"/>
              </w:rPr>
              <w:t>施工负责人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、技术负责人、设计负责人、专职安全员</w:t>
            </w:r>
            <w:r>
              <w:rPr>
                <w:rFonts w:ascii="宋体" w:hAnsi="宋体" w:cs="宋体"/>
                <w:color w:val="auto"/>
                <w:szCs w:val="21"/>
                <w:highlight w:val="none"/>
              </w:rPr>
              <w:t>须是</w:t>
            </w:r>
            <w:r>
              <w:rPr>
                <w:rFonts w:hint="eastAsia" w:ascii="宋体" w:hAnsi="宋体" w:cs="宋体"/>
                <w:color w:val="auto"/>
                <w:szCs w:val="21"/>
                <w:highlight w:val="none"/>
                <w:lang w:val="zh-CN"/>
              </w:rPr>
              <w:t>本企业信息登记中的在册人员</w:t>
            </w:r>
            <w:r>
              <w:rPr>
                <w:rFonts w:ascii="宋体" w:hAnsi="宋体" w:cs="宋体"/>
                <w:color w:val="auto"/>
                <w:szCs w:val="21"/>
                <w:highlight w:val="none"/>
              </w:rPr>
              <w:t>。（联合体投标的，信用</w:t>
            </w:r>
            <w:r>
              <w:rPr>
                <w:rFonts w:hint="eastAsia" w:ascii="宋体" w:hAnsi="宋体" w:cs="宋体"/>
                <w:color w:val="auto"/>
                <w:szCs w:val="21"/>
                <w:highlight w:val="none"/>
              </w:rPr>
              <w:t>登记</w:t>
            </w:r>
            <w:r>
              <w:rPr>
                <w:rFonts w:ascii="宋体" w:hAnsi="宋体" w:cs="宋体"/>
                <w:color w:val="auto"/>
                <w:szCs w:val="21"/>
                <w:highlight w:val="none"/>
              </w:rPr>
              <w:t>和人员在册情况以联合体共同投标协议分工为准）</w:t>
            </w:r>
          </w:p>
        </w:tc>
      </w:tr>
      <w:tr w14:paraId="0491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1A6E7826">
            <w:pPr>
              <w:spacing w:line="400" w:lineRule="exact"/>
              <w:jc w:val="center"/>
              <w:rPr>
                <w:rFonts w:hint="eastAsia" w:ascii="宋体" w:hAnsi="宋体" w:eastAsia="宋体" w:cs="宋体"/>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0</w:t>
            </w:r>
          </w:p>
        </w:tc>
        <w:tc>
          <w:tcPr>
            <w:tcW w:w="12820" w:type="dxa"/>
            <w:vAlign w:val="center"/>
          </w:tcPr>
          <w:p w14:paraId="135F9B87">
            <w:pPr>
              <w:rPr>
                <w:rFonts w:ascii="宋体" w:hAnsi="宋体" w:cs="宋体"/>
                <w:color w:val="auto"/>
                <w:szCs w:val="21"/>
                <w:highlight w:val="none"/>
              </w:rPr>
            </w:pPr>
            <w:r>
              <w:rPr>
                <w:rFonts w:ascii="宋体" w:hAnsi="宋体" w:cs="宋体"/>
                <w:color w:val="auto"/>
                <w:szCs w:val="21"/>
                <w:highlight w:val="none"/>
              </w:rPr>
              <w:t>投标人提供的《投标人声明》符合招标公告要求</w:t>
            </w:r>
          </w:p>
        </w:tc>
      </w:tr>
      <w:tr w14:paraId="5952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299B4B40">
            <w:pPr>
              <w:spacing w:line="400" w:lineRule="exact"/>
              <w:jc w:val="center"/>
              <w:rPr>
                <w:rFonts w:hint="eastAsia" w:ascii="宋体" w:hAnsi="宋体" w:eastAsia="宋体" w:cs="宋体"/>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12820" w:type="dxa"/>
            <w:vAlign w:val="center"/>
          </w:tcPr>
          <w:p w14:paraId="54B6C8E4">
            <w:pPr>
              <w:rPr>
                <w:rFonts w:ascii="宋体" w:hAnsi="宋体" w:cs="宋体"/>
                <w:color w:val="auto"/>
                <w:szCs w:val="21"/>
                <w:highlight w:val="none"/>
              </w:rPr>
            </w:pPr>
            <w:r>
              <w:rPr>
                <w:rFonts w:ascii="宋体" w:hAnsi="宋体" w:cs="宋体"/>
                <w:color w:val="auto"/>
                <w:szCs w:val="21"/>
                <w:highlight w:val="none"/>
              </w:rPr>
              <w:t>投标人</w:t>
            </w:r>
            <w:r>
              <w:rPr>
                <w:rFonts w:ascii="宋体" w:hAnsi="宋体" w:cs="宋体"/>
                <w:b/>
                <w:bCs/>
                <w:color w:val="auto"/>
                <w:szCs w:val="21"/>
                <w:highlight w:val="none"/>
              </w:rPr>
              <w:t>（若为联合体投标，指联合体各单位）</w:t>
            </w:r>
            <w:r>
              <w:rPr>
                <w:rFonts w:ascii="宋体" w:hAnsi="宋体" w:cs="宋体"/>
                <w:color w:val="auto"/>
                <w:szCs w:val="21"/>
                <w:highlight w:val="none"/>
              </w:rPr>
              <w:t>未在以往工程中因不诚信行为或不充分履约行为被本项目招标人书面拒绝投标的</w:t>
            </w:r>
          </w:p>
        </w:tc>
      </w:tr>
      <w:tr w14:paraId="593F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489D3C3B">
            <w:pPr>
              <w:spacing w:line="400" w:lineRule="exact"/>
              <w:jc w:val="center"/>
              <w:rPr>
                <w:rFonts w:hint="eastAsia" w:ascii="宋体" w:hAnsi="宋体" w:eastAsia="宋体" w:cs="宋体"/>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12820" w:type="dxa"/>
            <w:vAlign w:val="center"/>
          </w:tcPr>
          <w:p w14:paraId="44E0913D">
            <w:pPr>
              <w:rPr>
                <w:rFonts w:ascii="宋体" w:hAnsi="宋体" w:cs="宋体"/>
                <w:color w:val="auto"/>
                <w:szCs w:val="21"/>
                <w:highlight w:val="none"/>
              </w:rPr>
            </w:pPr>
            <w:r>
              <w:rPr>
                <w:rFonts w:ascii="宋体" w:hAnsi="宋体" w:cs="宋体"/>
                <w:color w:val="auto"/>
                <w:szCs w:val="21"/>
                <w:highlight w:val="none"/>
              </w:rPr>
              <w:t>联合体投标的提交联合体共同投标协议书，联合体组成符合招标公告要求</w:t>
            </w:r>
          </w:p>
        </w:tc>
      </w:tr>
      <w:tr w14:paraId="0048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39306A39">
            <w:pPr>
              <w:spacing w:line="400" w:lineRule="exact"/>
              <w:jc w:val="center"/>
              <w:rPr>
                <w:rFonts w:hint="eastAsia" w:ascii="宋体" w:hAnsi="宋体" w:eastAsia="宋体" w:cs="宋体"/>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12820" w:type="dxa"/>
            <w:vAlign w:val="center"/>
          </w:tcPr>
          <w:p w14:paraId="39239F97">
            <w:pPr>
              <w:rPr>
                <w:rFonts w:ascii="宋体" w:hAnsi="宋体" w:cs="宋体"/>
                <w:color w:val="auto"/>
                <w:szCs w:val="21"/>
                <w:highlight w:val="none"/>
              </w:rPr>
            </w:pPr>
            <w:r>
              <w:rPr>
                <w:rFonts w:ascii="宋体" w:hAnsi="宋体" w:cs="宋体"/>
                <w:color w:val="auto"/>
                <w:szCs w:val="21"/>
                <w:highlight w:val="none"/>
              </w:rPr>
              <w:t>投标人</w:t>
            </w:r>
            <w:r>
              <w:rPr>
                <w:rFonts w:ascii="宋体" w:hAnsi="宋体" w:cs="宋体"/>
                <w:b/>
                <w:bCs/>
                <w:color w:val="auto"/>
                <w:szCs w:val="21"/>
                <w:highlight w:val="none"/>
              </w:rPr>
              <w:t>（若为联合体投标，指联合体各单位）</w:t>
            </w:r>
            <w:r>
              <w:rPr>
                <w:rFonts w:ascii="宋体" w:hAnsi="宋体" w:cs="宋体"/>
                <w:color w:val="auto"/>
                <w:szCs w:val="21"/>
                <w:highlight w:val="none"/>
              </w:rPr>
              <w:t>未出现以下情形：与其它投标人的单位负责人为同一人或者存在控股、管理关系的（按投标人提供的《投标人声明》第</w:t>
            </w:r>
            <w:r>
              <w:rPr>
                <w:rFonts w:hint="eastAsia" w:ascii="宋体" w:hAnsi="宋体" w:cs="宋体"/>
                <w:color w:val="auto"/>
                <w:szCs w:val="21"/>
                <w:highlight w:val="none"/>
              </w:rPr>
              <w:t>九</w:t>
            </w:r>
            <w:r>
              <w:rPr>
                <w:rFonts w:ascii="宋体" w:hAnsi="宋体" w:cs="宋体"/>
                <w:color w:val="auto"/>
                <w:szCs w:val="21"/>
                <w:highlight w:val="none"/>
              </w:rPr>
              <w:t>条内容进行评审）</w:t>
            </w:r>
          </w:p>
        </w:tc>
      </w:tr>
      <w:tr w14:paraId="4393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255EBAC8">
            <w:pPr>
              <w:spacing w:line="400" w:lineRule="exact"/>
              <w:jc w:val="center"/>
              <w:rPr>
                <w:rFonts w:hint="eastAsia" w:ascii="宋体" w:hAnsi="宋体" w:eastAsia="宋体" w:cs="宋体"/>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12820" w:type="dxa"/>
            <w:vAlign w:val="center"/>
          </w:tcPr>
          <w:p w14:paraId="5E49C48C">
            <w:pPr>
              <w:rPr>
                <w:rFonts w:ascii="宋体" w:hAnsi="宋体" w:cs="宋体"/>
                <w:color w:val="auto"/>
                <w:szCs w:val="21"/>
                <w:highlight w:val="none"/>
              </w:rPr>
            </w:pPr>
            <w:r>
              <w:rPr>
                <w:rFonts w:ascii="宋体" w:hAnsi="宋体" w:cs="宋体"/>
                <w:color w:val="auto"/>
                <w:szCs w:val="21"/>
                <w:highlight w:val="none"/>
              </w:rPr>
              <w:t>投标人</w:t>
            </w:r>
            <w:r>
              <w:rPr>
                <w:rFonts w:ascii="宋体" w:hAnsi="宋体" w:cs="宋体"/>
                <w:b/>
                <w:bCs/>
                <w:color w:val="auto"/>
                <w:szCs w:val="21"/>
                <w:highlight w:val="none"/>
              </w:rPr>
              <w:t>（若为联合体投标，指联合体各单位）</w:t>
            </w:r>
            <w:r>
              <w:rPr>
                <w:rFonts w:ascii="宋体" w:hAnsi="宋体" w:cs="宋体"/>
                <w:color w:val="auto"/>
                <w:szCs w:val="21"/>
                <w:highlight w:val="none"/>
              </w:rPr>
              <w:t>未被列入拖欠农民工工资失信联合惩戒对象名单。</w:t>
            </w:r>
            <w:r>
              <w:rPr>
                <w:rFonts w:hint="eastAsia" w:ascii="宋体" w:hAnsi="宋体" w:cs="宋体"/>
                <w:color w:val="auto"/>
                <w:szCs w:val="21"/>
                <w:highlight w:val="none"/>
              </w:rPr>
              <w:t>（投标人无需提供资料，按投标截止时间交易系统比对的结果进行评审）</w:t>
            </w:r>
          </w:p>
        </w:tc>
      </w:tr>
      <w:tr w14:paraId="0CDF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dxa"/>
            <w:vAlign w:val="center"/>
          </w:tcPr>
          <w:p w14:paraId="203E1967">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12820" w:type="dxa"/>
            <w:vAlign w:val="center"/>
          </w:tcPr>
          <w:p w14:paraId="71748802">
            <w:pPr>
              <w:spacing w:line="360" w:lineRule="exact"/>
              <w:rPr>
                <w:rFonts w:ascii="宋体" w:hAnsi="宋体" w:cs="宋体"/>
                <w:color w:val="auto"/>
                <w:szCs w:val="21"/>
                <w:highlight w:val="none"/>
              </w:rPr>
            </w:pPr>
            <w:r>
              <w:rPr>
                <w:rFonts w:ascii="宋体" w:hAnsi="宋体" w:cs="宋体"/>
                <w:color w:val="auto"/>
                <w:szCs w:val="21"/>
                <w:highlight w:val="none"/>
              </w:rPr>
              <w:t>结论</w:t>
            </w:r>
          </w:p>
        </w:tc>
      </w:tr>
    </w:tbl>
    <w:p w14:paraId="4025A86D">
      <w:pPr>
        <w:spacing w:line="360" w:lineRule="auto"/>
        <w:ind w:right="848" w:rightChars="404"/>
        <w:rPr>
          <w:rFonts w:ascii="宋体" w:hAnsi="宋体" w:cs="宋体"/>
          <w:color w:val="auto"/>
          <w:szCs w:val="21"/>
          <w:highlight w:val="none"/>
        </w:rPr>
      </w:pPr>
      <w:r>
        <w:rPr>
          <w:rFonts w:hint="eastAsia" w:ascii="宋体" w:hAnsi="宋体" w:cs="宋体"/>
          <w:color w:val="auto"/>
          <w:szCs w:val="21"/>
          <w:highlight w:val="none"/>
        </w:rPr>
        <w:t>注：1.每一项目符合有效的记“通过”</w:t>
      </w:r>
      <w:r>
        <w:rPr>
          <w:rFonts w:hint="eastAsia" w:ascii="宋体" w:hAnsi="宋体" w:cs="宋体"/>
          <w:color w:val="auto"/>
          <w:szCs w:val="21"/>
          <w:highlight w:val="none"/>
          <w:lang w:eastAsia="zh-CN"/>
        </w:rPr>
        <w:t>，</w:t>
      </w:r>
      <w:r>
        <w:rPr>
          <w:rFonts w:hint="eastAsia" w:ascii="宋体" w:hAnsi="宋体" w:cs="宋体"/>
          <w:color w:val="auto"/>
          <w:szCs w:val="21"/>
          <w:highlight w:val="none"/>
        </w:rPr>
        <w:t>无效的记“不通过”，全部审查项目均为有效的，结论为“通过”，否则为“不通过”。</w:t>
      </w:r>
    </w:p>
    <w:p w14:paraId="7F1A9775">
      <w:pPr>
        <w:spacing w:line="360" w:lineRule="auto"/>
        <w:ind w:right="848" w:rightChars="404"/>
        <w:rPr>
          <w:rFonts w:ascii="宋体" w:hAnsi="宋体" w:cs="宋体"/>
          <w:color w:val="auto"/>
          <w:szCs w:val="21"/>
          <w:highlight w:val="none"/>
        </w:rPr>
      </w:pPr>
      <w:r>
        <w:rPr>
          <w:rFonts w:hint="eastAsia" w:ascii="宋体" w:hAnsi="宋体" w:cs="宋体"/>
          <w:color w:val="auto"/>
          <w:szCs w:val="21"/>
          <w:highlight w:val="none"/>
        </w:rPr>
        <w:t>2.如对本表中某种情形的评审意见不一致时，以评审组过半数成员的意见作为评审组对该情形的认定结论。</w:t>
      </w:r>
    </w:p>
    <w:p w14:paraId="19F5853A">
      <w:pPr>
        <w:pStyle w:val="11"/>
        <w:spacing w:line="360" w:lineRule="auto"/>
        <w:rPr>
          <w:rFonts w:cs="宋体"/>
          <w:color w:val="auto"/>
          <w:sz w:val="21"/>
          <w:szCs w:val="21"/>
          <w:highlight w:val="none"/>
        </w:rPr>
      </w:pPr>
      <w:r>
        <w:rPr>
          <w:rFonts w:hint="eastAsia" w:cs="宋体"/>
          <w:color w:val="auto"/>
          <w:sz w:val="21"/>
          <w:szCs w:val="21"/>
          <w:highlight w:val="none"/>
        </w:rPr>
        <w:t>3.资格审查资料按招标公告附件三要求提供。</w:t>
      </w:r>
    </w:p>
    <w:p w14:paraId="1199944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不得将文件顺序、明显的文字错误等列为否决投标的情形。评委发现文件中含义不明确、对同类问题表述不一致、有明显文字和计算错误的，应当要求投标人作必要的澄清、说明后再判定投标人是否通过审查，不得直接认定其不通过审查。</w:t>
      </w:r>
    </w:p>
    <w:p w14:paraId="23EA1DB8">
      <w:pPr>
        <w:spacing w:line="240" w:lineRule="auto"/>
        <w:jc w:val="left"/>
        <w:rPr>
          <w:rFonts w:hint="eastAsia" w:ascii="宋体" w:hAnsi="宋体" w:cs="宋体"/>
          <w:b/>
          <w:color w:val="auto"/>
          <w:sz w:val="28"/>
          <w:szCs w:val="28"/>
          <w:highlight w:val="none"/>
        </w:rPr>
      </w:pPr>
      <w:r>
        <w:rPr>
          <w:rFonts w:hint="eastAsia" w:ascii="宋体" w:hAnsi="宋体" w:cs="宋体"/>
          <w:color w:val="auto"/>
          <w:szCs w:val="21"/>
          <w:highlight w:val="none"/>
        </w:rPr>
        <w:t>评委签名：</w:t>
      </w:r>
      <w:r>
        <w:rPr>
          <w:rFonts w:hint="eastAsia" w:ascii="宋体" w:hAnsi="宋体" w:cs="宋体"/>
          <w:b/>
          <w:color w:val="auto"/>
          <w:sz w:val="28"/>
          <w:szCs w:val="28"/>
          <w:highlight w:val="none"/>
        </w:rPr>
        <w:br w:type="page"/>
      </w:r>
    </w:p>
    <w:p w14:paraId="54F06F9C">
      <w:pPr>
        <w:spacing w:line="400" w:lineRule="exact"/>
        <w:jc w:val="left"/>
        <w:rPr>
          <w:rFonts w:ascii="宋体" w:hAnsi="宋体" w:cs="宋体"/>
          <w:b/>
          <w:color w:val="auto"/>
          <w:kern w:val="1"/>
          <w:sz w:val="28"/>
          <w:szCs w:val="28"/>
          <w:highlight w:val="none"/>
        </w:rPr>
      </w:pPr>
      <w:r>
        <w:rPr>
          <w:rFonts w:hint="eastAsia" w:ascii="宋体" w:hAnsi="宋体" w:cs="宋体"/>
          <w:b/>
          <w:color w:val="auto"/>
          <w:sz w:val="28"/>
          <w:szCs w:val="28"/>
          <w:highlight w:val="none"/>
        </w:rPr>
        <w:t>附表</w:t>
      </w: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rPr>
        <w:t>：</w:t>
      </w:r>
    </w:p>
    <w:p w14:paraId="2ACEC7D5">
      <w:pPr>
        <w:jc w:val="center"/>
        <w:rPr>
          <w:rFonts w:ascii="宋体" w:hAnsi="宋体" w:cs="宋体"/>
          <w:b/>
          <w:color w:val="auto"/>
          <w:kern w:val="1"/>
          <w:sz w:val="28"/>
          <w:szCs w:val="28"/>
          <w:highlight w:val="none"/>
        </w:rPr>
      </w:pPr>
      <w:r>
        <w:rPr>
          <w:rFonts w:hint="eastAsia" w:ascii="宋体" w:hAnsi="宋体" w:cs="宋体"/>
          <w:b/>
          <w:color w:val="auto"/>
          <w:kern w:val="1"/>
          <w:sz w:val="28"/>
          <w:szCs w:val="28"/>
          <w:highlight w:val="none"/>
        </w:rPr>
        <w:t>工程总承包实施及运营管理方案响应性评审表</w:t>
      </w:r>
    </w:p>
    <w:tbl>
      <w:tblPr>
        <w:tblStyle w:val="20"/>
        <w:tblW w:w="1360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62"/>
        <w:gridCol w:w="1279"/>
        <w:gridCol w:w="7092"/>
        <w:gridCol w:w="1591"/>
        <w:gridCol w:w="1591"/>
        <w:gridCol w:w="1591"/>
      </w:tblGrid>
      <w:tr w14:paraId="353099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62" w:type="dxa"/>
            <w:vAlign w:val="center"/>
          </w:tcPr>
          <w:p w14:paraId="48A031A2">
            <w:pPr>
              <w:pStyle w:val="24"/>
              <w:jc w:val="center"/>
              <w:rPr>
                <w:rFonts w:ascii="宋体" w:hAnsi="宋体" w:cs="宋体"/>
                <w:color w:val="auto"/>
                <w:szCs w:val="21"/>
                <w:highlight w:val="none"/>
              </w:rPr>
            </w:pPr>
            <w:r>
              <w:rPr>
                <w:rFonts w:ascii="宋体" w:hAnsi="宋体" w:cs="宋体"/>
                <w:color w:val="auto"/>
                <w:szCs w:val="21"/>
                <w:highlight w:val="none"/>
              </w:rPr>
              <w:t>序号</w:t>
            </w:r>
          </w:p>
        </w:tc>
        <w:tc>
          <w:tcPr>
            <w:tcW w:w="1279" w:type="dxa"/>
            <w:vAlign w:val="center"/>
          </w:tcPr>
          <w:p w14:paraId="777A1AB2">
            <w:pPr>
              <w:pStyle w:val="24"/>
              <w:ind w:leftChars="-37" w:hanging="77" w:hangingChars="37"/>
              <w:jc w:val="center"/>
              <w:rPr>
                <w:rFonts w:ascii="宋体" w:hAnsi="宋体" w:cs="宋体"/>
                <w:color w:val="auto"/>
                <w:szCs w:val="21"/>
                <w:highlight w:val="none"/>
              </w:rPr>
            </w:pPr>
            <w:r>
              <w:rPr>
                <w:rFonts w:ascii="宋体" w:hAnsi="宋体" w:cs="宋体"/>
                <w:color w:val="auto"/>
                <w:szCs w:val="21"/>
                <w:highlight w:val="none"/>
              </w:rPr>
              <w:t>评审因素</w:t>
            </w:r>
          </w:p>
        </w:tc>
        <w:tc>
          <w:tcPr>
            <w:tcW w:w="7092" w:type="dxa"/>
            <w:vAlign w:val="center"/>
          </w:tcPr>
          <w:p w14:paraId="20BC9392">
            <w:pPr>
              <w:pStyle w:val="24"/>
              <w:ind w:firstLine="420" w:firstLineChars="200"/>
              <w:jc w:val="center"/>
              <w:rPr>
                <w:rFonts w:ascii="宋体" w:hAnsi="宋体" w:cs="宋体"/>
                <w:color w:val="auto"/>
                <w:szCs w:val="21"/>
                <w:highlight w:val="none"/>
              </w:rPr>
            </w:pPr>
            <w:r>
              <w:rPr>
                <w:rFonts w:ascii="宋体" w:hAnsi="宋体" w:cs="宋体"/>
                <w:color w:val="auto"/>
                <w:szCs w:val="21"/>
                <w:highlight w:val="none"/>
              </w:rPr>
              <w:t>评审标准</w:t>
            </w:r>
          </w:p>
        </w:tc>
        <w:tc>
          <w:tcPr>
            <w:tcW w:w="1591" w:type="dxa"/>
            <w:vAlign w:val="center"/>
          </w:tcPr>
          <w:p w14:paraId="00658D37">
            <w:pPr>
              <w:pStyle w:val="24"/>
              <w:ind w:firstLine="420" w:firstLineChars="200"/>
              <w:jc w:val="center"/>
              <w:rPr>
                <w:rFonts w:ascii="宋体" w:hAnsi="宋体" w:cs="宋体"/>
                <w:color w:val="auto"/>
                <w:szCs w:val="21"/>
                <w:highlight w:val="none"/>
              </w:rPr>
            </w:pPr>
          </w:p>
        </w:tc>
        <w:tc>
          <w:tcPr>
            <w:tcW w:w="1591" w:type="dxa"/>
            <w:vAlign w:val="center"/>
          </w:tcPr>
          <w:p w14:paraId="0DBEF184">
            <w:pPr>
              <w:pStyle w:val="24"/>
              <w:ind w:firstLine="420" w:firstLineChars="200"/>
              <w:jc w:val="center"/>
              <w:rPr>
                <w:rFonts w:ascii="宋体" w:hAnsi="宋体" w:cs="宋体"/>
                <w:color w:val="auto"/>
                <w:szCs w:val="21"/>
                <w:highlight w:val="none"/>
              </w:rPr>
            </w:pPr>
          </w:p>
        </w:tc>
        <w:tc>
          <w:tcPr>
            <w:tcW w:w="1591" w:type="dxa"/>
            <w:vAlign w:val="center"/>
          </w:tcPr>
          <w:p w14:paraId="20B5C42B">
            <w:pPr>
              <w:pStyle w:val="24"/>
              <w:ind w:firstLine="420" w:firstLineChars="200"/>
              <w:jc w:val="center"/>
              <w:rPr>
                <w:rFonts w:ascii="宋体" w:hAnsi="宋体" w:cs="宋体"/>
                <w:color w:val="auto"/>
                <w:szCs w:val="21"/>
                <w:highlight w:val="none"/>
              </w:rPr>
            </w:pPr>
          </w:p>
        </w:tc>
      </w:tr>
      <w:tr w14:paraId="543F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62" w:type="dxa"/>
            <w:vAlign w:val="center"/>
          </w:tcPr>
          <w:p w14:paraId="4BAF1421">
            <w:pPr>
              <w:pStyle w:val="24"/>
              <w:jc w:val="center"/>
              <w:rPr>
                <w:rFonts w:ascii="宋体" w:hAnsi="宋体" w:cs="宋体"/>
                <w:color w:val="auto"/>
                <w:szCs w:val="21"/>
                <w:highlight w:val="none"/>
              </w:rPr>
            </w:pPr>
            <w:r>
              <w:rPr>
                <w:rFonts w:ascii="宋体" w:hAnsi="宋体" w:cs="宋体"/>
                <w:color w:val="auto"/>
                <w:szCs w:val="21"/>
                <w:highlight w:val="none"/>
              </w:rPr>
              <w:t>1</w:t>
            </w:r>
          </w:p>
        </w:tc>
        <w:tc>
          <w:tcPr>
            <w:tcW w:w="1279" w:type="dxa"/>
            <w:vAlign w:val="center"/>
          </w:tcPr>
          <w:p w14:paraId="5C7468EB">
            <w:pPr>
              <w:spacing w:line="288" w:lineRule="auto"/>
              <w:jc w:val="center"/>
              <w:rPr>
                <w:rFonts w:ascii="宋体" w:hAnsi="宋体" w:cs="宋体"/>
                <w:color w:val="auto"/>
                <w:szCs w:val="21"/>
                <w:highlight w:val="none"/>
              </w:rPr>
            </w:pPr>
            <w:r>
              <w:rPr>
                <w:rFonts w:ascii="宋体" w:hAnsi="宋体" w:cs="宋体"/>
                <w:color w:val="auto"/>
                <w:szCs w:val="21"/>
                <w:highlight w:val="none"/>
              </w:rPr>
              <w:t>投标报价</w:t>
            </w:r>
          </w:p>
        </w:tc>
        <w:tc>
          <w:tcPr>
            <w:tcW w:w="7092" w:type="dxa"/>
            <w:vAlign w:val="center"/>
          </w:tcPr>
          <w:p w14:paraId="1C2FC798">
            <w:pPr>
              <w:jc w:val="both"/>
              <w:rPr>
                <w:rFonts w:ascii="宋体" w:hAnsi="宋体" w:cs="宋体"/>
                <w:color w:val="auto"/>
                <w:szCs w:val="21"/>
                <w:highlight w:val="none"/>
              </w:rPr>
            </w:pPr>
            <w:r>
              <w:rPr>
                <w:rFonts w:ascii="宋体" w:hAnsi="宋体" w:cs="宋体"/>
                <w:color w:val="auto"/>
                <w:szCs w:val="21"/>
                <w:highlight w:val="none"/>
              </w:rPr>
              <w:t>投标报价不高于最高投标限价的，并按招标文件</w:t>
            </w:r>
            <w:r>
              <w:rPr>
                <w:rStyle w:val="22"/>
                <w:rFonts w:ascii="宋体" w:hAnsi="宋体" w:cs="宋体"/>
                <w:color w:val="auto"/>
                <w:highlight w:val="none"/>
              </w:rPr>
              <w:t>第二章“投标人须知”第3.2款</w:t>
            </w:r>
            <w:r>
              <w:rPr>
                <w:rFonts w:ascii="宋体" w:hAnsi="宋体" w:cs="宋体"/>
                <w:color w:val="auto"/>
                <w:szCs w:val="21"/>
                <w:highlight w:val="none"/>
              </w:rPr>
              <w:t>要求报价的</w:t>
            </w:r>
          </w:p>
        </w:tc>
        <w:tc>
          <w:tcPr>
            <w:tcW w:w="1591" w:type="dxa"/>
            <w:vAlign w:val="center"/>
          </w:tcPr>
          <w:p w14:paraId="39968AD3">
            <w:pPr>
              <w:rPr>
                <w:rFonts w:ascii="宋体" w:hAnsi="宋体" w:cs="宋体"/>
                <w:color w:val="auto"/>
                <w:szCs w:val="21"/>
                <w:highlight w:val="none"/>
              </w:rPr>
            </w:pPr>
          </w:p>
        </w:tc>
        <w:tc>
          <w:tcPr>
            <w:tcW w:w="1591" w:type="dxa"/>
            <w:vAlign w:val="center"/>
          </w:tcPr>
          <w:p w14:paraId="250ABB2A">
            <w:pPr>
              <w:rPr>
                <w:rFonts w:ascii="宋体" w:hAnsi="宋体" w:cs="宋体"/>
                <w:color w:val="auto"/>
                <w:szCs w:val="21"/>
                <w:highlight w:val="none"/>
              </w:rPr>
            </w:pPr>
          </w:p>
        </w:tc>
        <w:tc>
          <w:tcPr>
            <w:tcW w:w="1591" w:type="dxa"/>
            <w:vAlign w:val="center"/>
          </w:tcPr>
          <w:p w14:paraId="06F1C6B1">
            <w:pPr>
              <w:rPr>
                <w:rFonts w:ascii="宋体" w:hAnsi="宋体" w:cs="宋体"/>
                <w:color w:val="auto"/>
                <w:szCs w:val="21"/>
                <w:highlight w:val="none"/>
              </w:rPr>
            </w:pPr>
          </w:p>
        </w:tc>
      </w:tr>
      <w:tr w14:paraId="187420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62" w:type="dxa"/>
            <w:vAlign w:val="center"/>
          </w:tcPr>
          <w:p w14:paraId="440749EA">
            <w:pPr>
              <w:pStyle w:val="24"/>
              <w:jc w:val="center"/>
              <w:rPr>
                <w:rFonts w:ascii="宋体" w:hAnsi="宋体" w:cs="宋体"/>
                <w:color w:val="auto"/>
                <w:szCs w:val="21"/>
                <w:highlight w:val="none"/>
              </w:rPr>
            </w:pPr>
            <w:r>
              <w:rPr>
                <w:rFonts w:ascii="宋体" w:hAnsi="宋体" w:cs="宋体"/>
                <w:color w:val="auto"/>
                <w:szCs w:val="21"/>
                <w:highlight w:val="none"/>
              </w:rPr>
              <w:t>2</w:t>
            </w:r>
          </w:p>
        </w:tc>
        <w:tc>
          <w:tcPr>
            <w:tcW w:w="1279" w:type="dxa"/>
            <w:vAlign w:val="center"/>
          </w:tcPr>
          <w:p w14:paraId="06B88884">
            <w:pPr>
              <w:spacing w:line="288" w:lineRule="auto"/>
              <w:jc w:val="center"/>
              <w:rPr>
                <w:rFonts w:ascii="宋体" w:hAnsi="宋体" w:cs="宋体"/>
                <w:color w:val="auto"/>
                <w:szCs w:val="21"/>
                <w:highlight w:val="none"/>
              </w:rPr>
            </w:pPr>
            <w:r>
              <w:rPr>
                <w:rFonts w:ascii="宋体" w:hAnsi="宋体" w:cs="宋体"/>
                <w:color w:val="auto"/>
                <w:szCs w:val="21"/>
                <w:highlight w:val="none"/>
              </w:rPr>
              <w:t>投标内容</w:t>
            </w:r>
          </w:p>
        </w:tc>
        <w:tc>
          <w:tcPr>
            <w:tcW w:w="7092" w:type="dxa"/>
            <w:vAlign w:val="center"/>
          </w:tcPr>
          <w:p w14:paraId="18006E5D">
            <w:pPr>
              <w:spacing w:line="288" w:lineRule="auto"/>
              <w:jc w:val="both"/>
              <w:rPr>
                <w:rFonts w:ascii="宋体" w:hAnsi="宋体" w:cs="宋体"/>
                <w:color w:val="auto"/>
                <w:szCs w:val="21"/>
                <w:highlight w:val="none"/>
              </w:rPr>
            </w:pPr>
            <w:r>
              <w:rPr>
                <w:rFonts w:ascii="宋体" w:hAnsi="宋体" w:cs="宋体"/>
                <w:color w:val="auto"/>
                <w:szCs w:val="21"/>
                <w:highlight w:val="none"/>
              </w:rPr>
              <w:t>投标内容满足本项目所有招标内容；（按投标人提供的投标函进行评审）</w:t>
            </w:r>
          </w:p>
        </w:tc>
        <w:tc>
          <w:tcPr>
            <w:tcW w:w="1591" w:type="dxa"/>
            <w:vAlign w:val="center"/>
          </w:tcPr>
          <w:p w14:paraId="02BE870F">
            <w:pPr>
              <w:spacing w:line="288" w:lineRule="auto"/>
              <w:rPr>
                <w:rFonts w:ascii="宋体" w:hAnsi="宋体" w:cs="宋体"/>
                <w:color w:val="auto"/>
                <w:szCs w:val="21"/>
                <w:highlight w:val="none"/>
              </w:rPr>
            </w:pPr>
          </w:p>
        </w:tc>
        <w:tc>
          <w:tcPr>
            <w:tcW w:w="1591" w:type="dxa"/>
            <w:vAlign w:val="center"/>
          </w:tcPr>
          <w:p w14:paraId="63D52279">
            <w:pPr>
              <w:spacing w:line="288" w:lineRule="auto"/>
              <w:rPr>
                <w:rFonts w:ascii="宋体" w:hAnsi="宋体" w:cs="宋体"/>
                <w:color w:val="auto"/>
                <w:szCs w:val="21"/>
                <w:highlight w:val="none"/>
              </w:rPr>
            </w:pPr>
          </w:p>
        </w:tc>
        <w:tc>
          <w:tcPr>
            <w:tcW w:w="1591" w:type="dxa"/>
            <w:vAlign w:val="center"/>
          </w:tcPr>
          <w:p w14:paraId="76A477C3">
            <w:pPr>
              <w:spacing w:line="288" w:lineRule="auto"/>
              <w:rPr>
                <w:rFonts w:ascii="宋体" w:hAnsi="宋体" w:cs="宋体"/>
                <w:color w:val="auto"/>
                <w:szCs w:val="21"/>
                <w:highlight w:val="none"/>
              </w:rPr>
            </w:pPr>
          </w:p>
        </w:tc>
      </w:tr>
      <w:tr w14:paraId="6A84D6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62" w:type="dxa"/>
            <w:vAlign w:val="center"/>
          </w:tcPr>
          <w:p w14:paraId="6E4D96DF">
            <w:pPr>
              <w:pStyle w:val="24"/>
              <w:jc w:val="center"/>
              <w:rPr>
                <w:rFonts w:ascii="宋体" w:hAnsi="宋体" w:cs="宋体"/>
                <w:color w:val="auto"/>
                <w:szCs w:val="21"/>
                <w:highlight w:val="none"/>
              </w:rPr>
            </w:pPr>
            <w:r>
              <w:rPr>
                <w:rFonts w:ascii="宋体" w:hAnsi="宋体" w:cs="宋体"/>
                <w:color w:val="auto"/>
                <w:szCs w:val="21"/>
                <w:highlight w:val="none"/>
              </w:rPr>
              <w:t>3</w:t>
            </w:r>
          </w:p>
        </w:tc>
        <w:tc>
          <w:tcPr>
            <w:tcW w:w="1279" w:type="dxa"/>
            <w:vAlign w:val="center"/>
          </w:tcPr>
          <w:p w14:paraId="03B37F8B">
            <w:pPr>
              <w:spacing w:line="288" w:lineRule="auto"/>
              <w:jc w:val="center"/>
              <w:rPr>
                <w:rFonts w:ascii="宋体" w:hAnsi="宋体" w:cs="宋体"/>
                <w:color w:val="auto"/>
                <w:szCs w:val="21"/>
                <w:highlight w:val="none"/>
              </w:rPr>
            </w:pPr>
            <w:r>
              <w:rPr>
                <w:rFonts w:ascii="宋体" w:hAnsi="宋体" w:cs="宋体"/>
                <w:color w:val="auto"/>
                <w:szCs w:val="21"/>
                <w:highlight w:val="none"/>
              </w:rPr>
              <w:t>工期</w:t>
            </w:r>
          </w:p>
        </w:tc>
        <w:tc>
          <w:tcPr>
            <w:tcW w:w="7092" w:type="dxa"/>
            <w:vAlign w:val="center"/>
          </w:tcPr>
          <w:p w14:paraId="2CF54E00">
            <w:pPr>
              <w:spacing w:line="288" w:lineRule="auto"/>
              <w:jc w:val="both"/>
              <w:rPr>
                <w:rFonts w:ascii="宋体" w:hAnsi="宋体" w:cs="宋体"/>
                <w:color w:val="auto"/>
                <w:szCs w:val="21"/>
                <w:highlight w:val="none"/>
              </w:rPr>
            </w:pPr>
            <w:r>
              <w:rPr>
                <w:rFonts w:ascii="宋体" w:hAnsi="宋体" w:cs="宋体"/>
                <w:color w:val="auto"/>
                <w:szCs w:val="21"/>
                <w:highlight w:val="none"/>
              </w:rPr>
              <w:t>能满足完成投标项目工期的</w:t>
            </w:r>
          </w:p>
        </w:tc>
        <w:tc>
          <w:tcPr>
            <w:tcW w:w="1591" w:type="dxa"/>
            <w:vAlign w:val="center"/>
          </w:tcPr>
          <w:p w14:paraId="5585F72F">
            <w:pPr>
              <w:spacing w:line="288" w:lineRule="auto"/>
              <w:rPr>
                <w:rFonts w:ascii="宋体" w:hAnsi="宋体" w:cs="宋体"/>
                <w:color w:val="auto"/>
                <w:szCs w:val="21"/>
                <w:highlight w:val="none"/>
              </w:rPr>
            </w:pPr>
          </w:p>
        </w:tc>
        <w:tc>
          <w:tcPr>
            <w:tcW w:w="1591" w:type="dxa"/>
            <w:vAlign w:val="center"/>
          </w:tcPr>
          <w:p w14:paraId="67CB0901">
            <w:pPr>
              <w:spacing w:line="288" w:lineRule="auto"/>
              <w:rPr>
                <w:rFonts w:ascii="宋体" w:hAnsi="宋体" w:cs="宋体"/>
                <w:color w:val="auto"/>
                <w:szCs w:val="21"/>
                <w:highlight w:val="none"/>
              </w:rPr>
            </w:pPr>
          </w:p>
        </w:tc>
        <w:tc>
          <w:tcPr>
            <w:tcW w:w="1591" w:type="dxa"/>
            <w:vAlign w:val="center"/>
          </w:tcPr>
          <w:p w14:paraId="304616FF">
            <w:pPr>
              <w:spacing w:line="288" w:lineRule="auto"/>
              <w:rPr>
                <w:rFonts w:ascii="宋体" w:hAnsi="宋体" w:cs="宋体"/>
                <w:color w:val="auto"/>
                <w:szCs w:val="21"/>
                <w:highlight w:val="none"/>
              </w:rPr>
            </w:pPr>
          </w:p>
        </w:tc>
      </w:tr>
      <w:tr w14:paraId="1502BB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62" w:type="dxa"/>
            <w:vAlign w:val="center"/>
          </w:tcPr>
          <w:p w14:paraId="50861FED">
            <w:pPr>
              <w:pStyle w:val="24"/>
              <w:jc w:val="center"/>
              <w:rPr>
                <w:rFonts w:ascii="宋体" w:hAnsi="宋体" w:cs="宋体"/>
                <w:color w:val="auto"/>
                <w:szCs w:val="21"/>
                <w:highlight w:val="none"/>
              </w:rPr>
            </w:pPr>
            <w:r>
              <w:rPr>
                <w:rFonts w:ascii="宋体" w:hAnsi="宋体" w:cs="宋体"/>
                <w:color w:val="auto"/>
                <w:szCs w:val="21"/>
                <w:highlight w:val="none"/>
              </w:rPr>
              <w:t>4</w:t>
            </w:r>
          </w:p>
        </w:tc>
        <w:tc>
          <w:tcPr>
            <w:tcW w:w="1279" w:type="dxa"/>
            <w:vAlign w:val="center"/>
          </w:tcPr>
          <w:p w14:paraId="57F33435">
            <w:pPr>
              <w:spacing w:line="288" w:lineRule="auto"/>
              <w:jc w:val="center"/>
              <w:rPr>
                <w:rFonts w:ascii="宋体" w:hAnsi="宋体" w:cs="宋体"/>
                <w:color w:val="auto"/>
                <w:szCs w:val="21"/>
                <w:highlight w:val="none"/>
              </w:rPr>
            </w:pPr>
            <w:r>
              <w:rPr>
                <w:rFonts w:ascii="宋体" w:hAnsi="宋体" w:cs="宋体"/>
                <w:color w:val="auto"/>
                <w:szCs w:val="21"/>
                <w:highlight w:val="none"/>
              </w:rPr>
              <w:t>质量标准</w:t>
            </w:r>
          </w:p>
        </w:tc>
        <w:tc>
          <w:tcPr>
            <w:tcW w:w="7092" w:type="dxa"/>
            <w:vAlign w:val="center"/>
          </w:tcPr>
          <w:p w14:paraId="56FA78AC">
            <w:pPr>
              <w:spacing w:line="288" w:lineRule="auto"/>
              <w:jc w:val="both"/>
              <w:rPr>
                <w:rFonts w:ascii="宋体" w:hAnsi="宋体" w:cs="宋体"/>
                <w:color w:val="auto"/>
                <w:szCs w:val="21"/>
                <w:highlight w:val="none"/>
              </w:rPr>
            </w:pPr>
            <w:r>
              <w:rPr>
                <w:rFonts w:ascii="宋体" w:hAnsi="宋体" w:cs="宋体"/>
                <w:color w:val="auto"/>
                <w:szCs w:val="21"/>
                <w:highlight w:val="none"/>
              </w:rPr>
              <w:t>符合招标文件</w:t>
            </w:r>
            <w:r>
              <w:rPr>
                <w:rStyle w:val="22"/>
                <w:rFonts w:ascii="宋体" w:hAnsi="宋体" w:cs="宋体"/>
                <w:color w:val="auto"/>
                <w:highlight w:val="none"/>
              </w:rPr>
              <w:t>第二章“投标人须知”第</w:t>
            </w:r>
            <w:r>
              <w:rPr>
                <w:rFonts w:ascii="宋体" w:hAnsi="宋体" w:cs="宋体"/>
                <w:color w:val="auto"/>
                <w:szCs w:val="21"/>
                <w:highlight w:val="none"/>
              </w:rPr>
              <w:t>1.3.3</w:t>
            </w:r>
            <w:r>
              <w:rPr>
                <w:rFonts w:ascii="宋体" w:hAnsi="宋体" w:cs="宋体"/>
                <w:bCs/>
                <w:color w:val="auto"/>
                <w:szCs w:val="21"/>
                <w:highlight w:val="none"/>
              </w:rPr>
              <w:t>款</w:t>
            </w:r>
            <w:r>
              <w:rPr>
                <w:rFonts w:ascii="宋体" w:hAnsi="宋体" w:cs="宋体"/>
                <w:color w:val="auto"/>
                <w:szCs w:val="21"/>
                <w:highlight w:val="none"/>
              </w:rPr>
              <w:t>要求</w:t>
            </w:r>
          </w:p>
        </w:tc>
        <w:tc>
          <w:tcPr>
            <w:tcW w:w="1591" w:type="dxa"/>
            <w:vAlign w:val="center"/>
          </w:tcPr>
          <w:p w14:paraId="3FEE44E3">
            <w:pPr>
              <w:spacing w:line="288" w:lineRule="auto"/>
              <w:rPr>
                <w:rFonts w:ascii="宋体" w:hAnsi="宋体" w:cs="宋体"/>
                <w:color w:val="auto"/>
                <w:szCs w:val="21"/>
                <w:highlight w:val="none"/>
              </w:rPr>
            </w:pPr>
          </w:p>
        </w:tc>
        <w:tc>
          <w:tcPr>
            <w:tcW w:w="1591" w:type="dxa"/>
            <w:vAlign w:val="center"/>
          </w:tcPr>
          <w:p w14:paraId="14637DF9">
            <w:pPr>
              <w:spacing w:line="288" w:lineRule="auto"/>
              <w:rPr>
                <w:rFonts w:ascii="宋体" w:hAnsi="宋体" w:cs="宋体"/>
                <w:color w:val="auto"/>
                <w:szCs w:val="21"/>
                <w:highlight w:val="none"/>
              </w:rPr>
            </w:pPr>
          </w:p>
        </w:tc>
        <w:tc>
          <w:tcPr>
            <w:tcW w:w="1591" w:type="dxa"/>
            <w:vAlign w:val="center"/>
          </w:tcPr>
          <w:p w14:paraId="09201622">
            <w:pPr>
              <w:spacing w:line="288" w:lineRule="auto"/>
              <w:rPr>
                <w:rFonts w:ascii="宋体" w:hAnsi="宋体" w:cs="宋体"/>
                <w:color w:val="auto"/>
                <w:szCs w:val="21"/>
                <w:highlight w:val="none"/>
              </w:rPr>
            </w:pPr>
          </w:p>
        </w:tc>
      </w:tr>
      <w:tr w14:paraId="33F1C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62" w:type="dxa"/>
            <w:vAlign w:val="center"/>
          </w:tcPr>
          <w:p w14:paraId="129BEC45">
            <w:pPr>
              <w:pStyle w:val="24"/>
              <w:jc w:val="center"/>
              <w:rPr>
                <w:rFonts w:ascii="宋体" w:hAnsi="宋体" w:cs="宋体"/>
                <w:color w:val="auto"/>
                <w:szCs w:val="21"/>
                <w:highlight w:val="none"/>
              </w:rPr>
            </w:pPr>
            <w:r>
              <w:rPr>
                <w:rFonts w:ascii="宋体" w:hAnsi="宋体" w:cs="宋体"/>
                <w:color w:val="auto"/>
                <w:szCs w:val="21"/>
                <w:highlight w:val="none"/>
              </w:rPr>
              <w:t>5</w:t>
            </w:r>
          </w:p>
        </w:tc>
        <w:tc>
          <w:tcPr>
            <w:tcW w:w="1279" w:type="dxa"/>
            <w:vAlign w:val="center"/>
          </w:tcPr>
          <w:p w14:paraId="1B1BFD4D">
            <w:pPr>
              <w:spacing w:line="288" w:lineRule="auto"/>
              <w:jc w:val="center"/>
              <w:rPr>
                <w:rFonts w:ascii="宋体" w:hAnsi="宋体" w:cs="宋体"/>
                <w:color w:val="auto"/>
                <w:szCs w:val="21"/>
                <w:highlight w:val="none"/>
              </w:rPr>
            </w:pPr>
            <w:r>
              <w:rPr>
                <w:rFonts w:ascii="宋体" w:hAnsi="宋体" w:cs="宋体"/>
                <w:color w:val="auto"/>
                <w:szCs w:val="21"/>
                <w:highlight w:val="none"/>
              </w:rPr>
              <w:t>保修期限</w:t>
            </w:r>
          </w:p>
        </w:tc>
        <w:tc>
          <w:tcPr>
            <w:tcW w:w="7092" w:type="dxa"/>
            <w:vAlign w:val="center"/>
          </w:tcPr>
          <w:p w14:paraId="639BD173">
            <w:pPr>
              <w:spacing w:line="288" w:lineRule="auto"/>
              <w:jc w:val="both"/>
              <w:rPr>
                <w:rFonts w:ascii="宋体" w:hAnsi="宋体" w:cs="宋体"/>
                <w:color w:val="auto"/>
                <w:szCs w:val="21"/>
                <w:highlight w:val="none"/>
              </w:rPr>
            </w:pPr>
            <w:r>
              <w:rPr>
                <w:rFonts w:ascii="宋体" w:hAnsi="宋体" w:cs="宋体"/>
                <w:color w:val="auto"/>
                <w:szCs w:val="21"/>
                <w:highlight w:val="none"/>
              </w:rPr>
              <w:t>符合招标文件</w:t>
            </w:r>
            <w:r>
              <w:rPr>
                <w:rStyle w:val="22"/>
                <w:rFonts w:ascii="宋体" w:hAnsi="宋体" w:cs="宋体"/>
                <w:color w:val="auto"/>
                <w:highlight w:val="none"/>
              </w:rPr>
              <w:t>第二章“投标人须知”第</w:t>
            </w:r>
            <w:r>
              <w:rPr>
                <w:rFonts w:ascii="宋体" w:hAnsi="宋体" w:cs="宋体"/>
                <w:bCs/>
                <w:color w:val="auto"/>
                <w:szCs w:val="21"/>
                <w:highlight w:val="none"/>
              </w:rPr>
              <w:t>9.6款</w:t>
            </w:r>
            <w:r>
              <w:rPr>
                <w:rFonts w:ascii="宋体" w:hAnsi="宋体" w:cs="宋体"/>
                <w:color w:val="auto"/>
                <w:szCs w:val="21"/>
                <w:highlight w:val="none"/>
              </w:rPr>
              <w:t>要求</w:t>
            </w:r>
          </w:p>
        </w:tc>
        <w:tc>
          <w:tcPr>
            <w:tcW w:w="1591" w:type="dxa"/>
          </w:tcPr>
          <w:p w14:paraId="3CDB8327">
            <w:pPr>
              <w:spacing w:line="288" w:lineRule="auto"/>
              <w:rPr>
                <w:rFonts w:ascii="宋体" w:hAnsi="宋体" w:cs="宋体"/>
                <w:bCs/>
                <w:color w:val="auto"/>
                <w:szCs w:val="21"/>
                <w:highlight w:val="none"/>
              </w:rPr>
            </w:pPr>
          </w:p>
        </w:tc>
        <w:tc>
          <w:tcPr>
            <w:tcW w:w="1591" w:type="dxa"/>
          </w:tcPr>
          <w:p w14:paraId="24D13F79">
            <w:pPr>
              <w:spacing w:line="288" w:lineRule="auto"/>
              <w:rPr>
                <w:rFonts w:ascii="宋体" w:hAnsi="宋体" w:cs="宋体"/>
                <w:bCs/>
                <w:color w:val="auto"/>
                <w:szCs w:val="21"/>
                <w:highlight w:val="none"/>
              </w:rPr>
            </w:pPr>
          </w:p>
        </w:tc>
        <w:tc>
          <w:tcPr>
            <w:tcW w:w="1591" w:type="dxa"/>
          </w:tcPr>
          <w:p w14:paraId="13C96110">
            <w:pPr>
              <w:spacing w:line="288" w:lineRule="auto"/>
              <w:rPr>
                <w:rFonts w:ascii="宋体" w:hAnsi="宋体" w:cs="宋体"/>
                <w:bCs/>
                <w:color w:val="auto"/>
                <w:szCs w:val="21"/>
                <w:highlight w:val="none"/>
              </w:rPr>
            </w:pPr>
          </w:p>
        </w:tc>
      </w:tr>
      <w:tr w14:paraId="038A08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62" w:type="dxa"/>
            <w:vAlign w:val="center"/>
          </w:tcPr>
          <w:p w14:paraId="09253E97">
            <w:pPr>
              <w:pStyle w:val="24"/>
              <w:jc w:val="center"/>
              <w:rPr>
                <w:rFonts w:ascii="宋体" w:hAnsi="宋体" w:cs="宋体"/>
                <w:color w:val="auto"/>
                <w:szCs w:val="21"/>
                <w:highlight w:val="none"/>
              </w:rPr>
            </w:pPr>
            <w:r>
              <w:rPr>
                <w:rFonts w:hint="eastAsia" w:ascii="宋体" w:hAnsi="宋体" w:cs="宋体"/>
                <w:color w:val="auto"/>
                <w:szCs w:val="21"/>
                <w:highlight w:val="none"/>
              </w:rPr>
              <w:t>6</w:t>
            </w:r>
          </w:p>
        </w:tc>
        <w:tc>
          <w:tcPr>
            <w:tcW w:w="1279" w:type="dxa"/>
            <w:vAlign w:val="center"/>
          </w:tcPr>
          <w:p w14:paraId="488E517C">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092" w:type="dxa"/>
            <w:vAlign w:val="center"/>
          </w:tcPr>
          <w:p w14:paraId="31E71B15">
            <w:pPr>
              <w:spacing w:line="288" w:lineRule="auto"/>
              <w:jc w:val="both"/>
              <w:rPr>
                <w:rFonts w:ascii="宋体" w:hAnsi="宋体" w:cs="宋体"/>
                <w:color w:val="auto"/>
                <w:szCs w:val="21"/>
                <w:highlight w:val="none"/>
              </w:rPr>
            </w:pPr>
            <w:r>
              <w:rPr>
                <w:rFonts w:hint="eastAsia" w:ascii="宋体" w:hAnsi="宋体" w:cs="宋体"/>
                <w:color w:val="auto"/>
                <w:szCs w:val="21"/>
                <w:highlight w:val="none"/>
              </w:rPr>
              <w:t>符合招标文件第二章“投标人须知”第3.4.1款规定</w:t>
            </w:r>
          </w:p>
        </w:tc>
        <w:tc>
          <w:tcPr>
            <w:tcW w:w="1591" w:type="dxa"/>
          </w:tcPr>
          <w:p w14:paraId="7CE40052">
            <w:pPr>
              <w:spacing w:line="288" w:lineRule="auto"/>
              <w:rPr>
                <w:rFonts w:ascii="宋体" w:hAnsi="宋体" w:cs="宋体"/>
                <w:bCs/>
                <w:color w:val="auto"/>
                <w:szCs w:val="21"/>
                <w:highlight w:val="none"/>
              </w:rPr>
            </w:pPr>
          </w:p>
        </w:tc>
        <w:tc>
          <w:tcPr>
            <w:tcW w:w="1591" w:type="dxa"/>
          </w:tcPr>
          <w:p w14:paraId="1D3E3BD7">
            <w:pPr>
              <w:spacing w:line="288" w:lineRule="auto"/>
              <w:rPr>
                <w:rFonts w:ascii="宋体" w:hAnsi="宋体" w:cs="宋体"/>
                <w:bCs/>
                <w:color w:val="auto"/>
                <w:szCs w:val="21"/>
                <w:highlight w:val="none"/>
              </w:rPr>
            </w:pPr>
          </w:p>
        </w:tc>
        <w:tc>
          <w:tcPr>
            <w:tcW w:w="1591" w:type="dxa"/>
          </w:tcPr>
          <w:p w14:paraId="0ED5A570">
            <w:pPr>
              <w:spacing w:line="288" w:lineRule="auto"/>
              <w:rPr>
                <w:rFonts w:ascii="宋体" w:hAnsi="宋体" w:cs="宋体"/>
                <w:bCs/>
                <w:color w:val="auto"/>
                <w:szCs w:val="21"/>
                <w:highlight w:val="none"/>
              </w:rPr>
            </w:pPr>
          </w:p>
        </w:tc>
      </w:tr>
      <w:tr w14:paraId="6328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62" w:type="dxa"/>
            <w:vAlign w:val="center"/>
          </w:tcPr>
          <w:p w14:paraId="4E463D30">
            <w:pPr>
              <w:pStyle w:val="24"/>
              <w:jc w:val="center"/>
              <w:rPr>
                <w:rFonts w:ascii="宋体" w:hAnsi="宋体" w:cs="宋体"/>
                <w:color w:val="auto"/>
                <w:szCs w:val="21"/>
                <w:highlight w:val="none"/>
              </w:rPr>
            </w:pPr>
            <w:r>
              <w:rPr>
                <w:rFonts w:hint="eastAsia" w:ascii="宋体" w:hAnsi="宋体" w:cs="宋体"/>
                <w:color w:val="auto"/>
                <w:szCs w:val="21"/>
                <w:highlight w:val="none"/>
              </w:rPr>
              <w:t>7</w:t>
            </w:r>
          </w:p>
        </w:tc>
        <w:tc>
          <w:tcPr>
            <w:tcW w:w="1279" w:type="dxa"/>
            <w:vAlign w:val="center"/>
          </w:tcPr>
          <w:p w14:paraId="13AC644A">
            <w:pPr>
              <w:spacing w:line="288" w:lineRule="auto"/>
              <w:jc w:val="center"/>
              <w:rPr>
                <w:rFonts w:ascii="宋体" w:hAnsi="宋体" w:cs="宋体"/>
                <w:color w:val="auto"/>
                <w:szCs w:val="21"/>
                <w:highlight w:val="none"/>
              </w:rPr>
            </w:pPr>
            <w:r>
              <w:rPr>
                <w:rFonts w:ascii="宋体" w:hAnsi="宋体" w:cs="宋体"/>
                <w:color w:val="auto"/>
                <w:szCs w:val="21"/>
                <w:highlight w:val="none"/>
              </w:rPr>
              <w:t>投标有效期</w:t>
            </w:r>
          </w:p>
        </w:tc>
        <w:tc>
          <w:tcPr>
            <w:tcW w:w="7092" w:type="dxa"/>
            <w:vAlign w:val="center"/>
          </w:tcPr>
          <w:p w14:paraId="0EE27FBB">
            <w:pPr>
              <w:spacing w:line="288" w:lineRule="auto"/>
              <w:jc w:val="both"/>
              <w:rPr>
                <w:rFonts w:ascii="宋体" w:hAnsi="宋体" w:cs="宋体"/>
                <w:color w:val="auto"/>
                <w:szCs w:val="21"/>
                <w:highlight w:val="none"/>
              </w:rPr>
            </w:pPr>
            <w:r>
              <w:rPr>
                <w:rFonts w:ascii="宋体" w:hAnsi="宋体" w:cs="宋体"/>
                <w:color w:val="auto"/>
                <w:szCs w:val="21"/>
                <w:highlight w:val="none"/>
              </w:rPr>
              <w:t>投标有效期能满足投标项目要求的</w:t>
            </w:r>
          </w:p>
        </w:tc>
        <w:tc>
          <w:tcPr>
            <w:tcW w:w="1591" w:type="dxa"/>
            <w:vAlign w:val="center"/>
          </w:tcPr>
          <w:p w14:paraId="18A6CBF5">
            <w:pPr>
              <w:spacing w:line="288" w:lineRule="auto"/>
              <w:rPr>
                <w:rFonts w:ascii="宋体" w:hAnsi="宋体" w:cs="宋体"/>
                <w:color w:val="auto"/>
                <w:szCs w:val="21"/>
                <w:highlight w:val="none"/>
              </w:rPr>
            </w:pPr>
          </w:p>
        </w:tc>
        <w:tc>
          <w:tcPr>
            <w:tcW w:w="1591" w:type="dxa"/>
            <w:vAlign w:val="center"/>
          </w:tcPr>
          <w:p w14:paraId="13E9EE52">
            <w:pPr>
              <w:spacing w:line="288" w:lineRule="auto"/>
              <w:rPr>
                <w:rFonts w:ascii="宋体" w:hAnsi="宋体" w:cs="宋体"/>
                <w:color w:val="auto"/>
                <w:szCs w:val="21"/>
                <w:highlight w:val="none"/>
              </w:rPr>
            </w:pPr>
          </w:p>
        </w:tc>
        <w:tc>
          <w:tcPr>
            <w:tcW w:w="1591" w:type="dxa"/>
            <w:vAlign w:val="center"/>
          </w:tcPr>
          <w:p w14:paraId="4AD36482">
            <w:pPr>
              <w:spacing w:line="288" w:lineRule="auto"/>
              <w:rPr>
                <w:rFonts w:ascii="宋体" w:hAnsi="宋体" w:cs="宋体"/>
                <w:color w:val="auto"/>
                <w:szCs w:val="21"/>
                <w:highlight w:val="none"/>
              </w:rPr>
            </w:pPr>
          </w:p>
        </w:tc>
      </w:tr>
      <w:tr w14:paraId="77183F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62" w:type="dxa"/>
            <w:vAlign w:val="center"/>
          </w:tcPr>
          <w:p w14:paraId="5D7F44C9">
            <w:pPr>
              <w:pStyle w:val="24"/>
              <w:jc w:val="center"/>
              <w:rPr>
                <w:rFonts w:ascii="宋体" w:hAnsi="宋体" w:cs="宋体"/>
                <w:color w:val="auto"/>
                <w:szCs w:val="21"/>
                <w:highlight w:val="none"/>
              </w:rPr>
            </w:pPr>
            <w:r>
              <w:rPr>
                <w:rFonts w:hint="eastAsia" w:ascii="宋体" w:hAnsi="宋体" w:cs="宋体"/>
                <w:color w:val="auto"/>
                <w:szCs w:val="21"/>
                <w:highlight w:val="none"/>
              </w:rPr>
              <w:t>8</w:t>
            </w:r>
          </w:p>
        </w:tc>
        <w:tc>
          <w:tcPr>
            <w:tcW w:w="1279" w:type="dxa"/>
            <w:vAlign w:val="center"/>
          </w:tcPr>
          <w:p w14:paraId="5EEAC25C">
            <w:pPr>
              <w:spacing w:line="288" w:lineRule="auto"/>
              <w:jc w:val="center"/>
              <w:rPr>
                <w:rFonts w:ascii="宋体" w:hAnsi="宋体" w:cs="宋体"/>
                <w:color w:val="auto"/>
                <w:szCs w:val="21"/>
                <w:highlight w:val="none"/>
              </w:rPr>
            </w:pPr>
            <w:r>
              <w:rPr>
                <w:rFonts w:ascii="宋体" w:hAnsi="宋体" w:cs="宋体"/>
                <w:color w:val="auto"/>
                <w:szCs w:val="21"/>
                <w:highlight w:val="none"/>
              </w:rPr>
              <w:t>合法合规性</w:t>
            </w:r>
          </w:p>
        </w:tc>
        <w:tc>
          <w:tcPr>
            <w:tcW w:w="7092" w:type="dxa"/>
            <w:vAlign w:val="center"/>
          </w:tcPr>
          <w:p w14:paraId="799D4290">
            <w:pPr>
              <w:spacing w:line="288" w:lineRule="auto"/>
              <w:jc w:val="both"/>
              <w:rPr>
                <w:rFonts w:ascii="宋体" w:hAnsi="宋体" w:cs="宋体"/>
                <w:b/>
                <w:color w:val="auto"/>
                <w:szCs w:val="21"/>
                <w:highlight w:val="none"/>
              </w:rPr>
            </w:pPr>
            <w:r>
              <w:rPr>
                <w:rFonts w:ascii="宋体" w:hAnsi="宋体" w:cs="宋体"/>
                <w:color w:val="auto"/>
                <w:szCs w:val="21"/>
                <w:highlight w:val="none"/>
              </w:rPr>
              <w:t>投标人之间不存在《广东省实施&lt;中华人民共和国招标投标法&gt;》第十六条所禁止的情形的</w:t>
            </w:r>
          </w:p>
        </w:tc>
        <w:tc>
          <w:tcPr>
            <w:tcW w:w="1591" w:type="dxa"/>
            <w:vAlign w:val="center"/>
          </w:tcPr>
          <w:p w14:paraId="57175A19">
            <w:pPr>
              <w:spacing w:line="288" w:lineRule="auto"/>
              <w:rPr>
                <w:rFonts w:ascii="宋体" w:hAnsi="宋体" w:cs="宋体"/>
                <w:color w:val="auto"/>
                <w:szCs w:val="21"/>
                <w:highlight w:val="none"/>
              </w:rPr>
            </w:pPr>
          </w:p>
        </w:tc>
        <w:tc>
          <w:tcPr>
            <w:tcW w:w="1591" w:type="dxa"/>
            <w:vAlign w:val="center"/>
          </w:tcPr>
          <w:p w14:paraId="1C6E7D1B">
            <w:pPr>
              <w:spacing w:line="288" w:lineRule="auto"/>
              <w:rPr>
                <w:rFonts w:ascii="宋体" w:hAnsi="宋体" w:cs="宋体"/>
                <w:color w:val="auto"/>
                <w:szCs w:val="21"/>
                <w:highlight w:val="none"/>
              </w:rPr>
            </w:pPr>
          </w:p>
        </w:tc>
        <w:tc>
          <w:tcPr>
            <w:tcW w:w="1591" w:type="dxa"/>
            <w:vAlign w:val="center"/>
          </w:tcPr>
          <w:p w14:paraId="4A2D7273">
            <w:pPr>
              <w:spacing w:line="288" w:lineRule="auto"/>
              <w:rPr>
                <w:rFonts w:ascii="宋体" w:hAnsi="宋体" w:cs="宋体"/>
                <w:color w:val="auto"/>
                <w:szCs w:val="21"/>
                <w:highlight w:val="none"/>
              </w:rPr>
            </w:pPr>
          </w:p>
        </w:tc>
      </w:tr>
      <w:tr w14:paraId="0868E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741" w:type="dxa"/>
            <w:gridSpan w:val="2"/>
            <w:vAlign w:val="center"/>
          </w:tcPr>
          <w:p w14:paraId="2A1A7AE0">
            <w:pPr>
              <w:spacing w:line="288" w:lineRule="auto"/>
              <w:jc w:val="center"/>
              <w:rPr>
                <w:rFonts w:ascii="宋体" w:hAnsi="宋体" w:cs="宋体"/>
                <w:color w:val="auto"/>
                <w:szCs w:val="21"/>
                <w:highlight w:val="none"/>
              </w:rPr>
            </w:pPr>
            <w:r>
              <w:rPr>
                <w:rFonts w:ascii="宋体" w:hAnsi="宋体" w:cs="宋体"/>
                <w:color w:val="auto"/>
                <w:szCs w:val="21"/>
                <w:highlight w:val="none"/>
              </w:rPr>
              <w:t>结论</w:t>
            </w:r>
          </w:p>
        </w:tc>
        <w:tc>
          <w:tcPr>
            <w:tcW w:w="7092" w:type="dxa"/>
            <w:vAlign w:val="center"/>
          </w:tcPr>
          <w:p w14:paraId="7C167CBF">
            <w:pPr>
              <w:spacing w:line="288" w:lineRule="auto"/>
              <w:rPr>
                <w:rFonts w:ascii="宋体" w:hAnsi="宋体" w:cs="宋体"/>
                <w:color w:val="auto"/>
                <w:szCs w:val="21"/>
                <w:highlight w:val="none"/>
              </w:rPr>
            </w:pPr>
          </w:p>
        </w:tc>
        <w:tc>
          <w:tcPr>
            <w:tcW w:w="1591" w:type="dxa"/>
            <w:vAlign w:val="center"/>
          </w:tcPr>
          <w:p w14:paraId="3C5D2009">
            <w:pPr>
              <w:spacing w:line="288" w:lineRule="auto"/>
              <w:rPr>
                <w:rFonts w:ascii="宋体" w:hAnsi="宋体" w:cs="宋体"/>
                <w:color w:val="auto"/>
                <w:szCs w:val="21"/>
                <w:highlight w:val="none"/>
              </w:rPr>
            </w:pPr>
          </w:p>
        </w:tc>
        <w:tc>
          <w:tcPr>
            <w:tcW w:w="1591" w:type="dxa"/>
            <w:vAlign w:val="center"/>
          </w:tcPr>
          <w:p w14:paraId="3BD476FA">
            <w:pPr>
              <w:spacing w:line="288" w:lineRule="auto"/>
              <w:rPr>
                <w:rFonts w:ascii="宋体" w:hAnsi="宋体" w:cs="宋体"/>
                <w:color w:val="auto"/>
                <w:szCs w:val="21"/>
                <w:highlight w:val="none"/>
              </w:rPr>
            </w:pPr>
          </w:p>
        </w:tc>
        <w:tc>
          <w:tcPr>
            <w:tcW w:w="1591" w:type="dxa"/>
            <w:vAlign w:val="center"/>
          </w:tcPr>
          <w:p w14:paraId="24F6B731">
            <w:pPr>
              <w:spacing w:line="288" w:lineRule="auto"/>
              <w:rPr>
                <w:rFonts w:ascii="宋体" w:hAnsi="宋体" w:cs="宋体"/>
                <w:color w:val="auto"/>
                <w:szCs w:val="21"/>
                <w:highlight w:val="none"/>
              </w:rPr>
            </w:pPr>
          </w:p>
        </w:tc>
      </w:tr>
    </w:tbl>
    <w:p w14:paraId="6C98964B">
      <w:pPr>
        <w:ind w:right="848" w:rightChars="404"/>
        <w:rPr>
          <w:rFonts w:ascii="宋体" w:hAnsi="宋体" w:cs="宋体"/>
          <w:color w:val="auto"/>
          <w:szCs w:val="21"/>
          <w:highlight w:val="none"/>
        </w:rPr>
      </w:pPr>
      <w:r>
        <w:rPr>
          <w:rFonts w:hint="eastAsia" w:ascii="宋体" w:hAnsi="宋体" w:cs="宋体"/>
          <w:color w:val="auto"/>
          <w:szCs w:val="21"/>
          <w:highlight w:val="none"/>
        </w:rPr>
        <w:t>注：1.每一项目符合有效的记“通过”</w:t>
      </w:r>
      <w:r>
        <w:rPr>
          <w:rFonts w:hint="eastAsia" w:ascii="宋体" w:hAnsi="宋体" w:cs="宋体"/>
          <w:color w:val="auto"/>
          <w:szCs w:val="21"/>
          <w:highlight w:val="none"/>
          <w:lang w:eastAsia="zh-CN"/>
        </w:rPr>
        <w:t>，</w:t>
      </w:r>
      <w:r>
        <w:rPr>
          <w:rFonts w:hint="eastAsia" w:ascii="宋体" w:hAnsi="宋体" w:cs="宋体"/>
          <w:color w:val="auto"/>
          <w:szCs w:val="21"/>
          <w:highlight w:val="none"/>
        </w:rPr>
        <w:t>无效的记“不通过”，全部审查项目均为有效的，结论为“通过”，否则为“不通过”。</w:t>
      </w:r>
    </w:p>
    <w:p w14:paraId="6F7C35A1">
      <w:pPr>
        <w:ind w:right="848" w:rightChars="404"/>
        <w:rPr>
          <w:rFonts w:ascii="宋体" w:hAnsi="宋体" w:cs="宋体"/>
          <w:color w:val="auto"/>
          <w:szCs w:val="21"/>
          <w:highlight w:val="none"/>
        </w:rPr>
      </w:pPr>
      <w:r>
        <w:rPr>
          <w:rFonts w:hint="eastAsia" w:ascii="宋体" w:hAnsi="宋体" w:cs="宋体"/>
          <w:color w:val="auto"/>
          <w:szCs w:val="21"/>
          <w:highlight w:val="none"/>
        </w:rPr>
        <w:t>2.如对本表中某种情形的评审意见不一致时，以评审组过半数成员的意见作为评审组对该情形的认定结论。</w:t>
      </w:r>
    </w:p>
    <w:p w14:paraId="09DE20AC">
      <w:pPr>
        <w:rPr>
          <w:rFonts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文件中含义不明确、对同类问题表述不一致、有明显文字和计算错误的，应当要求投标人作必要的澄清、说明后再判定投标人是否通过审查，不得直接认定其不通过审查。</w:t>
      </w:r>
    </w:p>
    <w:p w14:paraId="4E9F07F5">
      <w:pPr>
        <w:widowControl/>
        <w:jc w:val="left"/>
        <w:rPr>
          <w:rFonts w:hint="eastAsia" w:ascii="宋体" w:hAnsi="宋体" w:cs="宋体"/>
          <w:b w:val="0"/>
          <w:color w:val="auto"/>
          <w:kern w:val="0"/>
          <w:sz w:val="21"/>
          <w:szCs w:val="21"/>
          <w:highlight w:val="none"/>
        </w:rPr>
      </w:pPr>
      <w:r>
        <w:rPr>
          <w:rFonts w:hint="eastAsia" w:ascii="宋体" w:hAnsi="宋体" w:cs="宋体"/>
          <w:color w:val="auto"/>
          <w:szCs w:val="21"/>
          <w:highlight w:val="none"/>
        </w:rPr>
        <w:t xml:space="preserve">评委签名： </w:t>
      </w:r>
      <w:bookmarkStart w:id="630" w:name="_Hlk56412681"/>
      <w:bookmarkStart w:id="631" w:name="_Hlk56515308"/>
      <w:r>
        <w:rPr>
          <w:rFonts w:hint="eastAsia" w:ascii="宋体" w:hAnsi="宋体" w:cs="宋体"/>
          <w:color w:val="auto"/>
          <w:sz w:val="24"/>
          <w:highlight w:val="none"/>
        </w:rPr>
        <w:t xml:space="preserve">                                               </w:t>
      </w:r>
      <w:r>
        <w:rPr>
          <w:rFonts w:hint="eastAsia" w:ascii="宋体" w:hAnsi="宋体" w:cs="宋体"/>
          <w:color w:val="auto"/>
          <w:sz w:val="21"/>
          <w:szCs w:val="21"/>
          <w:highlight w:val="none"/>
        </w:rPr>
        <w:t>日期：</w:t>
      </w:r>
      <w:bookmarkEnd w:id="630"/>
    </w:p>
    <w:p w14:paraId="470AF78B">
      <w:pPr>
        <w:widowControl/>
        <w:jc w:val="left"/>
        <w:rPr>
          <w:rFonts w:hint="eastAsia" w:ascii="宋体" w:hAnsi="宋体" w:eastAsia="宋体" w:cs="宋体"/>
          <w:b/>
          <w:color w:val="auto"/>
          <w:kern w:val="1"/>
          <w:sz w:val="24"/>
          <w:szCs w:val="24"/>
          <w:highlight w:val="none"/>
          <w:lang w:eastAsia="zh-CN"/>
        </w:rPr>
      </w:pPr>
      <w:r>
        <w:rPr>
          <w:rFonts w:ascii="宋体" w:hAnsi="宋体" w:cs="宋体"/>
          <w:b/>
          <w:color w:val="auto"/>
          <w:kern w:val="1"/>
          <w:sz w:val="24"/>
          <w:szCs w:val="24"/>
          <w:highlight w:val="none"/>
        </w:rPr>
        <w:br w:type="page"/>
      </w:r>
      <w:r>
        <w:rPr>
          <w:rFonts w:hint="eastAsia" w:ascii="宋体" w:hAnsi="宋体" w:cs="宋体"/>
          <w:b/>
          <w:color w:val="auto"/>
          <w:kern w:val="1"/>
          <w:sz w:val="24"/>
          <w:szCs w:val="24"/>
          <w:highlight w:val="none"/>
        </w:rPr>
        <w:t>附表</w:t>
      </w:r>
      <w:r>
        <w:rPr>
          <w:rFonts w:hint="eastAsia" w:ascii="宋体" w:hAnsi="宋体" w:cs="宋体"/>
          <w:b/>
          <w:color w:val="auto"/>
          <w:kern w:val="1"/>
          <w:sz w:val="24"/>
          <w:szCs w:val="24"/>
          <w:highlight w:val="none"/>
          <w:lang w:val="en-US" w:eastAsia="zh-CN"/>
        </w:rPr>
        <w:t>4</w:t>
      </w:r>
    </w:p>
    <w:bookmarkEnd w:id="631"/>
    <w:p w14:paraId="3A99078C">
      <w:pPr>
        <w:jc w:val="center"/>
        <w:rPr>
          <w:rFonts w:ascii="宋体" w:hAnsi="宋体" w:cs="宋体"/>
          <w:b/>
          <w:color w:val="auto"/>
          <w:sz w:val="28"/>
          <w:szCs w:val="28"/>
          <w:highlight w:val="none"/>
        </w:rPr>
      </w:pPr>
      <w:r>
        <w:rPr>
          <w:rFonts w:hint="eastAsia" w:ascii="宋体" w:hAnsi="宋体"/>
          <w:b/>
          <w:color w:val="auto"/>
          <w:sz w:val="30"/>
          <w:szCs w:val="30"/>
          <w:highlight w:val="none"/>
        </w:rPr>
        <w:t>工程总承包实施及运营管理方案技术部分</w:t>
      </w:r>
      <w:r>
        <w:rPr>
          <w:rFonts w:hint="eastAsia" w:ascii="宋体" w:hAnsi="宋体" w:cs="宋体"/>
          <w:b/>
          <w:color w:val="auto"/>
          <w:sz w:val="28"/>
          <w:szCs w:val="28"/>
          <w:highlight w:val="none"/>
        </w:rPr>
        <w:t>详细审查评分标准</w:t>
      </w:r>
    </w:p>
    <w:p w14:paraId="0C465DB8">
      <w:pPr>
        <w:spacing w:line="360" w:lineRule="auto"/>
        <w:rPr>
          <w:rFonts w:hint="eastAsia" w:ascii="宋体" w:hAnsi="宋体" w:cs="宋体"/>
          <w:bCs/>
          <w:snapToGrid w:val="0"/>
          <w:color w:val="auto"/>
          <w:spacing w:val="-10"/>
          <w:szCs w:val="21"/>
          <w:highlight w:val="none"/>
        </w:rPr>
      </w:pPr>
      <w:r>
        <w:rPr>
          <w:rFonts w:hint="eastAsia" w:ascii="宋体" w:hAnsi="宋体" w:cs="宋体"/>
          <w:bCs/>
          <w:snapToGrid w:val="0"/>
          <w:color w:val="auto"/>
          <w:spacing w:val="-10"/>
          <w:szCs w:val="21"/>
          <w:highlight w:val="none"/>
        </w:rPr>
        <w:t>项目名称：</w:t>
      </w:r>
    </w:p>
    <w:tbl>
      <w:tblPr>
        <w:tblStyle w:val="20"/>
        <w:tblW w:w="14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879"/>
        <w:gridCol w:w="1365"/>
        <w:gridCol w:w="11511"/>
      </w:tblGrid>
      <w:tr w14:paraId="2E9B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trPr>
        <w:tc>
          <w:tcPr>
            <w:tcW w:w="729" w:type="dxa"/>
            <w:vAlign w:val="center"/>
          </w:tcPr>
          <w:p w14:paraId="0282260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244" w:type="dxa"/>
            <w:gridSpan w:val="2"/>
            <w:vAlign w:val="center"/>
          </w:tcPr>
          <w:p w14:paraId="3DDC750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评审项目</w:t>
            </w:r>
          </w:p>
        </w:tc>
        <w:tc>
          <w:tcPr>
            <w:tcW w:w="11511" w:type="dxa"/>
            <w:vAlign w:val="center"/>
          </w:tcPr>
          <w:p w14:paraId="77DF1D9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r>
      <w:tr w14:paraId="1FDE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9" w:type="dxa"/>
            <w:vMerge w:val="restart"/>
            <w:vAlign w:val="center"/>
          </w:tcPr>
          <w:p w14:paraId="203C77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879" w:type="dxa"/>
            <w:vMerge w:val="restart"/>
            <w:vAlign w:val="center"/>
          </w:tcPr>
          <w:p w14:paraId="0371644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资信部分（36分）</w:t>
            </w:r>
          </w:p>
        </w:tc>
        <w:tc>
          <w:tcPr>
            <w:tcW w:w="1365" w:type="dxa"/>
            <w:vAlign w:val="center"/>
          </w:tcPr>
          <w:p w14:paraId="2792C10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tc>
        <w:tc>
          <w:tcPr>
            <w:tcW w:w="11511" w:type="dxa"/>
            <w:vAlign w:val="center"/>
          </w:tcPr>
          <w:p w14:paraId="6283E975">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rPr>
              <w:t>若为联合体，指联合体承担施工任务中</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负责人所在单位</w:t>
            </w:r>
            <w:r>
              <w:rPr>
                <w:rFonts w:hint="eastAsia" w:ascii="宋体" w:hAnsi="宋体" w:eastAsia="宋体" w:cs="宋体"/>
                <w:color w:val="auto"/>
                <w:szCs w:val="21"/>
                <w:highlight w:val="none"/>
                <w:lang w:val="zh-CN"/>
              </w:rPr>
              <w:t>）自20</w:t>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zh-CN"/>
              </w:rPr>
              <w:t>年1月1日至投标截止时间止，</w:t>
            </w:r>
            <w:r>
              <w:rPr>
                <w:rFonts w:hint="eastAsia" w:ascii="宋体" w:hAnsi="宋体" w:eastAsia="宋体" w:cs="宋体"/>
                <w:color w:val="auto"/>
                <w:szCs w:val="21"/>
                <w:highlight w:val="none"/>
              </w:rPr>
              <w:t>完成过质量合格的大于或等于</w:t>
            </w:r>
            <w:r>
              <w:rPr>
                <w:rFonts w:hint="eastAsia" w:ascii="宋体" w:hAnsi="宋体" w:eastAsia="宋体" w:cs="宋体"/>
                <w:color w:val="auto"/>
                <w:szCs w:val="21"/>
                <w:highlight w:val="none"/>
                <w:lang w:val="en-US" w:eastAsia="zh-CN"/>
              </w:rPr>
              <w:t>20000</w:t>
            </w:r>
            <w:r>
              <w:rPr>
                <w:rFonts w:hint="eastAsia" w:ascii="宋体" w:hAnsi="宋体" w:eastAsia="宋体" w:cs="宋体"/>
                <w:color w:val="auto"/>
                <w:szCs w:val="21"/>
                <w:highlight w:val="none"/>
              </w:rPr>
              <w:t>万元的</w:t>
            </w:r>
            <w:r>
              <w:rPr>
                <w:rFonts w:hint="eastAsia" w:ascii="宋体" w:hAnsi="宋体" w:eastAsia="宋体" w:cs="宋体"/>
                <w:color w:val="auto"/>
                <w:szCs w:val="21"/>
                <w:highlight w:val="none"/>
                <w:lang w:val="zh-CN"/>
              </w:rPr>
              <w:t>房屋建筑工程</w:t>
            </w:r>
            <w:r>
              <w:rPr>
                <w:rFonts w:hint="eastAsia" w:ascii="宋体" w:hAnsi="宋体" w:eastAsia="宋体" w:cs="宋体"/>
                <w:color w:val="auto"/>
                <w:szCs w:val="21"/>
                <w:highlight w:val="none"/>
              </w:rPr>
              <w:t>施工业绩，完成过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项及以上（含</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项）的，得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分；完成过</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项的，得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分；完成过1-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val="zh-TW"/>
              </w:rPr>
              <w:t>满足上述条件的不得分，</w:t>
            </w:r>
            <w:r>
              <w:rPr>
                <w:rFonts w:hint="eastAsia" w:ascii="宋体" w:hAnsi="宋体" w:eastAsia="宋体" w:cs="宋体"/>
                <w:color w:val="auto"/>
                <w:szCs w:val="21"/>
                <w:highlight w:val="none"/>
                <w:lang w:val="zh-CN"/>
              </w:rPr>
              <w:t>本小项最多得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分。</w:t>
            </w:r>
          </w:p>
          <w:p w14:paraId="18D96E5C">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2、投标人（若为联合体，指</w:t>
            </w:r>
            <w:r>
              <w:rPr>
                <w:rFonts w:hint="eastAsia" w:ascii="宋体" w:hAnsi="宋体" w:eastAsia="宋体" w:cs="宋体"/>
                <w:color w:val="auto"/>
                <w:szCs w:val="21"/>
                <w:highlight w:val="none"/>
                <w:lang w:val="en-US" w:eastAsia="zh-CN"/>
              </w:rPr>
              <w:t>联合体</w:t>
            </w:r>
            <w:r>
              <w:rPr>
                <w:rFonts w:hint="eastAsia" w:ascii="宋体" w:hAnsi="宋体" w:eastAsia="宋体" w:cs="宋体"/>
                <w:color w:val="auto"/>
                <w:szCs w:val="21"/>
                <w:highlight w:val="none"/>
                <w:lang w:val="zh-CN"/>
              </w:rPr>
              <w:t>承担设计任务的单位）自</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lang w:val="zh-CN"/>
              </w:rPr>
              <w:t>年1月1日至投标截止时间止，完成过</w:t>
            </w:r>
            <w:r>
              <w:rPr>
                <w:rFonts w:hint="eastAsia" w:ascii="宋体" w:hAnsi="宋体" w:eastAsia="宋体" w:cs="宋体"/>
                <w:color w:val="auto"/>
                <w:szCs w:val="21"/>
                <w:highlight w:val="none"/>
              </w:rPr>
              <w:t>设计费大于或等于500万元或建筑面积大于或等于16万平方米</w:t>
            </w:r>
            <w:r>
              <w:rPr>
                <w:rFonts w:hint="eastAsia" w:ascii="宋体" w:hAnsi="宋体" w:eastAsia="宋体" w:cs="宋体"/>
                <w:color w:val="auto"/>
                <w:szCs w:val="21"/>
                <w:highlight w:val="none"/>
                <w:lang w:val="zh-CN"/>
              </w:rPr>
              <w:t>的房屋建筑工程设计业绩，</w:t>
            </w:r>
            <w:r>
              <w:rPr>
                <w:rFonts w:hint="eastAsia" w:ascii="宋体" w:hAnsi="宋体" w:eastAsia="宋体" w:cs="宋体"/>
                <w:color w:val="auto"/>
                <w:szCs w:val="21"/>
                <w:highlight w:val="none"/>
                <w:lang w:val="en-US" w:eastAsia="zh-CN"/>
              </w:rPr>
              <w:t>每项</w:t>
            </w:r>
            <w:r>
              <w:rPr>
                <w:rFonts w:hint="eastAsia" w:ascii="宋体" w:hAnsi="宋体" w:eastAsia="宋体" w:cs="宋体"/>
                <w:color w:val="auto"/>
                <w:szCs w:val="21"/>
                <w:highlight w:val="none"/>
              </w:rPr>
              <w:t>得1分。</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val="zh-TW"/>
              </w:rPr>
              <w:t>满足上述条件的不得分，</w:t>
            </w:r>
            <w:r>
              <w:rPr>
                <w:rFonts w:hint="eastAsia" w:ascii="宋体" w:hAnsi="宋体" w:eastAsia="宋体" w:cs="宋体"/>
                <w:color w:val="auto"/>
                <w:szCs w:val="21"/>
                <w:highlight w:val="none"/>
                <w:lang w:val="zh-CN"/>
              </w:rPr>
              <w:t>本小项最多得</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 xml:space="preserve">分。 </w:t>
            </w:r>
          </w:p>
        </w:tc>
      </w:tr>
      <w:tr w14:paraId="48C7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vMerge w:val="continue"/>
            <w:vAlign w:val="center"/>
          </w:tcPr>
          <w:p w14:paraId="3B0A87DB">
            <w:pPr>
              <w:spacing w:line="360" w:lineRule="auto"/>
              <w:jc w:val="center"/>
              <w:rPr>
                <w:rFonts w:hint="eastAsia" w:ascii="宋体" w:hAnsi="宋体" w:eastAsia="宋体" w:cs="宋体"/>
                <w:color w:val="auto"/>
                <w:szCs w:val="21"/>
                <w:highlight w:val="none"/>
              </w:rPr>
            </w:pPr>
          </w:p>
        </w:tc>
        <w:tc>
          <w:tcPr>
            <w:tcW w:w="879" w:type="dxa"/>
            <w:vMerge w:val="continue"/>
            <w:vAlign w:val="center"/>
          </w:tcPr>
          <w:p w14:paraId="3C9FB879">
            <w:pPr>
              <w:jc w:val="center"/>
              <w:rPr>
                <w:rFonts w:hint="eastAsia" w:ascii="宋体" w:hAnsi="宋体" w:eastAsia="宋体" w:cs="宋体"/>
                <w:color w:val="auto"/>
                <w:szCs w:val="21"/>
                <w:highlight w:val="none"/>
              </w:rPr>
            </w:pPr>
          </w:p>
        </w:tc>
        <w:tc>
          <w:tcPr>
            <w:tcW w:w="1365" w:type="dxa"/>
            <w:vAlign w:val="center"/>
          </w:tcPr>
          <w:p w14:paraId="74828CA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工程获奖（12分）</w:t>
            </w:r>
          </w:p>
        </w:tc>
        <w:tc>
          <w:tcPr>
            <w:tcW w:w="11511" w:type="dxa"/>
            <w:vAlign w:val="center"/>
          </w:tcPr>
          <w:p w14:paraId="3EED1F1D">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rPr>
              <w:t>若为联合体，指联合体承担施工任务中</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负责人所在单位</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zh-CN"/>
              </w:rPr>
              <w:t>年1月1日至投标截止时间止，完成过的房屋建筑工程项目：获得过国家级奖</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zh-CN"/>
              </w:rPr>
              <w:t>的，每项得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分；获得过省级奖</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zh-CN"/>
              </w:rPr>
              <w:t>的，每项得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分；获得过市级（含副省）奖</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zh-CN"/>
              </w:rPr>
              <w:t>的，每项得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分。本小项最多得</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分。</w:t>
            </w:r>
          </w:p>
        </w:tc>
      </w:tr>
      <w:tr w14:paraId="4A2E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vMerge w:val="continue"/>
            <w:vAlign w:val="center"/>
          </w:tcPr>
          <w:p w14:paraId="7EEA6AFA">
            <w:pPr>
              <w:spacing w:line="360" w:lineRule="auto"/>
              <w:jc w:val="center"/>
              <w:rPr>
                <w:rFonts w:hint="eastAsia" w:ascii="宋体" w:hAnsi="宋体" w:eastAsia="宋体" w:cs="宋体"/>
                <w:color w:val="auto"/>
                <w:szCs w:val="21"/>
                <w:highlight w:val="none"/>
              </w:rPr>
            </w:pPr>
          </w:p>
        </w:tc>
        <w:tc>
          <w:tcPr>
            <w:tcW w:w="879" w:type="dxa"/>
            <w:vMerge w:val="continue"/>
            <w:vAlign w:val="center"/>
          </w:tcPr>
          <w:p w14:paraId="3C5344CC">
            <w:pPr>
              <w:jc w:val="center"/>
              <w:rPr>
                <w:rFonts w:hint="eastAsia" w:ascii="宋体" w:hAnsi="宋体" w:eastAsia="宋体" w:cs="宋体"/>
                <w:color w:val="auto"/>
                <w:szCs w:val="21"/>
                <w:highlight w:val="none"/>
              </w:rPr>
            </w:pPr>
          </w:p>
        </w:tc>
        <w:tc>
          <w:tcPr>
            <w:tcW w:w="1365" w:type="dxa"/>
            <w:vAlign w:val="center"/>
          </w:tcPr>
          <w:p w14:paraId="15FB990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企业研发能力</w:t>
            </w:r>
          </w:p>
          <w:p w14:paraId="766D4F3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11511" w:type="dxa"/>
            <w:vAlign w:val="center"/>
          </w:tcPr>
          <w:p w14:paraId="3822D8A5">
            <w:pPr>
              <w:pStyle w:val="17"/>
              <w:widowControl/>
              <w:spacing w:before="0" w:beforeAutospacing="0" w:after="0" w:afterAutospacing="0"/>
              <w:ind w:right="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投标人自2022年1月1日至投标截止时间止，获得过建筑工程类科学技术进步奖或科学技术奖： </w:t>
            </w:r>
          </w:p>
          <w:p w14:paraId="3FF2C8A8">
            <w:pPr>
              <w:pStyle w:val="17"/>
              <w:widowControl/>
              <w:numPr>
                <w:ilvl w:val="0"/>
                <w:numId w:val="0"/>
              </w:numPr>
              <w:spacing w:before="0" w:beforeAutospacing="0" w:after="0" w:afterAutospacing="0"/>
              <w:ind w:right="0" w:righ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①获得过国家级的，每项得2分，最高得6分。</w:t>
            </w:r>
          </w:p>
          <w:p w14:paraId="690D8226">
            <w:pPr>
              <w:pStyle w:val="17"/>
              <w:widowControl/>
              <w:numPr>
                <w:ilvl w:val="0"/>
                <w:numId w:val="0"/>
              </w:numPr>
              <w:spacing w:before="0" w:beforeAutospacing="0" w:after="0" w:afterAutospacing="0"/>
              <w:ind w:right="0" w:righ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②获得过省级的，每项得1分，最高得6分。</w:t>
            </w:r>
          </w:p>
          <w:p w14:paraId="0A7F4024">
            <w:pPr>
              <w:pStyle w:val="17"/>
              <w:widowControl/>
              <w:numPr>
                <w:ilvl w:val="0"/>
                <w:numId w:val="0"/>
              </w:numPr>
              <w:spacing w:before="0" w:beforeAutospacing="0" w:after="0" w:afterAutospacing="0"/>
              <w:ind w:right="0" w:righ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③获得过市级的，每项得0.5分，最高得6分。 </w:t>
            </w:r>
          </w:p>
          <w:p w14:paraId="1D47B217">
            <w:pPr>
              <w:pStyle w:val="17"/>
              <w:widowControl/>
              <w:numPr>
                <w:ilvl w:val="0"/>
                <w:numId w:val="0"/>
              </w:num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bidi="ar-SA"/>
              </w:rPr>
              <w:t>注：不符合上述条件的不得分，本小项最高得6分。对同一项目按最高奖项计取一次，不累计计算。</w:t>
            </w:r>
          </w:p>
        </w:tc>
      </w:tr>
      <w:tr w14:paraId="6D0D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29" w:type="dxa"/>
            <w:vMerge w:val="continue"/>
            <w:vAlign w:val="center"/>
          </w:tcPr>
          <w:p w14:paraId="79260E83">
            <w:pPr>
              <w:spacing w:line="360" w:lineRule="auto"/>
              <w:jc w:val="center"/>
              <w:rPr>
                <w:rFonts w:hint="eastAsia" w:ascii="宋体" w:hAnsi="宋体" w:eastAsia="宋体" w:cs="宋体"/>
                <w:color w:val="auto"/>
                <w:szCs w:val="21"/>
                <w:highlight w:val="none"/>
              </w:rPr>
            </w:pPr>
          </w:p>
        </w:tc>
        <w:tc>
          <w:tcPr>
            <w:tcW w:w="879" w:type="dxa"/>
            <w:vMerge w:val="continue"/>
            <w:vAlign w:val="center"/>
          </w:tcPr>
          <w:p w14:paraId="3E75320B">
            <w:pPr>
              <w:jc w:val="center"/>
              <w:rPr>
                <w:rFonts w:hint="eastAsia" w:ascii="宋体" w:hAnsi="宋体" w:eastAsia="宋体" w:cs="宋体"/>
                <w:color w:val="auto"/>
                <w:szCs w:val="21"/>
                <w:highlight w:val="none"/>
              </w:rPr>
            </w:pPr>
          </w:p>
        </w:tc>
        <w:tc>
          <w:tcPr>
            <w:tcW w:w="1365" w:type="dxa"/>
            <w:vAlign w:val="center"/>
          </w:tcPr>
          <w:p w14:paraId="2234A0A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第三方评价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11511" w:type="dxa"/>
            <w:vAlign w:val="center"/>
          </w:tcPr>
          <w:p w14:paraId="20911355">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投标人（若为联合体，指联合体承担施工任务中</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lang w:val="zh-CN"/>
              </w:rPr>
              <w:t>负责人所在单位）自20</w:t>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zh-CN"/>
              </w:rPr>
              <w:t>年1月1日至投标截止时间止，获得过省级或以上</w:t>
            </w:r>
            <w:r>
              <w:rPr>
                <w:rFonts w:hint="eastAsia" w:ascii="宋体" w:hAnsi="宋体" w:eastAsia="宋体" w:cs="宋体"/>
                <w:color w:val="auto"/>
                <w:szCs w:val="21"/>
                <w:highlight w:val="none"/>
              </w:rPr>
              <w:t>建设主管部门或建设行业</w:t>
            </w:r>
            <w:r>
              <w:rPr>
                <w:rFonts w:hint="eastAsia" w:ascii="宋体" w:hAnsi="宋体" w:eastAsia="宋体" w:cs="宋体"/>
                <w:color w:val="auto"/>
                <w:szCs w:val="21"/>
                <w:highlight w:val="none"/>
                <w:lang w:val="zh-CN"/>
              </w:rPr>
              <w:t>协会（</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zh-CN"/>
              </w:rPr>
              <w:t>学会）颁发的</w:t>
            </w:r>
            <w:r>
              <w:rPr>
                <w:rFonts w:hint="eastAsia" w:ascii="宋体" w:hAnsi="宋体" w:eastAsia="宋体" w:cs="宋体"/>
                <w:color w:val="auto"/>
                <w:szCs w:val="21"/>
                <w:highlight w:val="none"/>
              </w:rPr>
              <w:t>建设工程类</w:t>
            </w:r>
            <w:r>
              <w:rPr>
                <w:rFonts w:hint="eastAsia" w:ascii="宋体" w:hAnsi="宋体" w:eastAsia="宋体" w:cs="宋体"/>
                <w:color w:val="auto"/>
                <w:szCs w:val="21"/>
                <w:highlight w:val="none"/>
                <w:lang w:val="zh-CN"/>
              </w:rPr>
              <w:t>科技创新先进企业（</w:t>
            </w:r>
            <w:r>
              <w:rPr>
                <w:rFonts w:hint="eastAsia" w:ascii="宋体" w:hAnsi="宋体" w:eastAsia="宋体" w:cs="宋体"/>
                <w:color w:val="auto"/>
                <w:szCs w:val="21"/>
                <w:highlight w:val="none"/>
              </w:rPr>
              <w:t>或单位</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证书</w:t>
            </w:r>
            <w:r>
              <w:rPr>
                <w:rFonts w:hint="eastAsia" w:ascii="宋体" w:hAnsi="宋体" w:eastAsia="宋体" w:cs="宋体"/>
                <w:color w:val="auto"/>
                <w:szCs w:val="21"/>
                <w:highlight w:val="none"/>
                <w:lang w:val="zh-CN"/>
              </w:rPr>
              <w:t>的，每次得</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分，本小项最多得</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分。</w:t>
            </w:r>
          </w:p>
        </w:tc>
      </w:tr>
      <w:tr w14:paraId="1B00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vMerge w:val="restart"/>
            <w:vAlign w:val="center"/>
          </w:tcPr>
          <w:p w14:paraId="35290F5A">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w:t>
            </w:r>
          </w:p>
        </w:tc>
        <w:tc>
          <w:tcPr>
            <w:tcW w:w="879" w:type="dxa"/>
            <w:vMerge w:val="restart"/>
            <w:vAlign w:val="center"/>
          </w:tcPr>
          <w:p w14:paraId="415E631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勘察设计方案</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大纲（</w:t>
            </w:r>
            <w:r>
              <w:rPr>
                <w:rFonts w:hint="eastAsia" w:ascii="宋体" w:hAnsi="宋体" w:eastAsia="宋体" w:cs="宋体"/>
                <w:color w:val="auto"/>
                <w:szCs w:val="21"/>
                <w:highlight w:val="none"/>
                <w:lang w:val="en-US" w:eastAsia="zh-CN"/>
              </w:rPr>
              <w:t>10</w:t>
            </w:r>
            <w:r>
              <w:rPr>
                <w:rFonts w:hint="eastAsia" w:ascii="宋体" w:hAnsi="宋体" w:cs="宋体"/>
                <w:color w:val="auto"/>
                <w:szCs w:val="21"/>
                <w:highlight w:val="none"/>
                <w:lang w:val="en-US" w:eastAsia="zh-CN"/>
              </w:rPr>
              <w:t>分</w:t>
            </w:r>
            <w:r>
              <w:rPr>
                <w:rFonts w:hint="eastAsia" w:ascii="宋体" w:hAnsi="宋体" w:eastAsia="宋体" w:cs="宋体"/>
                <w:color w:val="auto"/>
                <w:szCs w:val="21"/>
                <w:highlight w:val="none"/>
                <w:lang w:val="en-US" w:eastAsia="zh-CN"/>
              </w:rPr>
              <w:t>）</w:t>
            </w:r>
          </w:p>
        </w:tc>
        <w:tc>
          <w:tcPr>
            <w:tcW w:w="1365" w:type="dxa"/>
            <w:vAlign w:val="center"/>
          </w:tcPr>
          <w:p w14:paraId="4C3CD5E4">
            <w:pPr>
              <w:topLinePunct/>
              <w:adjustRightInd/>
              <w:snapToGrid/>
              <w:jc w:val="center"/>
              <w:rPr>
                <w:rFonts w:hint="eastAsia" w:ascii="宋体" w:hAnsi="宋体" w:eastAsia="宋体" w:cs="宋体"/>
                <w:color w:val="auto"/>
                <w:szCs w:val="21"/>
                <w:highlight w:val="none"/>
                <w:lang w:val="zh-CN"/>
              </w:rPr>
            </w:pPr>
            <w:r>
              <w:rPr>
                <w:rFonts w:hint="eastAsia" w:ascii="宋体" w:hAnsi="宋体" w:eastAsia="宋体" w:cs="宋体"/>
                <w:b w:val="0"/>
                <w:bCs w:val="0"/>
                <w:color w:val="auto"/>
                <w:szCs w:val="21"/>
                <w:highlight w:val="none"/>
              </w:rPr>
              <w:t>项目构思</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2分）</w:t>
            </w:r>
          </w:p>
        </w:tc>
        <w:tc>
          <w:tcPr>
            <w:tcW w:w="11511" w:type="dxa"/>
            <w:vAlign w:val="center"/>
          </w:tcPr>
          <w:p w14:paraId="3AFF1DA3">
            <w:pPr>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优</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：完全符合经济、实用、美观原则，理念逻辑清晰合理，切合项目实际，满足市场和产业客户需求，适合园区招商运营，实现项目产业和经济价值</w:t>
            </w:r>
            <w:r>
              <w:rPr>
                <w:rFonts w:hint="eastAsia" w:ascii="宋体" w:hAnsi="宋体" w:eastAsia="宋体" w:cs="宋体"/>
                <w:color w:val="auto"/>
                <w:szCs w:val="21"/>
                <w:highlight w:val="none"/>
                <w:lang w:val="zh-CN"/>
              </w:rPr>
              <w:t>；</w:t>
            </w:r>
          </w:p>
          <w:p w14:paraId="3BCAF417">
            <w:pPr>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良</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：基本符合经济、实用、美观原则，尤其在经济实用性方面表现突出，理念逻辑清晰合理，切合项目实际，满足市场和产业客户需求，适合园区招商运营，实现项目产业和经济价值</w:t>
            </w:r>
            <w:r>
              <w:rPr>
                <w:rFonts w:hint="eastAsia" w:ascii="宋体" w:hAnsi="宋体" w:eastAsia="宋体" w:cs="宋体"/>
                <w:color w:val="auto"/>
                <w:szCs w:val="21"/>
                <w:highlight w:val="none"/>
                <w:lang w:val="zh-CN"/>
              </w:rPr>
              <w:t>；</w:t>
            </w:r>
          </w:p>
          <w:p w14:paraId="4268485C">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一般得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：部分符合经济、实用、美观原则，理念逻辑基本合理，基本切合项目实际，满足部分市场和产业客户需求，适合园区招商运营，基本实现项目产业和经济价值</w:t>
            </w:r>
            <w:r>
              <w:rPr>
                <w:rFonts w:hint="eastAsia" w:ascii="宋体" w:hAnsi="宋体" w:cs="宋体"/>
                <w:color w:val="auto"/>
                <w:szCs w:val="21"/>
                <w:highlight w:val="none"/>
                <w:lang w:val="en-US" w:eastAsia="zh-CN"/>
              </w:rPr>
              <w:t>；</w:t>
            </w:r>
          </w:p>
          <w:p w14:paraId="4EFD89C0">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无此内容得0分。</w:t>
            </w:r>
          </w:p>
        </w:tc>
      </w:tr>
      <w:tr w14:paraId="39F2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29" w:type="dxa"/>
            <w:vMerge w:val="continue"/>
            <w:vAlign w:val="center"/>
          </w:tcPr>
          <w:p w14:paraId="24C0AD71">
            <w:pPr>
              <w:spacing w:line="360" w:lineRule="auto"/>
              <w:jc w:val="center"/>
              <w:rPr>
                <w:rFonts w:hint="eastAsia" w:ascii="宋体" w:hAnsi="宋体" w:eastAsia="宋体" w:cs="宋体"/>
                <w:color w:val="auto"/>
                <w:szCs w:val="21"/>
                <w:highlight w:val="none"/>
                <w:lang w:val="en-US" w:eastAsia="zh-CN"/>
              </w:rPr>
            </w:pPr>
          </w:p>
        </w:tc>
        <w:tc>
          <w:tcPr>
            <w:tcW w:w="879" w:type="dxa"/>
            <w:vMerge w:val="continue"/>
            <w:vAlign w:val="center"/>
          </w:tcPr>
          <w:p w14:paraId="0269A24E">
            <w:pPr>
              <w:jc w:val="center"/>
              <w:rPr>
                <w:rFonts w:hint="eastAsia" w:ascii="宋体" w:hAnsi="宋体" w:eastAsia="宋体" w:cs="宋体"/>
                <w:color w:val="auto"/>
                <w:szCs w:val="21"/>
                <w:highlight w:val="none"/>
                <w:lang w:val="zh-CN"/>
              </w:rPr>
            </w:pPr>
          </w:p>
        </w:tc>
        <w:tc>
          <w:tcPr>
            <w:tcW w:w="1365" w:type="dxa"/>
            <w:vAlign w:val="center"/>
          </w:tcPr>
          <w:p w14:paraId="34546F96">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zh-CN"/>
              </w:rPr>
              <w:t>总图规划布局与空间形态（</w:t>
            </w:r>
            <w:r>
              <w:rPr>
                <w:rFonts w:hint="eastAsia" w:ascii="宋体" w:hAnsi="宋体" w:eastAsia="宋体" w:cs="宋体"/>
                <w:b w:val="0"/>
                <w:bCs w:val="0"/>
                <w:color w:val="auto"/>
                <w:szCs w:val="21"/>
                <w:highlight w:val="none"/>
                <w:lang w:val="en-US" w:eastAsia="zh-CN"/>
              </w:rPr>
              <w:t>2分）</w:t>
            </w:r>
          </w:p>
        </w:tc>
        <w:tc>
          <w:tcPr>
            <w:tcW w:w="11511" w:type="dxa"/>
            <w:vAlign w:val="center"/>
          </w:tcPr>
          <w:p w14:paraId="7175ECF8">
            <w:pPr>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优</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：完全符合规划设计条件，功能分区明确，规划结构清晰，建筑环境与空间造型和谐统一，充分协调周边建筑景观关系，合理分配规划资源，实现经济效益最大化</w:t>
            </w:r>
            <w:r>
              <w:rPr>
                <w:rFonts w:hint="eastAsia" w:ascii="宋体" w:hAnsi="宋体" w:eastAsia="宋体" w:cs="宋体"/>
                <w:color w:val="auto"/>
                <w:szCs w:val="21"/>
                <w:highlight w:val="none"/>
                <w:lang w:val="zh-CN"/>
              </w:rPr>
              <w:t>；</w:t>
            </w:r>
          </w:p>
          <w:p w14:paraId="64C827A0">
            <w:pPr>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良</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：基本符合规划设计条件，功能分区较明确，规划结构较清晰，建筑环境与空间造型较和谐统一，较好协调周边建筑景观关系，较合理分配规划资源，较好实现经济效益</w:t>
            </w:r>
            <w:r>
              <w:rPr>
                <w:rFonts w:hint="eastAsia" w:ascii="宋体" w:hAnsi="宋体" w:eastAsia="宋体" w:cs="宋体"/>
                <w:color w:val="auto"/>
                <w:szCs w:val="21"/>
                <w:highlight w:val="none"/>
                <w:lang w:val="zh-CN"/>
              </w:rPr>
              <w:t>；</w:t>
            </w:r>
          </w:p>
          <w:p w14:paraId="71A8B11E">
            <w:pPr>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zh-CN"/>
              </w:rPr>
              <w:t>一般得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：部分符合规划设计条件，功能分区基本明确，规划结构基本清晰，建筑环境与空间造型基本和谐统一，基本协调周边建筑景观关系，规划资源分配基本合理，基本实现经济效益</w:t>
            </w:r>
            <w:r>
              <w:rPr>
                <w:rFonts w:hint="eastAsia" w:ascii="宋体" w:hAnsi="宋体" w:cs="宋体"/>
                <w:color w:val="auto"/>
                <w:szCs w:val="21"/>
                <w:highlight w:val="none"/>
                <w:lang w:val="en-US" w:eastAsia="zh-CN"/>
              </w:rPr>
              <w:t>；</w:t>
            </w:r>
          </w:p>
          <w:p w14:paraId="5F91EFDA">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无此内容得0分。</w:t>
            </w:r>
          </w:p>
        </w:tc>
      </w:tr>
      <w:tr w14:paraId="0081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29" w:type="dxa"/>
            <w:vMerge w:val="continue"/>
            <w:vAlign w:val="center"/>
          </w:tcPr>
          <w:p w14:paraId="2308BB1F">
            <w:pPr>
              <w:spacing w:line="360" w:lineRule="auto"/>
              <w:jc w:val="center"/>
              <w:rPr>
                <w:rFonts w:hint="eastAsia" w:ascii="宋体" w:hAnsi="宋体" w:eastAsia="宋体" w:cs="宋体"/>
                <w:color w:val="auto"/>
                <w:szCs w:val="21"/>
                <w:highlight w:val="none"/>
                <w:lang w:val="en-US" w:eastAsia="zh-CN"/>
              </w:rPr>
            </w:pPr>
          </w:p>
        </w:tc>
        <w:tc>
          <w:tcPr>
            <w:tcW w:w="879" w:type="dxa"/>
            <w:vMerge w:val="continue"/>
            <w:vAlign w:val="center"/>
          </w:tcPr>
          <w:p w14:paraId="48110758">
            <w:pPr>
              <w:jc w:val="center"/>
              <w:rPr>
                <w:rFonts w:hint="eastAsia" w:ascii="宋体" w:hAnsi="宋体" w:eastAsia="宋体" w:cs="宋体"/>
                <w:color w:val="auto"/>
                <w:szCs w:val="21"/>
                <w:highlight w:val="none"/>
                <w:lang w:val="zh-CN"/>
              </w:rPr>
            </w:pPr>
          </w:p>
        </w:tc>
        <w:tc>
          <w:tcPr>
            <w:tcW w:w="1365" w:type="dxa"/>
            <w:vAlign w:val="center"/>
          </w:tcPr>
          <w:p w14:paraId="3D65F921">
            <w:pPr>
              <w:adjustRightInd w:val="0"/>
              <w:snapToGrid w:val="0"/>
              <w:jc w:val="center"/>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zh-CN"/>
              </w:rPr>
              <w:t>建筑功能及可持续性（</w:t>
            </w:r>
            <w:r>
              <w:rPr>
                <w:rFonts w:hint="eastAsia" w:ascii="宋体" w:hAnsi="宋体" w:eastAsia="宋体" w:cs="宋体"/>
                <w:color w:val="auto"/>
                <w:szCs w:val="21"/>
                <w:highlight w:val="none"/>
                <w:lang w:val="en-US" w:eastAsia="zh-CN"/>
              </w:rPr>
              <w:t>2分）</w:t>
            </w:r>
          </w:p>
        </w:tc>
        <w:tc>
          <w:tcPr>
            <w:tcW w:w="11511" w:type="dxa"/>
            <w:vAlign w:val="center"/>
          </w:tcPr>
          <w:p w14:paraId="6CF03461">
            <w:pPr>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优</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：完全满足持有园区租赁类客户使用需求，空间方正完整、实用率高，预留弹性设计充分适应不同种类客户使用需求，全面满足园区运营方要求，在后期经营中能实现高价值</w:t>
            </w:r>
            <w:r>
              <w:rPr>
                <w:rFonts w:hint="eastAsia" w:ascii="宋体" w:hAnsi="宋体" w:eastAsia="宋体" w:cs="宋体"/>
                <w:color w:val="auto"/>
                <w:szCs w:val="21"/>
                <w:highlight w:val="none"/>
                <w:lang w:val="zh-CN"/>
              </w:rPr>
              <w:t>；</w:t>
            </w:r>
          </w:p>
          <w:p w14:paraId="796526E0">
            <w:pPr>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良</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：基本满足持有园区租赁类客户使用需求，空间方正完整、实用率较高，预留弹性设计基本适应不同种类客户使用需求，基本满足园区运营方要求，在后期经营中能实现较高价值</w:t>
            </w:r>
            <w:r>
              <w:rPr>
                <w:rFonts w:hint="eastAsia" w:ascii="宋体" w:hAnsi="宋体" w:eastAsia="宋体" w:cs="宋体"/>
                <w:color w:val="auto"/>
                <w:szCs w:val="21"/>
                <w:highlight w:val="none"/>
                <w:lang w:val="zh-CN"/>
              </w:rPr>
              <w:t>；</w:t>
            </w:r>
          </w:p>
          <w:p w14:paraId="63D0EAD3">
            <w:pPr>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zh-CN"/>
              </w:rPr>
              <w:t>一般得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：部分满足持有园区租赁类客户使用需求，空间方正完整、实用率一般，预留弹性设计有限，仅能适应部分种类客户使用需求，基本满足园区运营方要求，在后期经营中价值实现一般</w:t>
            </w:r>
            <w:r>
              <w:rPr>
                <w:rFonts w:hint="eastAsia" w:ascii="宋体" w:hAnsi="宋体" w:cs="宋体"/>
                <w:color w:val="auto"/>
                <w:szCs w:val="21"/>
                <w:highlight w:val="none"/>
                <w:lang w:val="en-US" w:eastAsia="zh-CN"/>
              </w:rPr>
              <w:t>；</w:t>
            </w:r>
          </w:p>
          <w:p w14:paraId="1D2B6448">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无此内容得0分。</w:t>
            </w:r>
          </w:p>
        </w:tc>
      </w:tr>
      <w:tr w14:paraId="3CD2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729" w:type="dxa"/>
            <w:vMerge w:val="continue"/>
            <w:vAlign w:val="center"/>
          </w:tcPr>
          <w:p w14:paraId="4F7CBBC4">
            <w:pPr>
              <w:spacing w:line="360" w:lineRule="auto"/>
              <w:jc w:val="center"/>
              <w:rPr>
                <w:rFonts w:hint="eastAsia" w:ascii="宋体" w:hAnsi="宋体" w:eastAsia="宋体" w:cs="宋体"/>
                <w:color w:val="auto"/>
                <w:szCs w:val="21"/>
                <w:highlight w:val="none"/>
                <w:lang w:val="en-US" w:eastAsia="zh-CN"/>
              </w:rPr>
            </w:pPr>
          </w:p>
        </w:tc>
        <w:tc>
          <w:tcPr>
            <w:tcW w:w="879" w:type="dxa"/>
            <w:vMerge w:val="continue"/>
            <w:vAlign w:val="center"/>
          </w:tcPr>
          <w:p w14:paraId="26102262">
            <w:pPr>
              <w:jc w:val="center"/>
              <w:rPr>
                <w:rFonts w:hint="eastAsia" w:ascii="宋体" w:hAnsi="宋体" w:eastAsia="宋体" w:cs="宋体"/>
                <w:color w:val="auto"/>
                <w:szCs w:val="21"/>
                <w:highlight w:val="none"/>
                <w:lang w:val="zh-CN"/>
              </w:rPr>
            </w:pPr>
          </w:p>
        </w:tc>
        <w:tc>
          <w:tcPr>
            <w:tcW w:w="1365" w:type="dxa"/>
            <w:vAlign w:val="center"/>
          </w:tcPr>
          <w:p w14:paraId="063F3118">
            <w:pPr>
              <w:topLinePun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建筑外观</w:t>
            </w:r>
          </w:p>
          <w:p w14:paraId="61211EE1">
            <w:pPr>
              <w:pStyle w:val="1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1分）</w:t>
            </w:r>
          </w:p>
        </w:tc>
        <w:tc>
          <w:tcPr>
            <w:tcW w:w="11511" w:type="dxa"/>
            <w:vAlign w:val="center"/>
          </w:tcPr>
          <w:p w14:paraId="78548349">
            <w:pPr>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优</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：建筑形式简洁大方，园区视觉效果高度统一，与周边环境协调性优异，形式与功能完美结合，外立面成本控制在预算范围内且性价比高</w:t>
            </w:r>
            <w:r>
              <w:rPr>
                <w:rFonts w:hint="eastAsia" w:ascii="宋体" w:hAnsi="宋体" w:eastAsia="宋体" w:cs="宋体"/>
                <w:color w:val="auto"/>
                <w:szCs w:val="21"/>
                <w:highlight w:val="none"/>
                <w:lang w:val="zh-CN"/>
              </w:rPr>
              <w:t>；</w:t>
            </w:r>
          </w:p>
          <w:p w14:paraId="5E2EA756">
            <w:pPr>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良</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：建筑形式较为简洁大方，园区视觉效果较为统一，与周边环境协调性良好，形式服从功能原则基本落实，外立面成本控制合理</w:t>
            </w:r>
            <w:r>
              <w:rPr>
                <w:rFonts w:hint="eastAsia" w:ascii="宋体" w:hAnsi="宋体" w:eastAsia="宋体" w:cs="宋体"/>
                <w:color w:val="auto"/>
                <w:szCs w:val="21"/>
                <w:highlight w:val="none"/>
                <w:lang w:val="zh-CN"/>
              </w:rPr>
              <w:t>；</w:t>
            </w:r>
          </w:p>
          <w:p w14:paraId="2D9393B7">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一般得</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：建筑形式基本简洁大方，园区视觉效果基本统一，与周边环境有一定协调性，形式服从功能原则部分落实，外立面成本控制基本达标</w:t>
            </w:r>
            <w:r>
              <w:rPr>
                <w:rFonts w:hint="eastAsia" w:ascii="宋体" w:hAnsi="宋体" w:cs="宋体"/>
                <w:color w:val="auto"/>
                <w:szCs w:val="21"/>
                <w:highlight w:val="none"/>
                <w:lang w:val="en-US" w:eastAsia="zh-CN"/>
              </w:rPr>
              <w:t>；</w:t>
            </w:r>
          </w:p>
          <w:p w14:paraId="31090AE8">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无此内容得0分。</w:t>
            </w:r>
          </w:p>
        </w:tc>
      </w:tr>
      <w:tr w14:paraId="24FD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vMerge w:val="continue"/>
            <w:vAlign w:val="center"/>
          </w:tcPr>
          <w:p w14:paraId="00A6C7AB">
            <w:pPr>
              <w:spacing w:line="360" w:lineRule="auto"/>
              <w:jc w:val="center"/>
              <w:rPr>
                <w:rFonts w:hint="eastAsia" w:ascii="宋体" w:hAnsi="宋体" w:eastAsia="宋体" w:cs="宋体"/>
                <w:color w:val="auto"/>
                <w:szCs w:val="21"/>
                <w:highlight w:val="none"/>
                <w:lang w:val="en-US" w:eastAsia="zh-CN"/>
              </w:rPr>
            </w:pPr>
          </w:p>
        </w:tc>
        <w:tc>
          <w:tcPr>
            <w:tcW w:w="879" w:type="dxa"/>
            <w:vMerge w:val="continue"/>
            <w:vAlign w:val="center"/>
          </w:tcPr>
          <w:p w14:paraId="280AE836">
            <w:pPr>
              <w:jc w:val="center"/>
              <w:rPr>
                <w:rFonts w:hint="eastAsia" w:ascii="宋体" w:hAnsi="宋体" w:eastAsia="宋体" w:cs="宋体"/>
                <w:color w:val="auto"/>
                <w:szCs w:val="21"/>
                <w:highlight w:val="none"/>
                <w:lang w:val="zh-CN"/>
              </w:rPr>
            </w:pPr>
          </w:p>
        </w:tc>
        <w:tc>
          <w:tcPr>
            <w:tcW w:w="1365" w:type="dxa"/>
            <w:vAlign w:val="center"/>
          </w:tcPr>
          <w:p w14:paraId="29515CDB">
            <w:pPr>
              <w:adjustRightInd w:val="0"/>
              <w:snapToGrid w:val="0"/>
              <w:jc w:val="center"/>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zh-CN"/>
              </w:rPr>
              <w:t>交通体系（</w:t>
            </w:r>
            <w:r>
              <w:rPr>
                <w:rFonts w:hint="eastAsia" w:ascii="宋体" w:hAnsi="宋体" w:eastAsia="宋体" w:cs="宋体"/>
                <w:color w:val="auto"/>
                <w:szCs w:val="21"/>
                <w:highlight w:val="none"/>
                <w:lang w:val="en-US" w:eastAsia="zh-CN"/>
              </w:rPr>
              <w:t>1分）</w:t>
            </w:r>
          </w:p>
        </w:tc>
        <w:tc>
          <w:tcPr>
            <w:tcW w:w="11511" w:type="dxa"/>
            <w:vAlign w:val="center"/>
          </w:tcPr>
          <w:p w14:paraId="0DA8A035">
            <w:pPr>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优</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：交通流线布局科学，货运系统高效便捷，停车体系完备，客货分流彻底，电梯位置及数量充分满足需求，极大提升交通效率，完全适配后期企业使用及招商运营要求</w:t>
            </w:r>
            <w:r>
              <w:rPr>
                <w:rFonts w:hint="eastAsia" w:ascii="宋体" w:hAnsi="宋体" w:eastAsia="宋体" w:cs="宋体"/>
                <w:color w:val="auto"/>
                <w:szCs w:val="21"/>
                <w:highlight w:val="none"/>
                <w:lang w:val="zh-CN"/>
              </w:rPr>
              <w:t>；</w:t>
            </w:r>
          </w:p>
          <w:p w14:paraId="32D4A06B">
            <w:pPr>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良</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：交通流线设计较合理，货运系统较便捷，停车体系较完善，客货分流较明确，电梯位置及数量基本满足需求，较好支持交通效率，较适合后期企业使用和招商运营</w:t>
            </w:r>
            <w:r>
              <w:rPr>
                <w:rFonts w:hint="eastAsia" w:ascii="宋体" w:hAnsi="宋体" w:eastAsia="宋体" w:cs="宋体"/>
                <w:color w:val="auto"/>
                <w:szCs w:val="21"/>
                <w:highlight w:val="none"/>
                <w:lang w:val="zh-CN"/>
              </w:rPr>
              <w:t>；</w:t>
            </w:r>
          </w:p>
          <w:p w14:paraId="07261226">
            <w:pPr>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zh-CN"/>
              </w:rPr>
              <w:t>一般得</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：交通流线设计基本合理，货运系统基本便捷，停车体系基本完善，客货分流部分实现，电梯位置及数量满足基本需求，交通效率提升有限，基本适应后期企业使用及招商运营</w:t>
            </w:r>
            <w:r>
              <w:rPr>
                <w:rFonts w:hint="eastAsia" w:ascii="宋体" w:hAnsi="宋体" w:cs="宋体"/>
                <w:color w:val="auto"/>
                <w:szCs w:val="21"/>
                <w:highlight w:val="none"/>
                <w:lang w:val="en-US" w:eastAsia="zh-CN"/>
              </w:rPr>
              <w:t>；</w:t>
            </w:r>
          </w:p>
          <w:p w14:paraId="1386D289">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无此内容得0分。</w:t>
            </w:r>
          </w:p>
        </w:tc>
      </w:tr>
      <w:tr w14:paraId="5C6D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vMerge w:val="continue"/>
            <w:vAlign w:val="center"/>
          </w:tcPr>
          <w:p w14:paraId="02E11755">
            <w:pPr>
              <w:spacing w:line="360" w:lineRule="auto"/>
              <w:jc w:val="center"/>
              <w:rPr>
                <w:rFonts w:hint="eastAsia" w:ascii="宋体" w:hAnsi="宋体" w:eastAsia="宋体" w:cs="宋体"/>
                <w:color w:val="auto"/>
                <w:szCs w:val="21"/>
                <w:highlight w:val="none"/>
                <w:lang w:val="en-US" w:eastAsia="zh-CN"/>
              </w:rPr>
            </w:pPr>
          </w:p>
        </w:tc>
        <w:tc>
          <w:tcPr>
            <w:tcW w:w="879" w:type="dxa"/>
            <w:vMerge w:val="continue"/>
            <w:vAlign w:val="center"/>
          </w:tcPr>
          <w:p w14:paraId="63D2AE27">
            <w:pPr>
              <w:jc w:val="center"/>
              <w:rPr>
                <w:rFonts w:hint="eastAsia" w:ascii="宋体" w:hAnsi="宋体" w:eastAsia="宋体" w:cs="宋体"/>
                <w:color w:val="auto"/>
                <w:szCs w:val="21"/>
                <w:highlight w:val="none"/>
                <w:lang w:val="zh-CN"/>
              </w:rPr>
            </w:pPr>
          </w:p>
        </w:tc>
        <w:tc>
          <w:tcPr>
            <w:tcW w:w="1365" w:type="dxa"/>
            <w:vAlign w:val="center"/>
          </w:tcPr>
          <w:p w14:paraId="135C1E37">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产品参数（</w:t>
            </w:r>
            <w:r>
              <w:rPr>
                <w:rFonts w:hint="eastAsia" w:ascii="宋体" w:hAnsi="宋体" w:eastAsia="宋体" w:cs="宋体"/>
                <w:color w:val="auto"/>
                <w:szCs w:val="21"/>
                <w:highlight w:val="none"/>
                <w:lang w:val="en-US" w:eastAsia="zh-CN"/>
              </w:rPr>
              <w:t>1分）</w:t>
            </w:r>
          </w:p>
        </w:tc>
        <w:tc>
          <w:tcPr>
            <w:tcW w:w="11511" w:type="dxa"/>
            <w:vAlign w:val="center"/>
          </w:tcPr>
          <w:p w14:paraId="36E4F5B2">
            <w:pPr>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优</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：产品参数完全满足需求，预留弹性设计充分适应不同场景应用，在后期调整中能实现高效适配</w:t>
            </w:r>
            <w:r>
              <w:rPr>
                <w:rFonts w:hint="eastAsia" w:ascii="宋体" w:hAnsi="宋体" w:eastAsia="宋体" w:cs="宋体"/>
                <w:color w:val="auto"/>
                <w:szCs w:val="21"/>
                <w:highlight w:val="none"/>
                <w:lang w:val="zh-CN"/>
              </w:rPr>
              <w:t>；</w:t>
            </w:r>
          </w:p>
          <w:p w14:paraId="6F80855E">
            <w:pPr>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良</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：产品参数基本满足需求，预留弹性设计基本适应不同场景应用，在后期调整中能实现较好适配</w:t>
            </w:r>
            <w:r>
              <w:rPr>
                <w:rFonts w:hint="eastAsia" w:ascii="宋体" w:hAnsi="宋体" w:eastAsia="宋体" w:cs="宋体"/>
                <w:color w:val="auto"/>
                <w:szCs w:val="21"/>
                <w:highlight w:val="none"/>
                <w:lang w:val="zh-CN"/>
              </w:rPr>
              <w:t>；</w:t>
            </w:r>
          </w:p>
          <w:p w14:paraId="20EB12B0">
            <w:pPr>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zh-CN"/>
              </w:rPr>
              <w:t>一般得</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lang w:val="zh-CN"/>
              </w:rPr>
              <w:t>分</w:t>
            </w:r>
            <w:r>
              <w:rPr>
                <w:rFonts w:hint="eastAsia" w:ascii="宋体" w:hAnsi="宋体" w:cs="宋体"/>
                <w:color w:val="auto"/>
                <w:szCs w:val="21"/>
                <w:highlight w:val="none"/>
                <w:lang w:val="zh-CN"/>
              </w:rPr>
              <w:t>：产品参数部分满足需求，预留弹性设计有限，仅能适应部分场景应用，在后期调整中适配性一般</w:t>
            </w:r>
            <w:r>
              <w:rPr>
                <w:rFonts w:hint="eastAsia" w:ascii="宋体" w:hAnsi="宋体" w:cs="宋体"/>
                <w:color w:val="auto"/>
                <w:szCs w:val="21"/>
                <w:highlight w:val="none"/>
                <w:lang w:val="en-US" w:eastAsia="zh-CN"/>
              </w:rPr>
              <w:t>；</w:t>
            </w:r>
          </w:p>
          <w:p w14:paraId="7430A620">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无此内容得0分。</w:t>
            </w:r>
          </w:p>
        </w:tc>
      </w:tr>
      <w:tr w14:paraId="5E8F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29" w:type="dxa"/>
            <w:vMerge w:val="continue"/>
            <w:vAlign w:val="center"/>
          </w:tcPr>
          <w:p w14:paraId="782B6E24">
            <w:pPr>
              <w:spacing w:line="360" w:lineRule="auto"/>
              <w:jc w:val="center"/>
              <w:rPr>
                <w:rFonts w:hint="eastAsia" w:ascii="宋体" w:hAnsi="宋体" w:eastAsia="宋体" w:cs="宋体"/>
                <w:color w:val="auto"/>
                <w:szCs w:val="21"/>
                <w:highlight w:val="none"/>
                <w:lang w:val="en-US" w:eastAsia="zh-CN"/>
              </w:rPr>
            </w:pPr>
          </w:p>
        </w:tc>
        <w:tc>
          <w:tcPr>
            <w:tcW w:w="879" w:type="dxa"/>
            <w:vMerge w:val="continue"/>
            <w:vAlign w:val="center"/>
          </w:tcPr>
          <w:p w14:paraId="083A3B23">
            <w:pPr>
              <w:jc w:val="center"/>
              <w:rPr>
                <w:rFonts w:hint="eastAsia" w:ascii="宋体" w:hAnsi="宋体" w:eastAsia="宋体" w:cs="宋体"/>
                <w:color w:val="auto"/>
                <w:szCs w:val="21"/>
                <w:highlight w:val="none"/>
                <w:lang w:val="zh-CN"/>
              </w:rPr>
            </w:pPr>
          </w:p>
        </w:tc>
        <w:tc>
          <w:tcPr>
            <w:tcW w:w="1365" w:type="dxa"/>
            <w:vAlign w:val="center"/>
          </w:tcPr>
          <w:p w14:paraId="635ED6A9">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分期开发实施可行性（</w:t>
            </w:r>
            <w:r>
              <w:rPr>
                <w:rFonts w:hint="eastAsia" w:ascii="宋体" w:hAnsi="宋体" w:eastAsia="宋体" w:cs="宋体"/>
                <w:color w:val="auto"/>
                <w:szCs w:val="21"/>
                <w:highlight w:val="none"/>
                <w:lang w:val="en-US" w:eastAsia="zh-CN"/>
              </w:rPr>
              <w:t>1分）</w:t>
            </w:r>
          </w:p>
        </w:tc>
        <w:tc>
          <w:tcPr>
            <w:tcW w:w="11511" w:type="dxa"/>
            <w:vAlign w:val="center"/>
          </w:tcPr>
          <w:p w14:paraId="4C3D760B">
            <w:pPr>
              <w:jc w:val="left"/>
              <w:rPr>
                <w:rFonts w:hint="eastAsia" w:ascii="宋体" w:hAnsi="宋体" w:eastAsia="宋体" w:cs="宋体"/>
                <w:color w:val="auto"/>
                <w:sz w:val="18"/>
                <w:szCs w:val="18"/>
                <w:highlight w:val="none"/>
                <w:lang w:val="zh-CN"/>
              </w:rPr>
            </w:pPr>
            <w:r>
              <w:rPr>
                <w:rFonts w:hint="eastAsia" w:ascii="宋体" w:hAnsi="宋体" w:cs="宋体"/>
                <w:color w:val="auto"/>
                <w:sz w:val="18"/>
                <w:szCs w:val="18"/>
                <w:highlight w:val="none"/>
                <w:lang w:val="en-US" w:eastAsia="zh-CN"/>
              </w:rPr>
              <w:t>优</w:t>
            </w:r>
            <w:r>
              <w:rPr>
                <w:rFonts w:hint="eastAsia" w:ascii="宋体" w:hAnsi="宋体" w:eastAsia="宋体" w:cs="宋体"/>
                <w:color w:val="auto"/>
                <w:sz w:val="18"/>
                <w:szCs w:val="18"/>
                <w:highlight w:val="none"/>
                <w:lang w:val="zh-CN"/>
              </w:rPr>
              <w:t>得</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val="zh-CN"/>
              </w:rPr>
              <w:t>分</w:t>
            </w:r>
            <w:r>
              <w:rPr>
                <w:rFonts w:hint="eastAsia" w:ascii="宋体" w:hAnsi="宋体" w:cs="宋体"/>
                <w:color w:val="auto"/>
                <w:sz w:val="18"/>
                <w:szCs w:val="18"/>
                <w:highlight w:val="none"/>
                <w:lang w:val="zh-CN"/>
              </w:rPr>
              <w:t>：规划设计全面统筹项目分期开发，滚动投入优化，配套先充分，有效降低投资风险，项目可持续性高</w:t>
            </w:r>
            <w:r>
              <w:rPr>
                <w:rFonts w:hint="eastAsia" w:ascii="宋体" w:hAnsi="宋体" w:eastAsia="宋体" w:cs="宋体"/>
                <w:color w:val="auto"/>
                <w:sz w:val="18"/>
                <w:szCs w:val="18"/>
                <w:highlight w:val="none"/>
                <w:lang w:val="zh-CN"/>
              </w:rPr>
              <w:t>；</w:t>
            </w:r>
          </w:p>
          <w:p w14:paraId="3E91FF99">
            <w:pPr>
              <w:jc w:val="left"/>
              <w:rPr>
                <w:rFonts w:hint="eastAsia" w:ascii="宋体" w:hAnsi="宋体" w:eastAsia="宋体" w:cs="宋体"/>
                <w:color w:val="auto"/>
                <w:sz w:val="18"/>
                <w:szCs w:val="18"/>
                <w:highlight w:val="none"/>
                <w:lang w:val="zh-CN"/>
              </w:rPr>
            </w:pPr>
            <w:r>
              <w:rPr>
                <w:rFonts w:hint="eastAsia" w:ascii="宋体" w:hAnsi="宋体" w:cs="宋体"/>
                <w:color w:val="auto"/>
                <w:sz w:val="18"/>
                <w:szCs w:val="18"/>
                <w:highlight w:val="none"/>
                <w:lang w:val="en-US" w:eastAsia="zh-CN"/>
              </w:rPr>
              <w:t>良</w:t>
            </w:r>
            <w:r>
              <w:rPr>
                <w:rFonts w:hint="eastAsia" w:ascii="宋体" w:hAnsi="宋体" w:eastAsia="宋体" w:cs="宋体"/>
                <w:color w:val="auto"/>
                <w:sz w:val="18"/>
                <w:szCs w:val="18"/>
                <w:highlight w:val="none"/>
                <w:lang w:val="zh-CN"/>
              </w:rPr>
              <w:t>得</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6</w:t>
            </w:r>
            <w:r>
              <w:rPr>
                <w:rFonts w:hint="eastAsia" w:ascii="宋体" w:hAnsi="宋体" w:eastAsia="宋体" w:cs="宋体"/>
                <w:color w:val="auto"/>
                <w:sz w:val="18"/>
                <w:szCs w:val="18"/>
                <w:highlight w:val="none"/>
                <w:lang w:val="zh-CN"/>
              </w:rPr>
              <w:t>分</w:t>
            </w:r>
            <w:r>
              <w:rPr>
                <w:rFonts w:hint="eastAsia" w:ascii="宋体" w:hAnsi="宋体" w:cs="宋体"/>
                <w:color w:val="auto"/>
                <w:sz w:val="18"/>
                <w:szCs w:val="18"/>
                <w:highlight w:val="none"/>
                <w:lang w:val="zh-CN"/>
              </w:rPr>
              <w:t>：规划设计基本统筹项目分期开发，滚动投入较合理，配套先行较完善，投资风险较低，项目可持续性较好</w:t>
            </w:r>
            <w:r>
              <w:rPr>
                <w:rFonts w:hint="eastAsia" w:ascii="宋体" w:hAnsi="宋体" w:eastAsia="宋体" w:cs="宋体"/>
                <w:color w:val="auto"/>
                <w:sz w:val="18"/>
                <w:szCs w:val="18"/>
                <w:highlight w:val="none"/>
                <w:lang w:val="zh-CN"/>
              </w:rPr>
              <w:t>；</w:t>
            </w:r>
          </w:p>
          <w:p w14:paraId="0C130AB0">
            <w:pPr>
              <w:jc w:val="left"/>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一般得</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zh-CN"/>
              </w:rPr>
              <w:t>分</w:t>
            </w:r>
            <w:r>
              <w:rPr>
                <w:rFonts w:hint="eastAsia" w:ascii="宋体" w:hAnsi="宋体" w:cs="宋体"/>
                <w:color w:val="auto"/>
                <w:sz w:val="18"/>
                <w:szCs w:val="18"/>
                <w:highlight w:val="none"/>
                <w:lang w:val="zh-CN"/>
              </w:rPr>
              <w:t>：规划设计部分统筹项目分期开发，滚动投入一般，配套先行有限，投资风险控制一般，项目可持续性一般</w:t>
            </w:r>
            <w:r>
              <w:rPr>
                <w:rFonts w:hint="eastAsia" w:ascii="宋体" w:hAnsi="宋体" w:cs="宋体"/>
                <w:color w:val="auto"/>
                <w:sz w:val="18"/>
                <w:szCs w:val="18"/>
                <w:highlight w:val="none"/>
                <w:lang w:val="en-US" w:eastAsia="zh-CN"/>
              </w:rPr>
              <w:t>；</w:t>
            </w:r>
          </w:p>
          <w:p w14:paraId="5E0E3829">
            <w:pPr>
              <w:jc w:val="left"/>
              <w:rPr>
                <w:rFonts w:hint="eastAsia" w:ascii="宋体" w:hAnsi="宋体" w:eastAsia="宋体" w:cs="宋体"/>
                <w:color w:val="auto"/>
                <w:szCs w:val="21"/>
                <w:highlight w:val="none"/>
                <w:lang w:val="zh-CN"/>
              </w:rPr>
            </w:pPr>
            <w:r>
              <w:rPr>
                <w:rFonts w:hint="eastAsia" w:ascii="宋体" w:hAnsi="宋体" w:eastAsia="宋体" w:cs="宋体"/>
                <w:color w:val="auto"/>
                <w:sz w:val="18"/>
                <w:szCs w:val="18"/>
                <w:highlight w:val="none"/>
                <w:lang w:val="zh-CN"/>
              </w:rPr>
              <w:t>无此内容得0分。</w:t>
            </w:r>
          </w:p>
        </w:tc>
      </w:tr>
      <w:tr w14:paraId="2C0F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29" w:type="dxa"/>
            <w:vMerge w:val="restart"/>
            <w:vAlign w:val="center"/>
          </w:tcPr>
          <w:p w14:paraId="488A95CE">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三</w:t>
            </w:r>
          </w:p>
        </w:tc>
        <w:tc>
          <w:tcPr>
            <w:tcW w:w="879" w:type="dxa"/>
            <w:vMerge w:val="restart"/>
            <w:vAlign w:val="center"/>
          </w:tcPr>
          <w:p w14:paraId="03A38F04">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实施方案技术部分（</w:t>
            </w:r>
            <w:r>
              <w:rPr>
                <w:rFonts w:hint="eastAsia" w:ascii="宋体" w:hAnsi="宋体" w:eastAsia="宋体" w:cs="宋体"/>
                <w:color w:val="auto"/>
                <w:szCs w:val="21"/>
                <w:highlight w:val="none"/>
                <w:lang w:val="en-US"/>
              </w:rPr>
              <w:t>34</w:t>
            </w:r>
            <w:r>
              <w:rPr>
                <w:rFonts w:hint="eastAsia" w:ascii="宋体" w:hAnsi="宋体" w:eastAsia="宋体" w:cs="宋体"/>
                <w:color w:val="auto"/>
                <w:szCs w:val="21"/>
                <w:highlight w:val="none"/>
              </w:rPr>
              <w:t>分）</w:t>
            </w:r>
          </w:p>
        </w:tc>
        <w:tc>
          <w:tcPr>
            <w:tcW w:w="1365" w:type="dxa"/>
            <w:vAlign w:val="center"/>
          </w:tcPr>
          <w:p w14:paraId="2C90D09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设计、施工融合措施</w:t>
            </w:r>
          </w:p>
          <w:p w14:paraId="583AC1B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（16分）</w:t>
            </w:r>
          </w:p>
        </w:tc>
        <w:tc>
          <w:tcPr>
            <w:tcW w:w="11511" w:type="dxa"/>
            <w:vAlign w:val="center"/>
          </w:tcPr>
          <w:p w14:paraId="59213274">
            <w:pPr>
              <w:autoSpaceDE w:val="0"/>
              <w:autoSpaceDN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1、针对本项目特点，制定了相应的设计和施工的融合措施，并有承诺在项目的设计、施工及保修等过程中，设计方、施工方紧密协作以满足项目的各阶段需求（承诺函格式自拟）的，得3分。</w:t>
            </w:r>
          </w:p>
          <w:p w14:paraId="5739CBF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注：未提供的不得分。</w:t>
            </w:r>
          </w:p>
          <w:p w14:paraId="198CC2BF">
            <w:pPr>
              <w:autoSpaceDE w:val="0"/>
              <w:autoSpaceDN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施工配备人员：（</w:t>
            </w:r>
            <w:r>
              <w:rPr>
                <w:rFonts w:hint="eastAsia" w:ascii="宋体" w:hAnsi="宋体" w:eastAsia="宋体" w:cs="宋体"/>
                <w:color w:val="auto"/>
                <w:szCs w:val="21"/>
                <w:highlight w:val="none"/>
              </w:rPr>
              <w:t>各专业负责人和技术负责人以及项目负责人不得兼任</w:t>
            </w:r>
            <w:r>
              <w:rPr>
                <w:rFonts w:hint="eastAsia" w:ascii="宋体" w:hAnsi="宋体" w:eastAsia="宋体" w:cs="宋体"/>
                <w:color w:val="auto"/>
                <w:szCs w:val="21"/>
                <w:highlight w:val="none"/>
                <w:lang w:val="zh-CN"/>
              </w:rPr>
              <w:t>）</w:t>
            </w:r>
          </w:p>
          <w:p w14:paraId="40DC8F87">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（1）拟派的造价负责人：具有建筑工程造价类高级或以上工程师职称，得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分；具有建筑工程造价类</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lang w:val="zh-CN"/>
              </w:rPr>
              <w:t>级工程师职称，得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lang w:val="zh-CN"/>
              </w:rPr>
              <w:t>分。本小项最多得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004176B2">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）拟派的</w:t>
            </w:r>
            <w:r>
              <w:rPr>
                <w:rFonts w:hint="eastAsia" w:ascii="宋体" w:hAnsi="宋体" w:eastAsia="宋体" w:cs="宋体"/>
                <w:color w:val="auto"/>
                <w:szCs w:val="21"/>
                <w:highlight w:val="none"/>
              </w:rPr>
              <w:t>材料专业</w:t>
            </w:r>
            <w:r>
              <w:rPr>
                <w:rFonts w:hint="eastAsia" w:ascii="宋体" w:hAnsi="宋体" w:eastAsia="宋体" w:cs="宋体"/>
                <w:color w:val="auto"/>
                <w:szCs w:val="21"/>
                <w:highlight w:val="none"/>
                <w:lang w:val="zh-CN"/>
              </w:rPr>
              <w:t>负责人：具有建筑</w:t>
            </w:r>
            <w:r>
              <w:rPr>
                <w:rFonts w:hint="eastAsia" w:ascii="宋体" w:hAnsi="宋体" w:eastAsia="宋体" w:cs="宋体"/>
                <w:color w:val="auto"/>
                <w:szCs w:val="21"/>
                <w:highlight w:val="none"/>
              </w:rPr>
              <w:t>材料</w:t>
            </w:r>
            <w:r>
              <w:rPr>
                <w:rFonts w:hint="eastAsia" w:ascii="宋体" w:hAnsi="宋体" w:eastAsia="宋体" w:cs="宋体"/>
                <w:color w:val="auto"/>
                <w:szCs w:val="21"/>
                <w:highlight w:val="none"/>
                <w:lang w:val="zh-CN"/>
              </w:rPr>
              <w:t>类高级或以上工程师职称，得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分；具有建筑</w:t>
            </w:r>
            <w:r>
              <w:rPr>
                <w:rFonts w:hint="eastAsia" w:ascii="宋体" w:hAnsi="宋体" w:eastAsia="宋体" w:cs="宋体"/>
                <w:color w:val="auto"/>
                <w:szCs w:val="21"/>
                <w:highlight w:val="none"/>
              </w:rPr>
              <w:t>材料</w:t>
            </w:r>
            <w:r>
              <w:rPr>
                <w:rFonts w:hint="eastAsia" w:ascii="宋体" w:hAnsi="宋体" w:eastAsia="宋体" w:cs="宋体"/>
                <w:color w:val="auto"/>
                <w:szCs w:val="21"/>
                <w:highlight w:val="none"/>
                <w:lang w:val="zh-CN"/>
              </w:rPr>
              <w:t>类</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lang w:val="zh-CN"/>
              </w:rPr>
              <w:t>级工程师职称，得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lang w:val="zh-CN"/>
              </w:rPr>
              <w:t>分。本小项最多得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0A4253E8">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）拟派的</w:t>
            </w:r>
            <w:r>
              <w:rPr>
                <w:rFonts w:hint="eastAsia" w:ascii="宋体" w:hAnsi="宋体" w:eastAsia="宋体" w:cs="宋体"/>
                <w:color w:val="auto"/>
                <w:szCs w:val="21"/>
                <w:highlight w:val="none"/>
              </w:rPr>
              <w:t>暖通</w:t>
            </w:r>
            <w:r>
              <w:rPr>
                <w:rFonts w:hint="eastAsia" w:ascii="宋体" w:hAnsi="宋体" w:eastAsia="宋体" w:cs="宋体"/>
                <w:color w:val="auto"/>
                <w:szCs w:val="21"/>
                <w:highlight w:val="none"/>
                <w:lang w:val="zh-CN"/>
              </w:rPr>
              <w:t>专业负责人：具有</w:t>
            </w:r>
            <w:r>
              <w:rPr>
                <w:rFonts w:hint="eastAsia" w:ascii="宋体" w:hAnsi="宋体" w:eastAsia="宋体" w:cs="宋体"/>
                <w:color w:val="auto"/>
                <w:szCs w:val="21"/>
                <w:highlight w:val="none"/>
              </w:rPr>
              <w:t>暖通</w:t>
            </w:r>
            <w:r>
              <w:rPr>
                <w:rFonts w:hint="eastAsia" w:ascii="宋体" w:hAnsi="宋体" w:eastAsia="宋体" w:cs="宋体"/>
                <w:color w:val="auto"/>
                <w:szCs w:val="21"/>
                <w:highlight w:val="none"/>
                <w:lang w:val="zh-CN"/>
              </w:rPr>
              <w:t>类高级或以上工程师职称，得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分；具有</w:t>
            </w:r>
            <w:r>
              <w:rPr>
                <w:rFonts w:hint="eastAsia" w:ascii="宋体" w:hAnsi="宋体" w:eastAsia="宋体" w:cs="宋体"/>
                <w:color w:val="auto"/>
                <w:szCs w:val="21"/>
                <w:highlight w:val="none"/>
              </w:rPr>
              <w:t>暖通</w:t>
            </w:r>
            <w:r>
              <w:rPr>
                <w:rFonts w:hint="eastAsia" w:ascii="宋体" w:hAnsi="宋体" w:eastAsia="宋体" w:cs="宋体"/>
                <w:color w:val="auto"/>
                <w:szCs w:val="21"/>
                <w:highlight w:val="none"/>
                <w:lang w:val="zh-CN"/>
              </w:rPr>
              <w:t>类</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lang w:val="zh-CN"/>
              </w:rPr>
              <w:t>级工程师职称，得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lang w:val="zh-CN"/>
              </w:rPr>
              <w:t>分。本小项最多得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336348A5">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、设计配备人员：（</w:t>
            </w:r>
            <w:r>
              <w:rPr>
                <w:rFonts w:hint="eastAsia" w:ascii="宋体" w:hAnsi="宋体" w:eastAsia="宋体" w:cs="宋体"/>
                <w:color w:val="auto"/>
                <w:szCs w:val="21"/>
                <w:highlight w:val="none"/>
              </w:rPr>
              <w:t>各专业负责人和设计负责人不得兼任</w:t>
            </w:r>
            <w:r>
              <w:rPr>
                <w:rFonts w:hint="eastAsia" w:ascii="宋体" w:hAnsi="宋体" w:eastAsia="宋体" w:cs="宋体"/>
                <w:color w:val="auto"/>
                <w:szCs w:val="21"/>
                <w:highlight w:val="none"/>
                <w:lang w:val="zh-CN"/>
              </w:rPr>
              <w:t>）</w:t>
            </w:r>
          </w:p>
          <w:p w14:paraId="032DF6B5">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（1）建筑专业负责人：①具有建筑相关专业高级或以上工程师职称，得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分；具有建筑相关专业</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lang w:val="zh-CN"/>
              </w:rPr>
              <w:t>级工程师职称，得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lang w:val="zh-CN"/>
              </w:rPr>
              <w:t>分。②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具有有效的一级注册建筑师证书，得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lang w:val="en-US" w:eastAsia="zh-CN"/>
              </w:rPr>
              <w:t>本小项最多得2分。</w:t>
            </w:r>
          </w:p>
          <w:p w14:paraId="6F4179E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（2）结构专业负责人：①具有建筑结构相关专业高级或以上工程师职称，</w:t>
            </w:r>
            <w:r>
              <w:rPr>
                <w:rFonts w:hint="eastAsia" w:ascii="宋体" w:hAnsi="宋体" w:eastAsia="宋体" w:cs="宋体"/>
                <w:color w:val="auto"/>
                <w:szCs w:val="21"/>
                <w:highlight w:val="none"/>
                <w:lang w:val="en-US" w:eastAsia="zh-CN"/>
              </w:rPr>
              <w:t>得1分；</w:t>
            </w:r>
            <w:r>
              <w:rPr>
                <w:rFonts w:hint="eastAsia" w:ascii="宋体" w:hAnsi="宋体" w:eastAsia="宋体" w:cs="宋体"/>
                <w:color w:val="auto"/>
                <w:szCs w:val="21"/>
                <w:highlight w:val="none"/>
                <w:lang w:val="zh-CN"/>
              </w:rPr>
              <w:t>具有建筑结构相关专业</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lang w:val="zh-CN"/>
              </w:rPr>
              <w:t>级工程师职称，</w:t>
            </w:r>
            <w:r>
              <w:rPr>
                <w:rFonts w:hint="eastAsia" w:ascii="宋体" w:hAnsi="宋体" w:eastAsia="宋体" w:cs="宋体"/>
                <w:color w:val="auto"/>
                <w:szCs w:val="21"/>
                <w:highlight w:val="none"/>
                <w:lang w:val="en-US" w:eastAsia="zh-CN"/>
              </w:rPr>
              <w:t>得0.5分。</w:t>
            </w:r>
            <w:r>
              <w:rPr>
                <w:rFonts w:hint="eastAsia" w:ascii="宋体" w:hAnsi="宋体" w:eastAsia="宋体" w:cs="宋体"/>
                <w:color w:val="auto"/>
                <w:szCs w:val="21"/>
                <w:highlight w:val="none"/>
                <w:lang w:val="zh-CN"/>
              </w:rPr>
              <w:t>②具有有效的一级注册结构工程师证书，得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lang w:val="en-US" w:eastAsia="zh-CN"/>
              </w:rPr>
              <w:t>本小项最多得2分。</w:t>
            </w:r>
          </w:p>
          <w:p w14:paraId="68E04065">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（3）电气专业负责人：①具有电气相关专业高级或以上工程师职称，</w:t>
            </w:r>
            <w:r>
              <w:rPr>
                <w:rFonts w:hint="eastAsia" w:ascii="宋体" w:hAnsi="宋体" w:eastAsia="宋体" w:cs="宋体"/>
                <w:color w:val="auto"/>
                <w:szCs w:val="21"/>
                <w:highlight w:val="none"/>
                <w:lang w:val="en-US" w:eastAsia="zh-CN"/>
              </w:rPr>
              <w:t>得1分；</w:t>
            </w:r>
            <w:r>
              <w:rPr>
                <w:rFonts w:hint="eastAsia" w:ascii="宋体" w:hAnsi="宋体" w:eastAsia="宋体" w:cs="宋体"/>
                <w:color w:val="auto"/>
                <w:szCs w:val="21"/>
                <w:highlight w:val="none"/>
                <w:lang w:val="zh-CN"/>
              </w:rPr>
              <w:t>具有电气相关专业</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lang w:val="zh-CN"/>
              </w:rPr>
              <w:t>级工程师职称，</w:t>
            </w:r>
            <w:r>
              <w:rPr>
                <w:rFonts w:hint="eastAsia" w:ascii="宋体" w:hAnsi="宋体" w:eastAsia="宋体" w:cs="宋体"/>
                <w:color w:val="auto"/>
                <w:szCs w:val="21"/>
                <w:highlight w:val="none"/>
                <w:lang w:val="en-US" w:eastAsia="zh-CN"/>
              </w:rPr>
              <w:t>得0.5分。</w:t>
            </w:r>
          </w:p>
          <w:p w14:paraId="22D12043">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②具有有效的</w:t>
            </w:r>
            <w:r>
              <w:rPr>
                <w:rFonts w:hint="eastAsia" w:ascii="宋体" w:hAnsi="宋体" w:eastAsia="宋体" w:cs="宋体"/>
                <w:color w:val="auto"/>
                <w:szCs w:val="21"/>
                <w:highlight w:val="none"/>
              </w:rPr>
              <w:t>注册电气工程师（供配电）证书，得1</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lang w:val="en-US" w:eastAsia="zh-CN"/>
              </w:rPr>
              <w:t>本小项最多得2分。</w:t>
            </w:r>
          </w:p>
          <w:p w14:paraId="0CC2C9EE">
            <w:pPr>
              <w:numPr>
                <w:ilvl w:val="0"/>
                <w:numId w:val="0"/>
              </w:numP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zh-CN" w:eastAsia="zh-CN" w:bidi="ar-SA"/>
              </w:rPr>
              <w:t>（4）</w:t>
            </w:r>
            <w:r>
              <w:rPr>
                <w:rFonts w:hint="eastAsia" w:ascii="宋体" w:hAnsi="宋体" w:eastAsia="宋体" w:cs="宋体"/>
                <w:color w:val="auto"/>
                <w:szCs w:val="21"/>
                <w:highlight w:val="none"/>
                <w:lang w:val="zh-CN"/>
              </w:rPr>
              <w:t>给排水专业负责人：①具有给排水相关专业高级或以上工程师职称，</w:t>
            </w:r>
            <w:r>
              <w:rPr>
                <w:rFonts w:hint="eastAsia" w:ascii="宋体" w:hAnsi="宋体" w:eastAsia="宋体" w:cs="宋体"/>
                <w:color w:val="auto"/>
                <w:szCs w:val="21"/>
                <w:highlight w:val="none"/>
                <w:lang w:val="en-US" w:eastAsia="zh-CN"/>
              </w:rPr>
              <w:t>得1分；</w:t>
            </w:r>
            <w:r>
              <w:rPr>
                <w:rFonts w:hint="eastAsia" w:ascii="宋体" w:hAnsi="宋体" w:eastAsia="宋体" w:cs="宋体"/>
                <w:color w:val="auto"/>
                <w:szCs w:val="21"/>
                <w:highlight w:val="none"/>
                <w:lang w:val="zh-CN"/>
              </w:rPr>
              <w:t>具有给排水相关专业</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lang w:val="zh-CN"/>
              </w:rPr>
              <w:t>级工程师职称，</w:t>
            </w:r>
            <w:r>
              <w:rPr>
                <w:rFonts w:hint="eastAsia" w:ascii="宋体" w:hAnsi="宋体" w:eastAsia="宋体" w:cs="宋体"/>
                <w:color w:val="auto"/>
                <w:szCs w:val="21"/>
                <w:highlight w:val="none"/>
                <w:lang w:val="en-US" w:eastAsia="zh-CN"/>
              </w:rPr>
              <w:t>得0.5分；</w:t>
            </w:r>
            <w:r>
              <w:rPr>
                <w:rFonts w:hint="eastAsia" w:ascii="宋体" w:hAnsi="宋体" w:eastAsia="宋体" w:cs="宋体"/>
                <w:color w:val="auto"/>
                <w:szCs w:val="21"/>
                <w:highlight w:val="none"/>
                <w:lang w:val="zh-CN"/>
              </w:rPr>
              <w:t>②具有有效</w:t>
            </w:r>
            <w:r>
              <w:rPr>
                <w:rFonts w:hint="eastAsia" w:ascii="宋体" w:hAnsi="宋体" w:eastAsia="宋体" w:cs="宋体"/>
                <w:color w:val="auto"/>
                <w:szCs w:val="21"/>
                <w:highlight w:val="none"/>
              </w:rPr>
              <w:t>的注册公用设备工程师（给水排水）证书，得1</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lang w:val="en-US" w:eastAsia="zh-CN"/>
              </w:rPr>
              <w:t>本小项最多得2分。</w:t>
            </w:r>
          </w:p>
          <w:p w14:paraId="62219BE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（5）暖通专业负责人：①具有暖通相关专业高级或以上工程师职称，</w:t>
            </w:r>
            <w:r>
              <w:rPr>
                <w:rFonts w:hint="eastAsia" w:ascii="宋体" w:hAnsi="宋体" w:eastAsia="宋体" w:cs="宋体"/>
                <w:color w:val="auto"/>
                <w:szCs w:val="21"/>
                <w:highlight w:val="none"/>
                <w:lang w:val="en-US" w:eastAsia="zh-CN"/>
              </w:rPr>
              <w:t>得1分；</w:t>
            </w:r>
            <w:r>
              <w:rPr>
                <w:rFonts w:hint="eastAsia" w:ascii="宋体" w:hAnsi="宋体" w:eastAsia="宋体" w:cs="宋体"/>
                <w:color w:val="auto"/>
                <w:szCs w:val="21"/>
                <w:highlight w:val="none"/>
                <w:lang w:val="zh-CN"/>
              </w:rPr>
              <w:t>具有暖通相关专业</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lang w:val="zh-CN"/>
              </w:rPr>
              <w:t>级工程师职称，</w:t>
            </w:r>
            <w:r>
              <w:rPr>
                <w:rFonts w:hint="eastAsia" w:ascii="宋体" w:hAnsi="宋体" w:eastAsia="宋体" w:cs="宋体"/>
                <w:color w:val="auto"/>
                <w:szCs w:val="21"/>
                <w:highlight w:val="none"/>
                <w:lang w:val="en-US" w:eastAsia="zh-CN"/>
              </w:rPr>
              <w:t>得0.5分。</w:t>
            </w:r>
          </w:p>
          <w:p w14:paraId="60D586FA">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②具有有效的注册公用设备工程师（暖通空调）证书，得1分。</w:t>
            </w:r>
            <w:r>
              <w:rPr>
                <w:rFonts w:hint="eastAsia" w:ascii="宋体" w:hAnsi="宋体" w:eastAsia="宋体" w:cs="宋体"/>
                <w:color w:val="auto"/>
                <w:szCs w:val="21"/>
                <w:highlight w:val="none"/>
                <w:lang w:val="en-US" w:eastAsia="zh-CN"/>
              </w:rPr>
              <w:t>本小项最多得2分</w:t>
            </w:r>
          </w:p>
        </w:tc>
      </w:tr>
      <w:tr w14:paraId="4F39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29" w:type="dxa"/>
            <w:vMerge w:val="continue"/>
            <w:vAlign w:val="center"/>
          </w:tcPr>
          <w:p w14:paraId="644A1076">
            <w:pPr>
              <w:widowControl/>
              <w:spacing w:line="360" w:lineRule="auto"/>
              <w:jc w:val="center"/>
              <w:rPr>
                <w:rFonts w:hint="eastAsia" w:ascii="宋体" w:hAnsi="宋体" w:eastAsia="宋体" w:cs="宋体"/>
                <w:color w:val="auto"/>
                <w:szCs w:val="21"/>
                <w:highlight w:val="none"/>
              </w:rPr>
            </w:pPr>
          </w:p>
        </w:tc>
        <w:tc>
          <w:tcPr>
            <w:tcW w:w="879" w:type="dxa"/>
            <w:vMerge w:val="continue"/>
            <w:vAlign w:val="center"/>
          </w:tcPr>
          <w:p w14:paraId="2F63E42C">
            <w:pPr>
              <w:widowControl/>
              <w:jc w:val="center"/>
              <w:rPr>
                <w:rFonts w:hint="eastAsia" w:ascii="宋体" w:hAnsi="宋体" w:eastAsia="宋体" w:cs="宋体"/>
                <w:color w:val="auto"/>
                <w:szCs w:val="21"/>
                <w:highlight w:val="none"/>
              </w:rPr>
            </w:pPr>
          </w:p>
        </w:tc>
        <w:tc>
          <w:tcPr>
            <w:tcW w:w="1365" w:type="dxa"/>
            <w:vAlign w:val="center"/>
          </w:tcPr>
          <w:p w14:paraId="2B35514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质量控制措施</w:t>
            </w:r>
          </w:p>
          <w:p w14:paraId="2670F30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11511" w:type="dxa"/>
            <w:vAlign w:val="center"/>
          </w:tcPr>
          <w:p w14:paraId="7D298E28">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1、针对项目的特点，从质量保证体系、材料的检测、质量通病等三个方面的防治提出质量保证措施的，得</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w:t>
            </w:r>
          </w:p>
          <w:p w14:paraId="01939386">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2、针对项目的特点，从质量保证体系、材料的检测、质量通病等其中两个方面的防治提出质量保证措施的，得</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w:t>
            </w:r>
          </w:p>
          <w:p w14:paraId="182CDE66">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3、针对项目的特点，从质量保证体系、材料的检测、质量通病等其中一个方面的防治提出质量保证措施的，得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43A302CC">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4、不满足前述要求的，得0分。</w:t>
            </w:r>
          </w:p>
        </w:tc>
      </w:tr>
      <w:tr w14:paraId="1BCA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vMerge w:val="continue"/>
            <w:vAlign w:val="center"/>
          </w:tcPr>
          <w:p w14:paraId="2554751D">
            <w:pPr>
              <w:widowControl/>
              <w:spacing w:line="360" w:lineRule="auto"/>
              <w:jc w:val="center"/>
              <w:rPr>
                <w:rFonts w:hint="eastAsia" w:ascii="宋体" w:hAnsi="宋体" w:eastAsia="宋体" w:cs="宋体"/>
                <w:color w:val="auto"/>
                <w:szCs w:val="21"/>
                <w:highlight w:val="none"/>
              </w:rPr>
            </w:pPr>
          </w:p>
        </w:tc>
        <w:tc>
          <w:tcPr>
            <w:tcW w:w="879" w:type="dxa"/>
            <w:vMerge w:val="continue"/>
            <w:vAlign w:val="center"/>
          </w:tcPr>
          <w:p w14:paraId="40F6A31A">
            <w:pPr>
              <w:widowControl/>
              <w:jc w:val="center"/>
              <w:rPr>
                <w:rFonts w:hint="eastAsia" w:ascii="宋体" w:hAnsi="宋体" w:eastAsia="宋体" w:cs="宋体"/>
                <w:color w:val="auto"/>
                <w:szCs w:val="21"/>
                <w:highlight w:val="none"/>
              </w:rPr>
            </w:pPr>
          </w:p>
        </w:tc>
        <w:tc>
          <w:tcPr>
            <w:tcW w:w="1365" w:type="dxa"/>
            <w:vAlign w:val="center"/>
          </w:tcPr>
          <w:p w14:paraId="480473BD">
            <w:pPr>
              <w:pStyle w:val="19"/>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绿色节能控制措施（</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w:t>
            </w:r>
          </w:p>
        </w:tc>
        <w:tc>
          <w:tcPr>
            <w:tcW w:w="11511" w:type="dxa"/>
            <w:vAlign w:val="center"/>
          </w:tcPr>
          <w:p w14:paraId="1162E763">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1、有绿色施工保证体系及组织架构（有机构组织框架图）、绿色文明施工和环境保护各项措施（有“扬尘污染防治专项方案”、“扬尘污染防治费用使用计划”）、“</w:t>
            </w:r>
            <w:r>
              <w:rPr>
                <w:rFonts w:hint="eastAsia" w:ascii="宋体" w:hAnsi="宋体" w:eastAsia="宋体" w:cs="宋体"/>
                <w:color w:val="auto"/>
                <w:szCs w:val="21"/>
                <w:highlight w:val="none"/>
              </w:rPr>
              <w:t>新能源工程车及其他</w:t>
            </w:r>
            <w:r>
              <w:rPr>
                <w:rFonts w:hint="eastAsia" w:ascii="宋体" w:hAnsi="宋体" w:eastAsia="宋体" w:cs="宋体"/>
                <w:color w:val="auto"/>
                <w:szCs w:val="21"/>
                <w:highlight w:val="none"/>
                <w:lang w:val="zh-CN"/>
              </w:rPr>
              <w:t>节能施工设备应用”方案的，得</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w:t>
            </w:r>
          </w:p>
          <w:p w14:paraId="1BCE8E8A">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2、有绿色施工保证体系及组织架构（有机构组织框架图）、绿色文明施工和环境保护各项措施（有“扬尘污染防治专项方案”、“扬尘污染防治费用使用计划”）、“</w:t>
            </w:r>
            <w:r>
              <w:rPr>
                <w:rFonts w:hint="eastAsia" w:ascii="宋体" w:hAnsi="宋体" w:eastAsia="宋体" w:cs="宋体"/>
                <w:color w:val="auto"/>
                <w:szCs w:val="21"/>
                <w:highlight w:val="none"/>
              </w:rPr>
              <w:t>新能源工程车及其他</w:t>
            </w:r>
            <w:r>
              <w:rPr>
                <w:rFonts w:hint="eastAsia" w:ascii="宋体" w:hAnsi="宋体" w:eastAsia="宋体" w:cs="宋体"/>
                <w:color w:val="auto"/>
                <w:szCs w:val="21"/>
                <w:highlight w:val="none"/>
                <w:lang w:val="zh-CN"/>
              </w:rPr>
              <w:t>节能施工设备应用”方案等其中两项的，得</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w:t>
            </w:r>
          </w:p>
          <w:p w14:paraId="2F2D2C47">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3、有绿色施工保证体系及组织架构（有机构组织框架图）、绿色文明施工和环境保护各项措施（有“扬尘污染防治专项方案”、“扬尘污染防治费用使用计划”）、“</w:t>
            </w:r>
            <w:r>
              <w:rPr>
                <w:rFonts w:hint="eastAsia" w:ascii="宋体" w:hAnsi="宋体" w:eastAsia="宋体" w:cs="宋体"/>
                <w:color w:val="auto"/>
                <w:szCs w:val="21"/>
                <w:highlight w:val="none"/>
              </w:rPr>
              <w:t>新能源工程车及其他</w:t>
            </w:r>
            <w:r>
              <w:rPr>
                <w:rFonts w:hint="eastAsia" w:ascii="宋体" w:hAnsi="宋体" w:eastAsia="宋体" w:cs="宋体"/>
                <w:color w:val="auto"/>
                <w:szCs w:val="21"/>
                <w:highlight w:val="none"/>
                <w:lang w:val="zh-CN"/>
              </w:rPr>
              <w:t>节能施工设备应用”方案等其中一项的，得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5298A1F5">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4、不满足前述要求的，得0分。</w:t>
            </w:r>
          </w:p>
        </w:tc>
      </w:tr>
      <w:tr w14:paraId="5B21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29" w:type="dxa"/>
            <w:vMerge w:val="continue"/>
            <w:vAlign w:val="center"/>
          </w:tcPr>
          <w:p w14:paraId="1DD8A33D">
            <w:pPr>
              <w:widowControl/>
              <w:spacing w:line="360" w:lineRule="auto"/>
              <w:jc w:val="center"/>
              <w:rPr>
                <w:rFonts w:hint="eastAsia" w:ascii="宋体" w:hAnsi="宋体" w:eastAsia="宋体" w:cs="宋体"/>
                <w:color w:val="auto"/>
                <w:szCs w:val="21"/>
                <w:highlight w:val="none"/>
              </w:rPr>
            </w:pPr>
          </w:p>
        </w:tc>
        <w:tc>
          <w:tcPr>
            <w:tcW w:w="879" w:type="dxa"/>
            <w:vMerge w:val="continue"/>
            <w:vAlign w:val="center"/>
          </w:tcPr>
          <w:p w14:paraId="5D81DE11">
            <w:pPr>
              <w:widowControl/>
              <w:jc w:val="center"/>
              <w:rPr>
                <w:rFonts w:hint="eastAsia" w:ascii="宋体" w:hAnsi="宋体" w:eastAsia="宋体" w:cs="宋体"/>
                <w:color w:val="auto"/>
                <w:szCs w:val="21"/>
                <w:highlight w:val="none"/>
              </w:rPr>
            </w:pPr>
          </w:p>
        </w:tc>
        <w:tc>
          <w:tcPr>
            <w:tcW w:w="1365" w:type="dxa"/>
            <w:vAlign w:val="center"/>
          </w:tcPr>
          <w:p w14:paraId="1B2B996E">
            <w:pPr>
              <w:widowControl/>
              <w:adjustRightInd w:val="0"/>
              <w:snapToGri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进度控制措施</w:t>
            </w:r>
          </w:p>
          <w:p w14:paraId="7EE4B4A8">
            <w:pPr>
              <w:widowControl/>
              <w:adjustRightInd w:val="0"/>
              <w:snapToGri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分）</w:t>
            </w:r>
          </w:p>
        </w:tc>
        <w:tc>
          <w:tcPr>
            <w:tcW w:w="11511" w:type="dxa"/>
            <w:vAlign w:val="center"/>
          </w:tcPr>
          <w:p w14:paraId="4F1E9555">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1、制定了施工进度计划并有进度计划保证措施，施工工期计划目标对比招标文件合同工期提前5天(含)以上完工，得</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分；</w:t>
            </w:r>
          </w:p>
          <w:p w14:paraId="22AB20DB">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2、制定了施工进度计划并有进度计划保证措施，施工工期计划目标对比招标文件合同工期提前3-4天(含)完工，得</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w:t>
            </w:r>
          </w:p>
          <w:p w14:paraId="3E431C45">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、制定了施工进度计划并有进度计划保证措施，施工工期计划目标对比招标文件合同工期提前</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天(含)完工，得</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分</w:t>
            </w:r>
          </w:p>
          <w:p w14:paraId="48D98E1B">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、制定了施工进度计划并有进度计划保证措施，施工工期计划目标符合招标文件要求，得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07549B48">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、不满足前述要求的，得0分。</w:t>
            </w:r>
          </w:p>
        </w:tc>
      </w:tr>
      <w:tr w14:paraId="7E0A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29" w:type="dxa"/>
            <w:vMerge w:val="continue"/>
            <w:vAlign w:val="center"/>
          </w:tcPr>
          <w:p w14:paraId="0495D623">
            <w:pPr>
              <w:widowControl/>
              <w:spacing w:line="360" w:lineRule="auto"/>
              <w:jc w:val="center"/>
              <w:rPr>
                <w:rFonts w:hint="eastAsia" w:ascii="宋体" w:hAnsi="宋体" w:eastAsia="宋体" w:cs="宋体"/>
                <w:color w:val="auto"/>
                <w:szCs w:val="21"/>
                <w:highlight w:val="none"/>
              </w:rPr>
            </w:pPr>
          </w:p>
        </w:tc>
        <w:tc>
          <w:tcPr>
            <w:tcW w:w="879" w:type="dxa"/>
            <w:vMerge w:val="continue"/>
            <w:vAlign w:val="center"/>
          </w:tcPr>
          <w:p w14:paraId="27187087">
            <w:pPr>
              <w:widowControl/>
              <w:jc w:val="center"/>
              <w:rPr>
                <w:rFonts w:hint="eastAsia" w:ascii="宋体" w:hAnsi="宋体" w:eastAsia="宋体" w:cs="宋体"/>
                <w:color w:val="auto"/>
                <w:szCs w:val="21"/>
                <w:highlight w:val="none"/>
              </w:rPr>
            </w:pPr>
          </w:p>
        </w:tc>
        <w:tc>
          <w:tcPr>
            <w:tcW w:w="1365" w:type="dxa"/>
            <w:vAlign w:val="center"/>
          </w:tcPr>
          <w:p w14:paraId="151B1121">
            <w:pPr>
              <w:widowControl/>
              <w:adjustRightInd w:val="0"/>
              <w:snapToGri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安全控制措施</w:t>
            </w:r>
          </w:p>
          <w:p w14:paraId="6A201E06">
            <w:pPr>
              <w:widowControl/>
              <w:adjustRightInd w:val="0"/>
              <w:snapToGri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分）</w:t>
            </w:r>
          </w:p>
        </w:tc>
        <w:tc>
          <w:tcPr>
            <w:tcW w:w="11511" w:type="dxa"/>
            <w:vAlign w:val="center"/>
          </w:tcPr>
          <w:p w14:paraId="16B1811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1、有安全文明施工目标、安全文明保障体系、安全文明施工保证措施，承诺争创市级或以上安全文明施工示范工地，得4分；</w:t>
            </w:r>
          </w:p>
          <w:p w14:paraId="56D5805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2、有安全文明施工目标、安全文明保障体系、安全文明施工保证措施，得3分；</w:t>
            </w:r>
          </w:p>
          <w:p w14:paraId="25C0FBD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3、有安全文明施工目标、安全文明保障体系、安全文明施工保证措施等其中两项，得2分；</w:t>
            </w:r>
          </w:p>
          <w:p w14:paraId="2F09DEA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4、有安全文明施工目标、安全文明保障体系、安全文明施工保证措施等其中一项，得1分；</w:t>
            </w:r>
          </w:p>
          <w:p w14:paraId="4A9D93B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5、不满足前述要求的，得0分。</w:t>
            </w:r>
          </w:p>
        </w:tc>
      </w:tr>
      <w:tr w14:paraId="2BD0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729" w:type="dxa"/>
            <w:vMerge w:val="restart"/>
            <w:vAlign w:val="center"/>
          </w:tcPr>
          <w:p w14:paraId="6A74E8EC">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四</w:t>
            </w:r>
          </w:p>
        </w:tc>
        <w:tc>
          <w:tcPr>
            <w:tcW w:w="879" w:type="dxa"/>
            <w:vMerge w:val="restart"/>
            <w:vAlign w:val="center"/>
          </w:tcPr>
          <w:p w14:paraId="6202ED72">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实施方案运营部分（</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tc>
        <w:tc>
          <w:tcPr>
            <w:tcW w:w="1365" w:type="dxa"/>
            <w:shd w:val="clear" w:color="auto" w:fill="auto"/>
            <w:vAlign w:val="center"/>
          </w:tcPr>
          <w:p w14:paraId="19223486">
            <w:pPr>
              <w:widowControl/>
              <w:adjustRightInd w:val="0"/>
              <w:snapToGrid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招商引进（</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11511" w:type="dxa"/>
            <w:shd w:val="clear" w:color="auto" w:fill="auto"/>
            <w:vAlign w:val="center"/>
          </w:tcPr>
          <w:p w14:paraId="0A35120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1、投标人承诺引进专精特新企业的，每提供一家，得3分；</w:t>
            </w:r>
          </w:p>
          <w:p w14:paraId="0C9116B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2、投标人承诺引进高新技术企业的，每提供一家，得2分；</w:t>
            </w:r>
          </w:p>
          <w:p w14:paraId="718EB12D">
            <w:pP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zh-CN"/>
              </w:rPr>
              <w:t>本项最多得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分。</w:t>
            </w:r>
          </w:p>
        </w:tc>
      </w:tr>
      <w:tr w14:paraId="2F52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29" w:type="dxa"/>
            <w:vMerge w:val="continue"/>
            <w:vAlign w:val="center"/>
          </w:tcPr>
          <w:p w14:paraId="2ABD354D">
            <w:pPr>
              <w:widowControl/>
              <w:spacing w:line="360" w:lineRule="auto"/>
              <w:jc w:val="center"/>
              <w:rPr>
                <w:rFonts w:hint="eastAsia" w:ascii="宋体" w:hAnsi="宋体" w:eastAsia="宋体" w:cs="宋体"/>
                <w:color w:val="auto"/>
                <w:szCs w:val="21"/>
                <w:highlight w:val="none"/>
              </w:rPr>
            </w:pPr>
          </w:p>
        </w:tc>
        <w:tc>
          <w:tcPr>
            <w:tcW w:w="879" w:type="dxa"/>
            <w:vMerge w:val="continue"/>
            <w:vAlign w:val="center"/>
          </w:tcPr>
          <w:p w14:paraId="59C1E828">
            <w:pPr>
              <w:widowControl/>
              <w:jc w:val="center"/>
              <w:rPr>
                <w:rFonts w:hint="eastAsia" w:ascii="宋体" w:hAnsi="宋体" w:eastAsia="宋体" w:cs="宋体"/>
                <w:color w:val="auto"/>
                <w:szCs w:val="21"/>
                <w:highlight w:val="none"/>
              </w:rPr>
            </w:pPr>
          </w:p>
        </w:tc>
        <w:tc>
          <w:tcPr>
            <w:tcW w:w="1365" w:type="dxa"/>
            <w:vAlign w:val="center"/>
          </w:tcPr>
          <w:p w14:paraId="1C05F838">
            <w:pPr>
              <w:widowControl/>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运营管理措施（10分）</w:t>
            </w:r>
          </w:p>
        </w:tc>
        <w:tc>
          <w:tcPr>
            <w:tcW w:w="11511" w:type="dxa"/>
            <w:vAlign w:val="center"/>
          </w:tcPr>
          <w:p w14:paraId="22704FC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1、针对本项目的运营思路及方案、品牌宣传及招商策略切实可行的，得10分；</w:t>
            </w:r>
          </w:p>
          <w:p w14:paraId="0E613FC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2、针对本项目的运营思路及方案、品牌宣传及招商策略较合理的，得9分；</w:t>
            </w:r>
          </w:p>
          <w:p w14:paraId="750C54C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3、针对本项目的运营思路及方案、品牌宣传及招商策略一般的，得8分；</w:t>
            </w:r>
          </w:p>
          <w:p w14:paraId="702C242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4、不满足前述要求的，得0分。</w:t>
            </w:r>
          </w:p>
        </w:tc>
      </w:tr>
      <w:tr w14:paraId="57DB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973" w:type="dxa"/>
            <w:gridSpan w:val="3"/>
            <w:vAlign w:val="center"/>
          </w:tcPr>
          <w:p w14:paraId="07985BC2">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合计（100分）</w:t>
            </w:r>
          </w:p>
        </w:tc>
        <w:tc>
          <w:tcPr>
            <w:tcW w:w="11511" w:type="dxa"/>
            <w:vAlign w:val="center"/>
          </w:tcPr>
          <w:p w14:paraId="4B40A0B4">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（一）得分+（二）得分+（三）得分+（</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）得分</w:t>
            </w:r>
          </w:p>
        </w:tc>
      </w:tr>
    </w:tbl>
    <w:p w14:paraId="5A01B44C">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注：</w:t>
      </w:r>
    </w:p>
    <w:p w14:paraId="5E65D29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1、本表按百分制评分，所有评委每个分项的分数汇总后的算术平均值作为投标人的工程总承包实施及运营管理方案得分。分数出现小数点，保留小数点后二位小数，第三位小数四舍五入。</w:t>
      </w:r>
    </w:p>
    <w:p w14:paraId="054C402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2、业绩说明：</w:t>
      </w:r>
    </w:p>
    <w:p w14:paraId="299C70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施工业绩：</w:t>
      </w:r>
      <w:r>
        <w:rPr>
          <w:rFonts w:hint="eastAsia" w:ascii="宋体" w:hAnsi="宋体"/>
          <w:b w:val="0"/>
          <w:bCs w:val="0"/>
          <w:color w:val="auto"/>
          <w:szCs w:val="21"/>
          <w:highlight w:val="none"/>
          <w:lang w:val="en-US" w:eastAsia="zh-CN"/>
        </w:rPr>
        <w:t>包括</w:t>
      </w:r>
      <w:r>
        <w:rPr>
          <w:rFonts w:hint="eastAsia" w:ascii="宋体" w:hAnsi="宋体"/>
          <w:color w:val="auto"/>
          <w:szCs w:val="21"/>
          <w:highlight w:val="none"/>
        </w:rPr>
        <w:t>房屋建筑工程或建筑工程施工总承包或工程总承包</w:t>
      </w:r>
      <w:r>
        <w:rPr>
          <w:rFonts w:hint="default" w:ascii="宋体" w:hAnsi="宋体"/>
          <w:color w:val="auto"/>
          <w:szCs w:val="21"/>
          <w:highlight w:val="none"/>
          <w:lang w:val="en-US"/>
        </w:rPr>
        <w:t>（包括</w:t>
      </w:r>
      <w:r>
        <w:rPr>
          <w:rFonts w:hint="eastAsia" w:ascii="宋体" w:hAnsi="宋体"/>
          <w:color w:val="auto"/>
          <w:szCs w:val="21"/>
          <w:highlight w:val="none"/>
        </w:rPr>
        <w:t>勘察设计施工总承包或设计施工总承包或设计采购施工总承包或勘察设计采购施工总承包项目中的施工部分业绩）业绩。</w:t>
      </w:r>
    </w:p>
    <w:p w14:paraId="1012D7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库内不存在对应业绩，项目编号存在对应业绩的，以项目编号对应的业绩为准。评标委员会对业绩的评审以投标截止时间在库内业绩上传件为依据。（库内业绩上传件无需在投标文件中提交）</w:t>
      </w:r>
    </w:p>
    <w:p w14:paraId="779680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（1）金额以中标通知书为准，中标通知书上没有金额或免招标的，以施工合同为准。</w:t>
      </w:r>
    </w:p>
    <w:p w14:paraId="2C4D68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（2）完成时间以竣工验收报告为准（分批验收的以最后一份竣工验收的时间为准）。验收文件至少具有建设单位、设计、施工和监理单位盖章。</w:t>
      </w:r>
    </w:p>
    <w:p w14:paraId="27D39E11">
      <w:pPr>
        <w:spacing w:line="360" w:lineRule="auto"/>
        <w:ind w:firstLine="420" w:firstLineChars="200"/>
        <w:jc w:val="left"/>
        <w:rPr>
          <w:rFonts w:ascii="宋体" w:hAnsi="宋体" w:cs="宋体"/>
          <w:color w:val="auto"/>
          <w:szCs w:val="21"/>
          <w:highlight w:val="none"/>
          <w:lang w:val="zh-CN"/>
        </w:rPr>
      </w:pPr>
      <w:r>
        <w:rPr>
          <w:rFonts w:hint="eastAsia" w:ascii="宋体" w:hAnsi="宋体"/>
          <w:color w:val="auto"/>
          <w:szCs w:val="21"/>
          <w:highlight w:val="none"/>
        </w:rPr>
        <w:t>（3）库内业绩上传件不符合上述要求的或登记的工程资质内容</w:t>
      </w:r>
      <w:r>
        <w:rPr>
          <w:rFonts w:hint="eastAsia" w:ascii="宋体" w:hAnsi="宋体" w:cs="Arial"/>
          <w:color w:val="auto"/>
          <w:highlight w:val="none"/>
          <w:u w:val="single"/>
        </w:rPr>
        <w:t>【具体资质要求：建筑工程施工总承包（原房屋建筑工程施工总承包）】</w:t>
      </w:r>
      <w:r>
        <w:rPr>
          <w:rFonts w:hint="eastAsia" w:ascii="宋体" w:hAnsi="宋体"/>
          <w:color w:val="auto"/>
          <w:szCs w:val="21"/>
          <w:highlight w:val="none"/>
        </w:rPr>
        <w:t>与施工合同等业绩证明资料不相符的，该项业绩不予认定。</w:t>
      </w:r>
    </w:p>
    <w:p w14:paraId="34C0A2F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zh-CN"/>
        </w:rPr>
        <w:t>设计业绩：</w:t>
      </w:r>
      <w:r>
        <w:rPr>
          <w:rFonts w:hint="eastAsia" w:ascii="宋体" w:hAnsi="宋体" w:cs="宋体"/>
          <w:color w:val="auto"/>
          <w:szCs w:val="21"/>
          <w:highlight w:val="none"/>
        </w:rPr>
        <w:t>投标人须同时提供业绩合同关键页扫描件（须含封面页、规模页、盖章页）、中标通知书扫描件、施工图审查合格证书扫描件。时间和工程规模以签订的设计合同为准。未提供证明文件的，不得分。</w:t>
      </w:r>
    </w:p>
    <w:p w14:paraId="132A0DF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3、工程获奖：</w:t>
      </w:r>
    </w:p>
    <w:p w14:paraId="267FF33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（1）工程获奖可取自广州市住建行业信用管理平台或提供获奖证书扫描件。①国家级质量奖项包括</w:t>
      </w:r>
      <w:r>
        <w:rPr>
          <w:rFonts w:hint="eastAsia" w:ascii="宋体" w:hAnsi="宋体" w:cs="宋体"/>
          <w:color w:val="auto"/>
          <w:szCs w:val="21"/>
          <w:highlight w:val="none"/>
          <w:lang w:val="en-US" w:eastAsia="zh-CN"/>
        </w:rPr>
        <w:t>但不限于</w:t>
      </w:r>
      <w:r>
        <w:rPr>
          <w:rFonts w:hint="eastAsia" w:ascii="宋体" w:hAnsi="宋体" w:cs="宋体"/>
          <w:color w:val="auto"/>
          <w:szCs w:val="21"/>
          <w:highlight w:val="none"/>
        </w:rPr>
        <w:t>：中国建设工程鲁班奖、国家优质工程金质奖、国家优质工程奖、中国土木工程詹天佑奖；省、市级质量奖项是指由省、市级建设行政主管部门或行业协会或学会（须在民政部门取得成立登记批准）颁发的工程质量奖，不含安全文明、绿色施工、钢结构、装修、机电安装、技术创新、QC成果、科技进步及技术应用类等奖项；②只计算房建类项目获奖，其他非房建项目，如：路桥、铁路、水利、电力、化工、冶金、市政、港口航道等获奖不参与计分。同一项目获得多个奖项的，该项目获奖只按其中一个奖项所在最高级别计算一次分数，不得重复计算；时间以获奖证书颁奖时间为准。</w:t>
      </w:r>
    </w:p>
    <w:p w14:paraId="5B2B411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工程获奖取自广州市住建行业信用管理平台的，投标人须提交广州市住建行业信用管理平台的网页信息截图（网页信息截图须能清晰显示带有“住建行业信用管理平台”名称，并至少包含“项目基本信息”、“奖项信息”等信息），评标委员会对工程奖项的评审以投标截止时间在平台内工程奖项上传件为依据。不符合上述条件不予评审。</w:t>
      </w:r>
    </w:p>
    <w:p w14:paraId="5B94808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（3）工程获奖不取自广州市住建行业信用管理平台的，须提交获奖证书扫描件、中标通知书（或免招标证明）、合同作为证明文件。</w:t>
      </w:r>
    </w:p>
    <w:p w14:paraId="4CDFA78B">
      <w:pPr>
        <w:spacing w:line="360" w:lineRule="auto"/>
        <w:rPr>
          <w:rFonts w:ascii="宋体" w:hAnsi="宋体" w:cs="宋体"/>
          <w:color w:val="auto"/>
          <w:szCs w:val="21"/>
          <w:highlight w:val="none"/>
        </w:rPr>
      </w:pPr>
      <w:r>
        <w:rPr>
          <w:rFonts w:hint="eastAsia" w:ascii="宋体" w:hAnsi="宋体" w:cs="宋体"/>
          <w:color w:val="auto"/>
          <w:szCs w:val="21"/>
          <w:highlight w:val="none"/>
        </w:rPr>
        <w:t>（4）若颁发单位是行业协会或学会，须同时提供该颁发单位在“中国社会组织政务服务平台”网站登记的查询结果截图，否则不予计分。</w:t>
      </w:r>
    </w:p>
    <w:p w14:paraId="1230F970">
      <w:pPr>
        <w:spacing w:line="360" w:lineRule="auto"/>
        <w:rPr>
          <w:rFonts w:ascii="宋体" w:hAnsi="宋体" w:cs="宋体"/>
          <w:color w:val="auto"/>
          <w:szCs w:val="21"/>
          <w:highlight w:val="none"/>
        </w:rPr>
      </w:pPr>
      <w:r>
        <w:rPr>
          <w:rFonts w:ascii="宋体" w:hAnsi="宋体" w:cs="宋体"/>
          <w:color w:val="auto"/>
          <w:szCs w:val="21"/>
          <w:highlight w:val="none"/>
        </w:rPr>
        <w:t>4、企业研发能力：</w:t>
      </w:r>
      <w:r>
        <w:rPr>
          <w:rFonts w:hint="eastAsia" w:ascii="宋体" w:hAnsi="宋体" w:cs="宋体"/>
          <w:color w:val="auto"/>
          <w:szCs w:val="21"/>
          <w:highlight w:val="none"/>
        </w:rPr>
        <w:t>建筑工程类科学技术进步奖或科学技术奖：指市级或以上政府部门或中国社会组织依法依规设立的“科学技术进步奖”或“科技进步奖”或“科学技术奖”：须提供奖项证书扫描件，时间以证书中载明的发证时间为准，如为协会或学会颁发同时须提供其在“全国社会组织信用信息公示平台”网站（https://xxgs.chinanpo.mca.gov.cn/gsxt/newList）查询结果的网页截图；仅计算建筑工程获得的科学技术奖，证书上需明确其为建筑工程获得的科学技术奖励，若无法明确，需提供当地行政主管部门或科技行政部门认可的组织出具的科学技术成果鉴定证书或第三方技术评价证明材料扫描件，并且在科学技术成果鉴定证书或第三方评价证明材料中需明确该科学技术奖励的研究背景项目为建筑工程项目，无法提供证书清晰扫描件和科学技术成果鉴定证书或第三方评价证明材料扫描件的且无法证明该科学技术奖励为建筑工程项目获得的科学技术奖励不得分。同一科学技术进步奖或科技进步奖或科学技术奖获得不同级别奖项的按最高级别只计一次得分。</w:t>
      </w:r>
    </w:p>
    <w:p w14:paraId="0470C91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5、第三方评价：</w:t>
      </w:r>
      <w:r>
        <w:rPr>
          <w:rFonts w:hint="eastAsia" w:ascii="宋体" w:hAnsi="宋体"/>
          <w:color w:val="auto"/>
          <w:highlight w:val="none"/>
        </w:rPr>
        <w:t>科技创新先进企业须提供网上查询名单公示或公布截图（须由建设行政主管部门或工程类行业协会或工程类学会颁发）以及证书的扫描件（证书获奖单位必须与投标单位名称一致，不包含上级公司、子分公司及区域公司），时间以网上查询结果截图或证书载明的年度为准。若颁发单位是行业协会或学会，须同时提供该颁发单位在“中国社会组织政务服务平台”网站(https://chinanpo.mca.gov.cn)登记的查询结果截图，否则该证书不予认定。不满足上述要求的或未提供相关证明材料的不计分。</w:t>
      </w:r>
    </w:p>
    <w:p w14:paraId="5240FEAE">
      <w:pPr>
        <w:numPr>
          <w:ilvl w:val="-1"/>
          <w:numId w:val="0"/>
        </w:numPr>
        <w:spacing w:line="360" w:lineRule="auto"/>
        <w:jc w:val="left"/>
        <w:rPr>
          <w:rFonts w:ascii="宋体" w:hAnsi="宋体" w:cs="宋体"/>
          <w:color w:val="auto"/>
          <w:szCs w:val="21"/>
          <w:highlight w:val="none"/>
        </w:rPr>
      </w:pPr>
      <w:r>
        <w:rPr>
          <w:rFonts w:hint="eastAsia" w:ascii="宋体" w:hAnsi="宋体" w:cs="宋体"/>
          <w:color w:val="auto"/>
          <w:szCs w:val="21"/>
          <w:highlight w:val="none"/>
        </w:rPr>
        <w:t>6、人员说明：①所有人员须提供相关证明资料和近一个月（2025年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月）在本单位或其分公司（不含子公司）缴纳社保的证明材料扫描件</w:t>
      </w:r>
      <w:r>
        <w:rPr>
          <w:rFonts w:hint="eastAsia" w:ascii="宋体" w:hAnsi="宋体" w:cs="宋体"/>
          <w:color w:val="auto"/>
          <w:kern w:val="2"/>
          <w:szCs w:val="21"/>
          <w:highlight w:val="none"/>
        </w:rPr>
        <w:t>。社保证明文件以加盖社会保险</w:t>
      </w:r>
      <w:r>
        <w:rPr>
          <w:rFonts w:hint="eastAsia" w:ascii="宋体" w:hAnsi="宋体" w:cs="宋体"/>
          <w:color w:val="auto"/>
          <w:kern w:val="2"/>
          <w:szCs w:val="21"/>
          <w:highlight w:val="none"/>
          <w:lang w:val="en-US" w:eastAsia="zh-CN"/>
        </w:rPr>
        <w:t>机构</w:t>
      </w:r>
      <w:r>
        <w:rPr>
          <w:rFonts w:hint="eastAsia" w:ascii="宋体" w:hAnsi="宋体" w:cs="宋体"/>
          <w:color w:val="auto"/>
          <w:kern w:val="2"/>
          <w:szCs w:val="21"/>
          <w:highlight w:val="none"/>
        </w:rPr>
        <w:t>印章的相关资料为准。</w:t>
      </w:r>
      <w:r>
        <w:rPr>
          <w:rFonts w:hint="eastAsia" w:ascii="宋体" w:hAnsi="宋体" w:cs="宋体"/>
          <w:color w:val="auto"/>
          <w:szCs w:val="21"/>
          <w:highlight w:val="none"/>
        </w:rPr>
        <w:t>未提供或所提供的证明资料不符合要求的，则该评分节点不予评审。②投标人提供的相关人员职称证书只按其最高职称加分。③上述人员岗位不能相互兼任。④投标人组成联合体有两家施工单位，</w:t>
      </w:r>
      <w:r>
        <w:rPr>
          <w:rFonts w:hint="eastAsia" w:ascii="宋体" w:hAnsi="宋体" w:cs="宋体"/>
          <w:color w:val="auto"/>
          <w:szCs w:val="21"/>
          <w:highlight w:val="none"/>
          <w:lang w:val="en-US" w:eastAsia="zh-CN"/>
        </w:rPr>
        <w:t>项目负责人（兼</w:t>
      </w:r>
      <w:r>
        <w:rPr>
          <w:rFonts w:hint="eastAsia" w:ascii="宋体" w:hAnsi="宋体" w:cs="宋体"/>
          <w:color w:val="auto"/>
          <w:szCs w:val="21"/>
          <w:highlight w:val="none"/>
        </w:rPr>
        <w:t>施工负责人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、专职安全员、技术负责人，应全部由其中一家施工单位提供，其余施工人员不做限制。</w:t>
      </w:r>
    </w:p>
    <w:p w14:paraId="4CF0CD6E">
      <w:pPr>
        <w:numPr>
          <w:ilvl w:val="0"/>
          <w:numId w:val="2"/>
        </w:numPr>
        <w:spacing w:line="360" w:lineRule="auto"/>
        <w:jc w:val="left"/>
        <w:rPr>
          <w:rFonts w:ascii="宋体" w:hAnsi="宋体" w:cs="宋体"/>
          <w:color w:val="auto"/>
          <w:szCs w:val="21"/>
          <w:highlight w:val="none"/>
        </w:rPr>
      </w:pPr>
      <w:r>
        <w:rPr>
          <w:rFonts w:hint="eastAsia" w:ascii="宋体" w:hAnsi="宋体" w:cs="宋体"/>
          <w:color w:val="auto"/>
          <w:szCs w:val="21"/>
          <w:highlight w:val="none"/>
        </w:rPr>
        <w:t>招商引进:投标人牵头方需提供与专精特新或高新企业签订的进驻框架协议</w:t>
      </w:r>
      <w:r>
        <w:rPr>
          <w:rFonts w:hint="eastAsia" w:ascii="宋体" w:hAnsi="宋体" w:cs="宋体"/>
          <w:color w:val="auto"/>
          <w:szCs w:val="21"/>
          <w:highlight w:val="none"/>
          <w:lang w:val="en-US" w:eastAsia="zh-CN"/>
        </w:rPr>
        <w:t>清晰</w:t>
      </w:r>
      <w:r>
        <w:rPr>
          <w:rFonts w:hint="eastAsia" w:ascii="宋体" w:hAnsi="宋体" w:cs="宋体"/>
          <w:color w:val="auto"/>
          <w:szCs w:val="21"/>
          <w:highlight w:val="none"/>
        </w:rPr>
        <w:t>扫描件，并提供专精特新或高新企业相关证明文件且在有效期内。</w:t>
      </w:r>
    </w:p>
    <w:p w14:paraId="46BE34DD">
      <w:pPr>
        <w:numPr>
          <w:ilvl w:val="0"/>
          <w:numId w:val="2"/>
        </w:numPr>
        <w:spacing w:line="360" w:lineRule="auto"/>
        <w:rPr>
          <w:rFonts w:ascii="宋体" w:hAnsi="宋体"/>
          <w:color w:val="auto"/>
          <w:highlight w:val="none"/>
        </w:rPr>
      </w:pPr>
      <w:r>
        <w:rPr>
          <w:rFonts w:hint="eastAsia" w:ascii="宋体" w:hAnsi="宋体"/>
          <w:color w:val="auto"/>
          <w:highlight w:val="none"/>
        </w:rPr>
        <w:t>以上扫描件及截图均需加盖投标单位</w:t>
      </w:r>
      <w:r>
        <w:rPr>
          <w:rFonts w:hint="eastAsia" w:ascii="宋体" w:hAnsi="宋体" w:cs="宋体"/>
          <w:color w:val="auto"/>
          <w:highlight w:val="none"/>
        </w:rPr>
        <w:t>（联合体投标的，指牵头单位）</w:t>
      </w:r>
      <w:r>
        <w:rPr>
          <w:rFonts w:hint="eastAsia" w:ascii="宋体" w:hAnsi="宋体"/>
          <w:color w:val="auto"/>
          <w:highlight w:val="none"/>
        </w:rPr>
        <w:t>电子印章。</w:t>
      </w:r>
    </w:p>
    <w:p w14:paraId="1C2687AC">
      <w:pPr>
        <w:spacing w:line="360" w:lineRule="auto"/>
        <w:rPr>
          <w:color w:val="auto"/>
          <w:highlight w:val="none"/>
        </w:rPr>
      </w:pPr>
      <w:r>
        <w:rPr>
          <w:rFonts w:hint="eastAsia" w:ascii="宋体" w:hAnsi="宋体" w:cs="宋体"/>
          <w:color w:val="auto"/>
          <w:szCs w:val="21"/>
          <w:highlight w:val="none"/>
        </w:rPr>
        <w:t>评委签名：                              日期：</w:t>
      </w:r>
    </w:p>
    <w:p w14:paraId="135078AA">
      <w:pPr>
        <w:spacing w:line="360" w:lineRule="auto"/>
        <w:rPr>
          <w:rFonts w:hint="eastAsia" w:ascii="宋体" w:hAnsi="宋体" w:cs="宋体"/>
          <w:bCs/>
          <w:snapToGrid w:val="0"/>
          <w:color w:val="auto"/>
          <w:spacing w:val="-10"/>
          <w:szCs w:val="21"/>
          <w:highlight w:val="none"/>
        </w:rPr>
      </w:pPr>
      <w:r>
        <w:rPr>
          <w:rFonts w:ascii="宋体" w:hAnsi="宋体" w:cs="宋体"/>
          <w:b/>
          <w:color w:val="auto"/>
          <w:kern w:val="1"/>
          <w:sz w:val="24"/>
          <w:highlight w:val="none"/>
        </w:rPr>
        <w:br w:type="page"/>
      </w:r>
    </w:p>
    <w:p w14:paraId="1377FA4A">
      <w:pPr>
        <w:spacing w:line="360" w:lineRule="auto"/>
        <w:rPr>
          <w:rFonts w:hint="eastAsia" w:ascii="宋体" w:hAnsi="宋体" w:eastAsia="宋体" w:cs="宋体"/>
          <w:b/>
          <w:color w:val="auto"/>
          <w:kern w:val="1"/>
          <w:sz w:val="24"/>
          <w:highlight w:val="none"/>
          <w:lang w:eastAsia="zh-CN"/>
        </w:rPr>
      </w:pPr>
      <w:r>
        <w:rPr>
          <w:rFonts w:hint="eastAsia" w:ascii="宋体" w:hAnsi="宋体" w:cs="宋体"/>
          <w:b/>
          <w:color w:val="auto"/>
          <w:kern w:val="1"/>
          <w:sz w:val="24"/>
          <w:highlight w:val="none"/>
        </w:rPr>
        <w:t>附表</w:t>
      </w:r>
      <w:r>
        <w:rPr>
          <w:rFonts w:hint="eastAsia" w:ascii="宋体" w:hAnsi="宋体" w:cs="宋体"/>
          <w:b/>
          <w:color w:val="auto"/>
          <w:kern w:val="1"/>
          <w:sz w:val="24"/>
          <w:highlight w:val="none"/>
          <w:lang w:val="en-US" w:eastAsia="zh-CN"/>
        </w:rPr>
        <w:t>5</w:t>
      </w:r>
    </w:p>
    <w:p w14:paraId="48AB2921">
      <w:pPr>
        <w:spacing w:before="120" w:line="360" w:lineRule="auto"/>
        <w:jc w:val="center"/>
        <w:rPr>
          <w:rFonts w:ascii="宋体" w:hAnsi="宋体" w:cs="宋体"/>
          <w:b/>
          <w:color w:val="auto"/>
          <w:kern w:val="1"/>
          <w:sz w:val="28"/>
          <w:szCs w:val="28"/>
          <w:highlight w:val="none"/>
        </w:rPr>
      </w:pPr>
      <w:bookmarkStart w:id="632" w:name="_Hlk69827118"/>
      <w:r>
        <w:rPr>
          <w:rFonts w:hint="eastAsia" w:ascii="宋体" w:hAnsi="宋体" w:cs="宋体"/>
          <w:b/>
          <w:color w:val="auto"/>
          <w:kern w:val="1"/>
          <w:sz w:val="28"/>
          <w:szCs w:val="28"/>
          <w:highlight w:val="none"/>
        </w:rPr>
        <w:t>建安工程费总投标报价</w:t>
      </w:r>
      <w:bookmarkEnd w:id="632"/>
      <w:r>
        <w:rPr>
          <w:rFonts w:hint="eastAsia" w:ascii="宋体" w:hAnsi="宋体" w:cs="宋体"/>
          <w:b/>
          <w:color w:val="auto"/>
          <w:kern w:val="1"/>
          <w:sz w:val="28"/>
          <w:szCs w:val="28"/>
          <w:highlight w:val="none"/>
        </w:rPr>
        <w:t>算术复核表</w:t>
      </w:r>
    </w:p>
    <w:p w14:paraId="62ECB31C">
      <w:pPr>
        <w:spacing w:line="360" w:lineRule="auto"/>
        <w:ind w:firstLine="420" w:firstLineChars="200"/>
        <w:jc w:val="left"/>
        <w:rPr>
          <w:rFonts w:ascii="宋体" w:hAnsi="宋体" w:cs="宋体"/>
          <w:color w:val="auto"/>
          <w:kern w:val="1"/>
          <w:highlight w:val="none"/>
        </w:rPr>
      </w:pPr>
      <w:r>
        <w:rPr>
          <w:rFonts w:hint="eastAsia" w:ascii="宋体" w:hAnsi="宋体" w:cs="宋体"/>
          <w:color w:val="auto"/>
          <w:kern w:val="1"/>
          <w:highlight w:val="none"/>
        </w:rPr>
        <w:t>项目名称：</w:t>
      </w:r>
    </w:p>
    <w:tbl>
      <w:tblPr>
        <w:tblStyle w:val="20"/>
        <w:tblW w:w="14004" w:type="dxa"/>
        <w:tblInd w:w="288" w:type="dxa"/>
        <w:tblLayout w:type="fixed"/>
        <w:tblCellMar>
          <w:top w:w="0" w:type="dxa"/>
          <w:left w:w="108" w:type="dxa"/>
          <w:bottom w:w="0" w:type="dxa"/>
          <w:right w:w="108" w:type="dxa"/>
        </w:tblCellMar>
      </w:tblPr>
      <w:tblGrid>
        <w:gridCol w:w="888"/>
        <w:gridCol w:w="4440"/>
        <w:gridCol w:w="3060"/>
        <w:gridCol w:w="3240"/>
        <w:gridCol w:w="2376"/>
      </w:tblGrid>
      <w:tr w14:paraId="43573F53">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4A168DE7">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4440" w:type="dxa"/>
            <w:tcBorders>
              <w:top w:val="single" w:color="000000" w:sz="4" w:space="0"/>
              <w:left w:val="single" w:color="000000" w:sz="4" w:space="0"/>
              <w:bottom w:val="single" w:color="000000" w:sz="4" w:space="0"/>
              <w:right w:val="single" w:color="000000" w:sz="4" w:space="0"/>
            </w:tcBorders>
            <w:vAlign w:val="center"/>
          </w:tcPr>
          <w:p w14:paraId="4F13CA64">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投标人名称</w:t>
            </w:r>
          </w:p>
        </w:tc>
        <w:tc>
          <w:tcPr>
            <w:tcW w:w="3060" w:type="dxa"/>
            <w:tcBorders>
              <w:top w:val="single" w:color="000000" w:sz="4" w:space="0"/>
              <w:left w:val="single" w:color="000000" w:sz="4" w:space="0"/>
              <w:bottom w:val="single" w:color="000000" w:sz="4" w:space="0"/>
              <w:right w:val="single" w:color="000000" w:sz="4" w:space="0"/>
            </w:tcBorders>
            <w:vAlign w:val="center"/>
          </w:tcPr>
          <w:p w14:paraId="2ED1670C">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原建安工程费总投标报价（A）</w:t>
            </w:r>
          </w:p>
        </w:tc>
        <w:tc>
          <w:tcPr>
            <w:tcW w:w="3240" w:type="dxa"/>
            <w:tcBorders>
              <w:top w:val="single" w:color="000000" w:sz="4" w:space="0"/>
              <w:left w:val="single" w:color="000000" w:sz="4" w:space="0"/>
              <w:bottom w:val="single" w:color="000000" w:sz="4" w:space="0"/>
              <w:right w:val="single" w:color="000000" w:sz="4" w:space="0"/>
            </w:tcBorders>
            <w:vAlign w:val="center"/>
          </w:tcPr>
          <w:p w14:paraId="4286A4C2">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算术复核后的建安工程费总投标报价（B）</w:t>
            </w:r>
          </w:p>
        </w:tc>
        <w:tc>
          <w:tcPr>
            <w:tcW w:w="2376" w:type="dxa"/>
            <w:tcBorders>
              <w:top w:val="single" w:color="000000" w:sz="4" w:space="0"/>
              <w:left w:val="single" w:color="000000" w:sz="4" w:space="0"/>
              <w:bottom w:val="single" w:color="000000" w:sz="4" w:space="0"/>
              <w:right w:val="single" w:color="000000" w:sz="4" w:space="0"/>
            </w:tcBorders>
            <w:vAlign w:val="center"/>
          </w:tcPr>
          <w:p w14:paraId="6D7AD9DB">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误差率（r=|A-B|/A×100%）</w:t>
            </w:r>
          </w:p>
        </w:tc>
      </w:tr>
      <w:tr w14:paraId="41FA5C33">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3F5DC93">
            <w:pPr>
              <w:spacing w:line="360" w:lineRule="auto"/>
              <w:jc w:val="center"/>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0054BFC0">
            <w:pPr>
              <w:spacing w:line="360" w:lineRule="auto"/>
              <w:jc w:val="center"/>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62E4994">
            <w:pPr>
              <w:spacing w:line="360" w:lineRule="auto"/>
              <w:jc w:val="center"/>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06EA279A">
            <w:pPr>
              <w:spacing w:line="360" w:lineRule="auto"/>
              <w:jc w:val="center"/>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01ED1CC3">
            <w:pPr>
              <w:spacing w:line="360" w:lineRule="auto"/>
              <w:jc w:val="center"/>
              <w:rPr>
                <w:rFonts w:ascii="宋体" w:hAnsi="宋体" w:cs="宋体"/>
                <w:b/>
                <w:color w:val="auto"/>
                <w:kern w:val="1"/>
                <w:sz w:val="24"/>
                <w:szCs w:val="24"/>
                <w:highlight w:val="none"/>
              </w:rPr>
            </w:pPr>
          </w:p>
        </w:tc>
      </w:tr>
      <w:tr w14:paraId="3FA69C74">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82EFCC1">
            <w:pPr>
              <w:spacing w:line="360" w:lineRule="auto"/>
              <w:jc w:val="center"/>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EE19C7B">
            <w:pPr>
              <w:spacing w:line="360" w:lineRule="auto"/>
              <w:jc w:val="center"/>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5FA4525">
            <w:pPr>
              <w:spacing w:line="360" w:lineRule="auto"/>
              <w:jc w:val="center"/>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1F69075A">
            <w:pPr>
              <w:spacing w:line="360" w:lineRule="auto"/>
              <w:jc w:val="center"/>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26DE21B1">
            <w:pPr>
              <w:spacing w:line="360" w:lineRule="auto"/>
              <w:jc w:val="center"/>
              <w:rPr>
                <w:rFonts w:ascii="宋体" w:hAnsi="宋体" w:cs="宋体"/>
                <w:b/>
                <w:color w:val="auto"/>
                <w:kern w:val="1"/>
                <w:sz w:val="24"/>
                <w:szCs w:val="24"/>
                <w:highlight w:val="none"/>
              </w:rPr>
            </w:pPr>
          </w:p>
        </w:tc>
      </w:tr>
      <w:tr w14:paraId="070F0FD9">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5D08684F">
            <w:pPr>
              <w:spacing w:line="360" w:lineRule="auto"/>
              <w:jc w:val="center"/>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11ECEAB1">
            <w:pPr>
              <w:spacing w:line="360" w:lineRule="auto"/>
              <w:jc w:val="center"/>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27FA30F0">
            <w:pPr>
              <w:spacing w:line="360" w:lineRule="auto"/>
              <w:jc w:val="center"/>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03EF316">
            <w:pPr>
              <w:spacing w:line="360" w:lineRule="auto"/>
              <w:jc w:val="center"/>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00B0EAB8">
            <w:pPr>
              <w:spacing w:line="360" w:lineRule="auto"/>
              <w:jc w:val="center"/>
              <w:rPr>
                <w:rFonts w:ascii="宋体" w:hAnsi="宋体" w:cs="宋体"/>
                <w:b/>
                <w:color w:val="auto"/>
                <w:kern w:val="1"/>
                <w:sz w:val="24"/>
                <w:szCs w:val="24"/>
                <w:highlight w:val="none"/>
              </w:rPr>
            </w:pPr>
          </w:p>
        </w:tc>
      </w:tr>
      <w:tr w14:paraId="1935CA7C">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03E3BE6">
            <w:pPr>
              <w:spacing w:line="360" w:lineRule="auto"/>
              <w:jc w:val="center"/>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61538BDB">
            <w:pPr>
              <w:spacing w:line="360" w:lineRule="auto"/>
              <w:jc w:val="center"/>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06F4ABED">
            <w:pPr>
              <w:spacing w:line="360" w:lineRule="auto"/>
              <w:jc w:val="center"/>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1B8C6029">
            <w:pPr>
              <w:spacing w:line="360" w:lineRule="auto"/>
              <w:jc w:val="center"/>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0A04B3BF">
            <w:pPr>
              <w:spacing w:line="360" w:lineRule="auto"/>
              <w:jc w:val="center"/>
              <w:rPr>
                <w:rFonts w:ascii="宋体" w:hAnsi="宋体" w:cs="宋体"/>
                <w:b/>
                <w:color w:val="auto"/>
                <w:kern w:val="1"/>
                <w:sz w:val="24"/>
                <w:szCs w:val="24"/>
                <w:highlight w:val="none"/>
              </w:rPr>
            </w:pPr>
          </w:p>
        </w:tc>
      </w:tr>
      <w:tr w14:paraId="6ED11089">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651EBA93">
            <w:pPr>
              <w:spacing w:line="360" w:lineRule="auto"/>
              <w:jc w:val="center"/>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1FC1D78C">
            <w:pPr>
              <w:spacing w:line="360" w:lineRule="auto"/>
              <w:jc w:val="center"/>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3788997">
            <w:pPr>
              <w:spacing w:line="360" w:lineRule="auto"/>
              <w:jc w:val="center"/>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23E33476">
            <w:pPr>
              <w:spacing w:line="360" w:lineRule="auto"/>
              <w:jc w:val="center"/>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3DDE1902">
            <w:pPr>
              <w:spacing w:line="360" w:lineRule="auto"/>
              <w:jc w:val="center"/>
              <w:rPr>
                <w:rFonts w:ascii="宋体" w:hAnsi="宋体" w:cs="宋体"/>
                <w:b/>
                <w:color w:val="auto"/>
                <w:kern w:val="1"/>
                <w:sz w:val="24"/>
                <w:szCs w:val="24"/>
                <w:highlight w:val="none"/>
              </w:rPr>
            </w:pPr>
          </w:p>
        </w:tc>
      </w:tr>
      <w:tr w14:paraId="746868EE">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6BCA57A0">
            <w:pPr>
              <w:spacing w:line="360" w:lineRule="auto"/>
              <w:jc w:val="center"/>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2D7D07C6">
            <w:pPr>
              <w:spacing w:line="360" w:lineRule="auto"/>
              <w:jc w:val="center"/>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20B0F754">
            <w:pPr>
              <w:spacing w:line="360" w:lineRule="auto"/>
              <w:jc w:val="center"/>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0400C5B3">
            <w:pPr>
              <w:spacing w:line="360" w:lineRule="auto"/>
              <w:jc w:val="center"/>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72B7696D">
            <w:pPr>
              <w:spacing w:line="360" w:lineRule="auto"/>
              <w:jc w:val="center"/>
              <w:rPr>
                <w:rFonts w:ascii="宋体" w:hAnsi="宋体" w:cs="宋体"/>
                <w:b/>
                <w:color w:val="auto"/>
                <w:kern w:val="1"/>
                <w:sz w:val="24"/>
                <w:szCs w:val="24"/>
                <w:highlight w:val="none"/>
              </w:rPr>
            </w:pPr>
          </w:p>
        </w:tc>
      </w:tr>
      <w:tr w14:paraId="71AAA5FE">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5FE037F8">
            <w:pPr>
              <w:spacing w:line="360" w:lineRule="auto"/>
              <w:jc w:val="center"/>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1965C6BB">
            <w:pPr>
              <w:spacing w:line="360" w:lineRule="auto"/>
              <w:jc w:val="center"/>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38F33DA">
            <w:pPr>
              <w:spacing w:line="360" w:lineRule="auto"/>
              <w:jc w:val="center"/>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69ABE803">
            <w:pPr>
              <w:spacing w:line="360" w:lineRule="auto"/>
              <w:jc w:val="center"/>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012A4DB2">
            <w:pPr>
              <w:spacing w:line="360" w:lineRule="auto"/>
              <w:jc w:val="center"/>
              <w:rPr>
                <w:rFonts w:ascii="宋体" w:hAnsi="宋体" w:cs="宋体"/>
                <w:b/>
                <w:color w:val="auto"/>
                <w:kern w:val="1"/>
                <w:sz w:val="24"/>
                <w:szCs w:val="24"/>
                <w:highlight w:val="none"/>
              </w:rPr>
            </w:pPr>
          </w:p>
        </w:tc>
      </w:tr>
      <w:tr w14:paraId="7FF64A9D">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5CF9A5C">
            <w:pPr>
              <w:spacing w:line="360" w:lineRule="auto"/>
              <w:jc w:val="center"/>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00F7C7DB">
            <w:pPr>
              <w:spacing w:line="360" w:lineRule="auto"/>
              <w:jc w:val="center"/>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258F14FC">
            <w:pPr>
              <w:spacing w:line="360" w:lineRule="auto"/>
              <w:jc w:val="center"/>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153444A3">
            <w:pPr>
              <w:spacing w:line="360" w:lineRule="auto"/>
              <w:jc w:val="center"/>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0AD73402">
            <w:pPr>
              <w:spacing w:line="360" w:lineRule="auto"/>
              <w:jc w:val="center"/>
              <w:rPr>
                <w:rFonts w:ascii="宋体" w:hAnsi="宋体" w:cs="宋体"/>
                <w:b/>
                <w:color w:val="auto"/>
                <w:kern w:val="1"/>
                <w:sz w:val="24"/>
                <w:szCs w:val="24"/>
                <w:highlight w:val="none"/>
              </w:rPr>
            </w:pPr>
          </w:p>
        </w:tc>
      </w:tr>
    </w:tbl>
    <w:p w14:paraId="1F859C68">
      <w:pPr>
        <w:spacing w:line="360" w:lineRule="auto"/>
        <w:rPr>
          <w:rFonts w:ascii="宋体" w:hAnsi="宋体" w:cs="宋体"/>
          <w:b/>
          <w:color w:val="auto"/>
          <w:kern w:val="1"/>
          <w:sz w:val="24"/>
          <w:szCs w:val="24"/>
          <w:highlight w:val="none"/>
        </w:rPr>
      </w:pPr>
    </w:p>
    <w:p w14:paraId="71018339">
      <w:pPr>
        <w:spacing w:line="360" w:lineRule="auto"/>
        <w:rPr>
          <w:rFonts w:ascii="宋体" w:hAnsi="宋体" w:cs="宋体"/>
          <w:color w:val="auto"/>
          <w:kern w:val="1"/>
          <w:sz w:val="24"/>
          <w:highlight w:val="none"/>
        </w:rPr>
      </w:pPr>
      <w:r>
        <w:rPr>
          <w:rFonts w:hint="eastAsia" w:ascii="宋体" w:hAnsi="宋体" w:cs="宋体"/>
          <w:color w:val="auto"/>
          <w:kern w:val="1"/>
          <w:sz w:val="24"/>
          <w:szCs w:val="24"/>
          <w:highlight w:val="none"/>
        </w:rPr>
        <w:t xml:space="preserve">评委签名：                                                 </w:t>
      </w:r>
      <w:r>
        <w:rPr>
          <w:rFonts w:hint="eastAsia" w:ascii="宋体" w:hAnsi="宋体" w:cs="宋体"/>
          <w:color w:val="auto"/>
          <w:kern w:val="1"/>
          <w:sz w:val="24"/>
          <w:highlight w:val="none"/>
        </w:rPr>
        <w:t>日期：</w:t>
      </w:r>
    </w:p>
    <w:p w14:paraId="4FE034DD">
      <w:pPr>
        <w:spacing w:line="360" w:lineRule="auto"/>
        <w:rPr>
          <w:rFonts w:ascii="宋体" w:hAnsi="宋体" w:cs="宋体"/>
          <w:color w:val="auto"/>
          <w:kern w:val="1"/>
          <w:sz w:val="24"/>
          <w:highlight w:val="none"/>
        </w:rPr>
      </w:pPr>
    </w:p>
    <w:p w14:paraId="0DFA2740">
      <w:pPr>
        <w:spacing w:line="360" w:lineRule="auto"/>
        <w:rPr>
          <w:rFonts w:ascii="宋体" w:hAnsi="宋体" w:cs="宋体"/>
          <w:color w:val="auto"/>
          <w:kern w:val="1"/>
          <w:szCs w:val="21"/>
          <w:highlight w:val="none"/>
        </w:rPr>
        <w:sectPr>
          <w:headerReference r:id="rId13" w:type="default"/>
          <w:footerReference r:id="rId14" w:type="default"/>
          <w:pgSz w:w="16840" w:h="11907" w:orient="landscape"/>
          <w:pgMar w:top="1304" w:right="1361" w:bottom="1304" w:left="1304" w:header="851" w:footer="720" w:gutter="0"/>
          <w:cols w:space="720" w:num="1"/>
        </w:sectPr>
      </w:pPr>
    </w:p>
    <w:p w14:paraId="7CCDCF2D">
      <w:pPr>
        <w:jc w:val="left"/>
        <w:rPr>
          <w:rFonts w:hint="eastAsia" w:ascii="宋体" w:hAnsi="宋体" w:eastAsia="宋体"/>
          <w:b/>
          <w:color w:val="auto"/>
          <w:sz w:val="32"/>
          <w:szCs w:val="32"/>
          <w:highlight w:val="none"/>
          <w:lang w:val="en-US" w:eastAsia="zh-CN"/>
        </w:rPr>
      </w:pPr>
      <w:bookmarkStart w:id="633" w:name="_Toc25769"/>
      <w:bookmarkEnd w:id="633"/>
      <w:bookmarkStart w:id="634" w:name="_Toc5620359"/>
      <w:r>
        <w:rPr>
          <w:rFonts w:hint="eastAsia" w:ascii="宋体" w:hAnsi="宋体" w:cs="宋体"/>
          <w:b/>
          <w:color w:val="auto"/>
          <w:kern w:val="1"/>
          <w:sz w:val="24"/>
          <w:highlight w:val="none"/>
        </w:rPr>
        <w:t>附表</w:t>
      </w:r>
      <w:r>
        <w:rPr>
          <w:rFonts w:hint="eastAsia" w:ascii="宋体" w:hAnsi="宋体" w:cs="宋体"/>
          <w:b/>
          <w:color w:val="auto"/>
          <w:kern w:val="1"/>
          <w:sz w:val="24"/>
          <w:highlight w:val="none"/>
          <w:lang w:val="en-US" w:eastAsia="zh-CN"/>
        </w:rPr>
        <w:t>6</w:t>
      </w:r>
    </w:p>
    <w:p w14:paraId="6F7B5E52">
      <w:pPr>
        <w:jc w:val="center"/>
        <w:rPr>
          <w:rFonts w:ascii="宋体" w:hAnsi="宋体"/>
          <w:b/>
          <w:color w:val="auto"/>
          <w:sz w:val="32"/>
          <w:szCs w:val="32"/>
          <w:highlight w:val="none"/>
        </w:rPr>
      </w:pPr>
      <w:r>
        <w:rPr>
          <w:rFonts w:hint="eastAsia" w:ascii="宋体" w:hAnsi="宋体"/>
          <w:b/>
          <w:color w:val="auto"/>
          <w:sz w:val="32"/>
          <w:szCs w:val="32"/>
          <w:highlight w:val="none"/>
        </w:rPr>
        <w:t>定标因素表（定标阶段用表）</w:t>
      </w:r>
    </w:p>
    <w:p w14:paraId="480D6A2C">
      <w:pPr>
        <w:rPr>
          <w:color w:val="auto"/>
          <w:highlight w:val="none"/>
        </w:rPr>
      </w:pPr>
    </w:p>
    <w:tbl>
      <w:tblPr>
        <w:tblStyle w:val="20"/>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67"/>
        <w:gridCol w:w="5175"/>
        <w:gridCol w:w="2038"/>
      </w:tblGrid>
      <w:tr w14:paraId="36D5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24" w:type="dxa"/>
            <w:tcBorders>
              <w:top w:val="single" w:color="auto" w:sz="4" w:space="0"/>
              <w:left w:val="single" w:color="auto" w:sz="4" w:space="0"/>
              <w:bottom w:val="single" w:color="auto" w:sz="4" w:space="0"/>
              <w:right w:val="single" w:color="auto" w:sz="4" w:space="0"/>
            </w:tcBorders>
            <w:vAlign w:val="center"/>
          </w:tcPr>
          <w:p w14:paraId="78A2EF1B">
            <w:pPr>
              <w:jc w:val="center"/>
              <w:rPr>
                <w:color w:val="auto"/>
                <w:highlight w:val="none"/>
              </w:rPr>
            </w:pPr>
            <w:r>
              <w:rPr>
                <w:rFonts w:hint="eastAsia"/>
                <w:color w:val="auto"/>
                <w:highlight w:val="none"/>
              </w:rPr>
              <w:t>序号</w:t>
            </w:r>
          </w:p>
        </w:tc>
        <w:tc>
          <w:tcPr>
            <w:tcW w:w="1567" w:type="dxa"/>
            <w:tcBorders>
              <w:top w:val="single" w:color="auto" w:sz="4" w:space="0"/>
              <w:left w:val="single" w:color="auto" w:sz="4" w:space="0"/>
              <w:bottom w:val="single" w:color="auto" w:sz="4" w:space="0"/>
              <w:right w:val="single" w:color="auto" w:sz="4" w:space="0"/>
            </w:tcBorders>
            <w:vAlign w:val="center"/>
          </w:tcPr>
          <w:p w14:paraId="38E3D3D4">
            <w:pPr>
              <w:jc w:val="center"/>
              <w:rPr>
                <w:color w:val="auto"/>
                <w:highlight w:val="none"/>
              </w:rPr>
            </w:pPr>
            <w:r>
              <w:rPr>
                <w:rFonts w:hint="eastAsia"/>
                <w:color w:val="auto"/>
                <w:highlight w:val="none"/>
              </w:rPr>
              <w:t>定标因素</w:t>
            </w:r>
          </w:p>
        </w:tc>
        <w:tc>
          <w:tcPr>
            <w:tcW w:w="5175" w:type="dxa"/>
            <w:tcBorders>
              <w:top w:val="single" w:color="auto" w:sz="4" w:space="0"/>
              <w:left w:val="single" w:color="auto" w:sz="4" w:space="0"/>
              <w:bottom w:val="single" w:color="auto" w:sz="4" w:space="0"/>
              <w:right w:val="single" w:color="auto" w:sz="4" w:space="0"/>
            </w:tcBorders>
            <w:vAlign w:val="center"/>
          </w:tcPr>
          <w:p w14:paraId="1411FAE2">
            <w:pPr>
              <w:jc w:val="center"/>
              <w:rPr>
                <w:color w:val="auto"/>
                <w:highlight w:val="none"/>
              </w:rPr>
            </w:pPr>
            <w:r>
              <w:rPr>
                <w:rFonts w:hint="eastAsia"/>
                <w:color w:val="auto"/>
                <w:highlight w:val="none"/>
              </w:rPr>
              <w:t>定标评价的内容</w:t>
            </w:r>
          </w:p>
        </w:tc>
        <w:tc>
          <w:tcPr>
            <w:tcW w:w="2038" w:type="dxa"/>
            <w:tcBorders>
              <w:top w:val="single" w:color="auto" w:sz="4" w:space="0"/>
              <w:left w:val="single" w:color="auto" w:sz="4" w:space="0"/>
              <w:bottom w:val="single" w:color="auto" w:sz="4" w:space="0"/>
              <w:right w:val="single" w:color="auto" w:sz="4" w:space="0"/>
            </w:tcBorders>
            <w:vAlign w:val="center"/>
          </w:tcPr>
          <w:p w14:paraId="1883C690">
            <w:pPr>
              <w:jc w:val="center"/>
              <w:rPr>
                <w:color w:val="auto"/>
                <w:highlight w:val="none"/>
              </w:rPr>
            </w:pPr>
            <w:r>
              <w:rPr>
                <w:rFonts w:hint="eastAsia"/>
                <w:color w:val="auto"/>
                <w:highlight w:val="none"/>
              </w:rPr>
              <w:t>评价标准</w:t>
            </w:r>
          </w:p>
        </w:tc>
      </w:tr>
      <w:tr w14:paraId="16BF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24" w:type="dxa"/>
            <w:tcBorders>
              <w:top w:val="single" w:color="auto" w:sz="4" w:space="0"/>
              <w:left w:val="single" w:color="auto" w:sz="4" w:space="0"/>
              <w:bottom w:val="single" w:color="auto" w:sz="4" w:space="0"/>
              <w:right w:val="single" w:color="auto" w:sz="4" w:space="0"/>
            </w:tcBorders>
            <w:vAlign w:val="center"/>
          </w:tcPr>
          <w:p w14:paraId="3546DDDC">
            <w:pPr>
              <w:spacing w:line="360" w:lineRule="auto"/>
              <w:jc w:val="center"/>
              <w:rPr>
                <w:rFonts w:hint="eastAsia" w:eastAsia="宋体"/>
                <w:color w:val="auto"/>
                <w:highlight w:val="none"/>
                <w:lang w:eastAsia="zh-CN"/>
              </w:rPr>
            </w:pPr>
            <w:r>
              <w:rPr>
                <w:color w:val="auto"/>
                <w:highlight w:val="none"/>
              </w:rPr>
              <w:t>1</w:t>
            </w:r>
          </w:p>
        </w:tc>
        <w:tc>
          <w:tcPr>
            <w:tcW w:w="1567" w:type="dxa"/>
            <w:tcBorders>
              <w:top w:val="single" w:color="auto" w:sz="4" w:space="0"/>
              <w:left w:val="single" w:color="auto" w:sz="4" w:space="0"/>
              <w:bottom w:val="single" w:color="auto" w:sz="4" w:space="0"/>
              <w:right w:val="single" w:color="auto" w:sz="4" w:space="0"/>
            </w:tcBorders>
            <w:vAlign w:val="center"/>
          </w:tcPr>
          <w:p w14:paraId="54B41C91">
            <w:pPr>
              <w:spacing w:line="360" w:lineRule="auto"/>
              <w:jc w:val="center"/>
              <w:rPr>
                <w:rFonts w:ascii="宋体" w:hAnsi="宋体"/>
                <w:color w:val="auto"/>
                <w:highlight w:val="none"/>
              </w:rPr>
            </w:pPr>
            <w:r>
              <w:rPr>
                <w:rFonts w:hint="eastAsia" w:ascii="宋体" w:hAnsi="宋体"/>
                <w:color w:val="auto"/>
                <w:highlight w:val="none"/>
              </w:rPr>
              <w:t>方案因素</w:t>
            </w:r>
          </w:p>
        </w:tc>
        <w:tc>
          <w:tcPr>
            <w:tcW w:w="5175" w:type="dxa"/>
            <w:tcBorders>
              <w:top w:val="single" w:color="auto" w:sz="4" w:space="0"/>
              <w:left w:val="single" w:color="auto" w:sz="4" w:space="0"/>
              <w:bottom w:val="single" w:color="auto" w:sz="4" w:space="0"/>
              <w:right w:val="single" w:color="auto" w:sz="4" w:space="0"/>
            </w:tcBorders>
            <w:vAlign w:val="center"/>
          </w:tcPr>
          <w:p w14:paraId="59326B37">
            <w:pPr>
              <w:spacing w:line="360" w:lineRule="auto"/>
              <w:jc w:val="left"/>
              <w:rPr>
                <w:rFonts w:ascii="宋体" w:hAnsi="宋体"/>
                <w:color w:val="auto"/>
                <w:highlight w:val="none"/>
              </w:rPr>
            </w:pPr>
            <w:r>
              <w:rPr>
                <w:rFonts w:hint="eastAsia" w:ascii="宋体" w:hAnsi="宋体"/>
                <w:bCs/>
                <w:strike w:val="0"/>
                <w:dstrike w:val="0"/>
                <w:color w:val="auto"/>
                <w:szCs w:val="21"/>
                <w:highlight w:val="none"/>
              </w:rPr>
              <w:t>对</w:t>
            </w:r>
            <w:r>
              <w:rPr>
                <w:rFonts w:hint="eastAsia"/>
                <w:bCs/>
                <w:color w:val="auto"/>
                <w:szCs w:val="21"/>
                <w:highlight w:val="none"/>
              </w:rPr>
              <w:t>进入定标阶段的合格中标候选人</w:t>
            </w:r>
            <w:r>
              <w:rPr>
                <w:rFonts w:hint="eastAsia" w:ascii="宋体" w:hAnsi="宋体"/>
                <w:bCs/>
                <w:strike w:val="0"/>
                <w:dstrike w:val="0"/>
                <w:color w:val="auto"/>
                <w:szCs w:val="21"/>
                <w:highlight w:val="none"/>
              </w:rPr>
              <w:t>的工程总承包实施及运营管理方案</w:t>
            </w:r>
            <w:r>
              <w:rPr>
                <w:rFonts w:hint="eastAsia" w:ascii="宋体" w:hAnsi="宋体"/>
                <w:bCs/>
                <w:strike w:val="0"/>
                <w:dstrike w:val="0"/>
                <w:color w:val="auto"/>
                <w:szCs w:val="21"/>
                <w:highlight w:val="none"/>
                <w:lang w:val="en-US" w:eastAsia="zh-CN"/>
              </w:rPr>
              <w:t>的编制情况</w:t>
            </w:r>
            <w:r>
              <w:rPr>
                <w:rFonts w:hint="eastAsia" w:ascii="宋体" w:hAnsi="宋体"/>
                <w:bCs/>
                <w:strike w:val="0"/>
                <w:dstrike w:val="0"/>
                <w:color w:val="auto"/>
                <w:szCs w:val="21"/>
                <w:highlight w:val="none"/>
              </w:rPr>
              <w:t>进行评审</w:t>
            </w:r>
          </w:p>
        </w:tc>
        <w:tc>
          <w:tcPr>
            <w:tcW w:w="2038" w:type="dxa"/>
            <w:tcBorders>
              <w:top w:val="single" w:color="auto" w:sz="4" w:space="0"/>
              <w:left w:val="single" w:color="auto" w:sz="4" w:space="0"/>
              <w:bottom w:val="single" w:color="auto" w:sz="4" w:space="0"/>
              <w:right w:val="single" w:color="auto" w:sz="4" w:space="0"/>
            </w:tcBorders>
            <w:vAlign w:val="center"/>
          </w:tcPr>
          <w:p w14:paraId="0AE737E5">
            <w:pPr>
              <w:spacing w:line="360" w:lineRule="auto"/>
              <w:jc w:val="center"/>
              <w:rPr>
                <w:rFonts w:ascii="宋体" w:hAnsi="宋体"/>
                <w:strike w:val="0"/>
                <w:dstrike w:val="0"/>
                <w:color w:val="auto"/>
                <w:highlight w:val="none"/>
              </w:rPr>
            </w:pPr>
            <w:r>
              <w:rPr>
                <w:rFonts w:hint="eastAsia" w:ascii="宋体" w:hAnsi="宋体"/>
                <w:strike w:val="0"/>
                <w:dstrike w:val="0"/>
                <w:color w:val="auto"/>
                <w:highlight w:val="none"/>
              </w:rPr>
              <w:t>分为【优】、【良】、</w:t>
            </w:r>
          </w:p>
          <w:p w14:paraId="64F477D6">
            <w:pPr>
              <w:spacing w:line="360" w:lineRule="auto"/>
              <w:jc w:val="center"/>
              <w:rPr>
                <w:rFonts w:ascii="宋体" w:hAnsi="宋体"/>
                <w:color w:val="auto"/>
                <w:highlight w:val="none"/>
              </w:rPr>
            </w:pPr>
            <w:r>
              <w:rPr>
                <w:rFonts w:hint="eastAsia" w:ascii="宋体" w:hAnsi="宋体"/>
                <w:strike w:val="0"/>
                <w:dstrike w:val="0"/>
                <w:color w:val="auto"/>
                <w:highlight w:val="none"/>
              </w:rPr>
              <w:t>【中】三档。</w:t>
            </w:r>
          </w:p>
        </w:tc>
      </w:tr>
      <w:tr w14:paraId="1C47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4FC01418">
            <w:pPr>
              <w:spacing w:line="360" w:lineRule="auto"/>
              <w:jc w:val="center"/>
              <w:rPr>
                <w:rFonts w:hint="default" w:ascii="Calibri" w:hAnsi="Calibri" w:eastAsia="宋体" w:cs="Calibri"/>
                <w:color w:val="auto"/>
                <w:sz w:val="21"/>
                <w:szCs w:val="22"/>
                <w:highlight w:val="none"/>
                <w:lang w:val="en-US" w:eastAsia="zh-CN" w:bidi="ar-SA"/>
              </w:rPr>
            </w:pPr>
            <w:r>
              <w:rPr>
                <w:rFonts w:hint="eastAsia"/>
                <w:color w:val="auto"/>
                <w:highlight w:val="none"/>
                <w:lang w:val="en-US" w:eastAsia="zh-CN"/>
              </w:rPr>
              <w:t>2</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75391D34">
            <w:pPr>
              <w:spacing w:line="360" w:lineRule="auto"/>
              <w:jc w:val="center"/>
              <w:rPr>
                <w:rFonts w:hint="eastAsia" w:ascii="宋体" w:hAnsi="宋体" w:eastAsia="宋体" w:cs="Calibri"/>
                <w:color w:val="auto"/>
                <w:sz w:val="21"/>
                <w:szCs w:val="22"/>
                <w:highlight w:val="none"/>
                <w:lang w:val="en-US" w:eastAsia="zh-CN" w:bidi="ar-SA"/>
              </w:rPr>
            </w:pPr>
            <w:r>
              <w:rPr>
                <w:rFonts w:hint="eastAsia" w:ascii="宋体" w:hAnsi="宋体"/>
                <w:color w:val="auto"/>
                <w:highlight w:val="none"/>
              </w:rPr>
              <w:t>价格因素</w:t>
            </w:r>
          </w:p>
        </w:tc>
        <w:tc>
          <w:tcPr>
            <w:tcW w:w="5175" w:type="dxa"/>
            <w:tcBorders>
              <w:top w:val="single" w:color="auto" w:sz="4" w:space="0"/>
              <w:left w:val="single" w:color="auto" w:sz="4" w:space="0"/>
              <w:bottom w:val="single" w:color="auto" w:sz="4" w:space="0"/>
              <w:right w:val="single" w:color="auto" w:sz="4" w:space="0"/>
            </w:tcBorders>
            <w:shd w:val="clear" w:color="auto" w:fill="auto"/>
            <w:vAlign w:val="center"/>
          </w:tcPr>
          <w:p w14:paraId="7E175FB6">
            <w:pPr>
              <w:spacing w:line="360" w:lineRule="auto"/>
              <w:jc w:val="left"/>
              <w:rPr>
                <w:rFonts w:hint="eastAsia" w:ascii="宋体" w:hAnsi="宋体" w:eastAsia="宋体" w:cs="Calibri"/>
                <w:color w:val="auto"/>
                <w:sz w:val="21"/>
                <w:szCs w:val="22"/>
                <w:highlight w:val="none"/>
                <w:lang w:val="en-US" w:eastAsia="zh-CN" w:bidi="ar-SA"/>
              </w:rPr>
            </w:pPr>
            <w:r>
              <w:rPr>
                <w:rFonts w:hint="eastAsia"/>
                <w:color w:val="auto"/>
                <w:highlight w:val="none"/>
                <w:lang w:val="en-US" w:eastAsia="zh-CN"/>
              </w:rPr>
              <w:t>结合工程总承包实施及运营管理方案对</w:t>
            </w:r>
            <w:r>
              <w:rPr>
                <w:rFonts w:hint="eastAsia"/>
                <w:bCs/>
                <w:color w:val="auto"/>
                <w:szCs w:val="21"/>
                <w:highlight w:val="none"/>
              </w:rPr>
              <w:t>进入定标阶段的合格中标候选人的报价</w:t>
            </w:r>
            <w:r>
              <w:rPr>
                <w:rFonts w:hint="eastAsia"/>
                <w:bCs/>
                <w:color w:val="auto"/>
                <w:szCs w:val="21"/>
                <w:highlight w:val="none"/>
                <w:lang w:val="en-US" w:eastAsia="zh-CN"/>
              </w:rPr>
              <w:t>合理性进行评审。</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14:paraId="385C301E">
            <w:pPr>
              <w:spacing w:line="360" w:lineRule="auto"/>
              <w:jc w:val="center"/>
              <w:rPr>
                <w:rFonts w:ascii="宋体" w:hAnsi="宋体"/>
                <w:color w:val="auto"/>
                <w:highlight w:val="none"/>
              </w:rPr>
            </w:pPr>
            <w:r>
              <w:rPr>
                <w:rFonts w:hint="eastAsia" w:ascii="宋体" w:hAnsi="宋体"/>
                <w:color w:val="auto"/>
                <w:highlight w:val="none"/>
              </w:rPr>
              <w:t>分为【优】、【良】、</w:t>
            </w:r>
          </w:p>
          <w:p w14:paraId="1A19194E">
            <w:pPr>
              <w:spacing w:line="360" w:lineRule="auto"/>
              <w:jc w:val="center"/>
              <w:rPr>
                <w:rFonts w:hint="eastAsia" w:ascii="宋体" w:hAnsi="宋体" w:eastAsia="宋体" w:cs="Calibri"/>
                <w:color w:val="auto"/>
                <w:sz w:val="21"/>
                <w:szCs w:val="22"/>
                <w:highlight w:val="none"/>
                <w:lang w:val="en-US" w:eastAsia="zh-CN" w:bidi="ar-SA"/>
              </w:rPr>
            </w:pPr>
            <w:r>
              <w:rPr>
                <w:rFonts w:hint="eastAsia" w:ascii="宋体" w:hAnsi="宋体"/>
                <w:color w:val="auto"/>
                <w:highlight w:val="none"/>
              </w:rPr>
              <w:t>【中】三档。</w:t>
            </w:r>
          </w:p>
        </w:tc>
      </w:tr>
    </w:tbl>
    <w:p w14:paraId="1798A949">
      <w:pPr>
        <w:spacing w:line="360" w:lineRule="auto"/>
        <w:rPr>
          <w:rFonts w:ascii="宋体" w:hAnsi="宋体" w:cs="宋体"/>
          <w:color w:val="auto"/>
          <w:kern w:val="1"/>
          <w:highlight w:val="none"/>
        </w:rPr>
      </w:pPr>
      <w:r>
        <w:rPr>
          <w:rFonts w:hint="eastAsia" w:ascii="宋体" w:hAnsi="宋体"/>
          <w:color w:val="auto"/>
          <w:highlight w:val="none"/>
        </w:rPr>
        <w:t>注：定标</w:t>
      </w:r>
      <w:r>
        <w:rPr>
          <w:rFonts w:hint="eastAsia" w:ascii="宋体" w:hAnsi="宋体"/>
          <w:color w:val="auto"/>
          <w:highlight w:val="none"/>
          <w:lang w:val="en-US" w:eastAsia="zh-CN"/>
        </w:rPr>
        <w:t>因素评审</w:t>
      </w:r>
      <w:r>
        <w:rPr>
          <w:rFonts w:hint="eastAsia" w:ascii="宋体" w:hAnsi="宋体"/>
          <w:color w:val="auto"/>
          <w:highlight w:val="none"/>
        </w:rPr>
        <w:t>以投标文件的工程总承包实施及运营管理方案（含资格审查文件）、工程总承包实施及运营管理方案经济投标文件</w:t>
      </w:r>
      <w:r>
        <w:rPr>
          <w:rFonts w:hint="eastAsia" w:ascii="宋体" w:hAnsi="宋体"/>
          <w:color w:val="auto"/>
          <w:highlight w:val="none"/>
          <w:lang w:val="en-US" w:eastAsia="zh-CN"/>
        </w:rPr>
        <w:t>内容作为评审依据。</w:t>
      </w:r>
    </w:p>
    <w:p w14:paraId="48F046DE">
      <w:pPr>
        <w:rPr>
          <w:rFonts w:hint="eastAsia" w:ascii="宋体" w:hAnsi="宋体" w:eastAsia="宋体" w:cs="宋体"/>
          <w:color w:val="auto"/>
          <w:kern w:val="1"/>
          <w:highlight w:val="none"/>
          <w:lang w:val="en-US" w:eastAsia="zh-CN"/>
        </w:rPr>
      </w:pPr>
      <w:r>
        <w:rPr>
          <w:rFonts w:hint="eastAsia" w:ascii="宋体" w:hAnsi="宋体" w:cs="宋体"/>
          <w:color w:val="auto"/>
          <w:kern w:val="1"/>
          <w:highlight w:val="none"/>
        </w:rPr>
        <w:br w:type="page"/>
      </w:r>
      <w:r>
        <w:rPr>
          <w:rFonts w:hint="eastAsia" w:ascii="宋体" w:hAnsi="宋体" w:cs="宋体"/>
          <w:b/>
          <w:color w:val="auto"/>
          <w:kern w:val="1"/>
          <w:sz w:val="24"/>
          <w:highlight w:val="none"/>
        </w:rPr>
        <w:t>附表</w:t>
      </w:r>
      <w:r>
        <w:rPr>
          <w:rFonts w:hint="eastAsia" w:ascii="宋体" w:hAnsi="宋体" w:cs="宋体"/>
          <w:b/>
          <w:color w:val="auto"/>
          <w:kern w:val="1"/>
          <w:sz w:val="24"/>
          <w:highlight w:val="none"/>
          <w:lang w:val="en-US" w:eastAsia="zh-CN"/>
        </w:rPr>
        <w:t>7</w:t>
      </w:r>
    </w:p>
    <w:p w14:paraId="7C7A70E3">
      <w:pPr>
        <w:spacing w:line="360" w:lineRule="auto"/>
        <w:jc w:val="center"/>
        <w:rPr>
          <w:b/>
          <w:bCs/>
          <w:color w:val="auto"/>
          <w:sz w:val="28"/>
          <w:szCs w:val="28"/>
          <w:highlight w:val="none"/>
        </w:rPr>
      </w:pPr>
      <w:r>
        <w:rPr>
          <w:rFonts w:hint="eastAsia" w:ascii="Times New Roman" w:hAnsi="Times New Roman" w:cs="Times New Roman"/>
          <w:b/>
          <w:color w:val="auto"/>
          <w:sz w:val="32"/>
          <w:szCs w:val="32"/>
          <w:highlight w:val="none"/>
        </w:rPr>
        <w:t>票决定标选票表（定标阶段）</w:t>
      </w:r>
    </w:p>
    <w:p w14:paraId="5DFEAD3D">
      <w:pPr>
        <w:adjustRightInd w:val="0"/>
        <w:snapToGrid w:val="0"/>
        <w:spacing w:line="360" w:lineRule="auto"/>
        <w:rPr>
          <w:color w:val="auto"/>
          <w:highlight w:val="none"/>
        </w:rPr>
      </w:pPr>
      <w:r>
        <w:rPr>
          <w:rFonts w:hint="eastAsia"/>
          <w:color w:val="auto"/>
          <w:highlight w:val="none"/>
        </w:rPr>
        <w:t>项目名称：</w:t>
      </w:r>
    </w:p>
    <w:tbl>
      <w:tblPr>
        <w:tblStyle w:val="2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14:paraId="4E29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6" w:type="dxa"/>
            <w:tcBorders>
              <w:top w:val="single" w:color="auto" w:sz="4" w:space="0"/>
              <w:left w:val="single" w:color="auto" w:sz="4" w:space="0"/>
              <w:bottom w:val="single" w:color="auto" w:sz="4" w:space="0"/>
              <w:right w:val="single" w:color="auto" w:sz="4" w:space="0"/>
            </w:tcBorders>
            <w:vAlign w:val="center"/>
          </w:tcPr>
          <w:p w14:paraId="7EC71A32">
            <w:pPr>
              <w:adjustRightInd w:val="0"/>
              <w:snapToGrid w:val="0"/>
              <w:spacing w:line="360" w:lineRule="auto"/>
              <w:jc w:val="center"/>
              <w:rPr>
                <w:rFonts w:ascii="宋体" w:hAnsi="宋体" w:cs="Times New Roman"/>
                <w:b/>
                <w:color w:val="auto"/>
                <w:szCs w:val="21"/>
                <w:highlight w:val="none"/>
              </w:rPr>
            </w:pPr>
            <w:r>
              <w:rPr>
                <w:rFonts w:hint="eastAsia" w:ascii="宋体" w:hAnsi="宋体" w:cs="Times New Roman"/>
                <w:b/>
                <w:color w:val="auto"/>
                <w:szCs w:val="21"/>
                <w:highlight w:val="none"/>
              </w:rPr>
              <w:t>支持的合格中标候选人名称</w:t>
            </w:r>
          </w:p>
        </w:tc>
        <w:tc>
          <w:tcPr>
            <w:tcW w:w="2990" w:type="dxa"/>
            <w:tcBorders>
              <w:top w:val="single" w:color="auto" w:sz="4" w:space="0"/>
              <w:left w:val="nil"/>
              <w:bottom w:val="single" w:color="auto" w:sz="4" w:space="0"/>
              <w:right w:val="single" w:color="auto" w:sz="4" w:space="0"/>
            </w:tcBorders>
            <w:vAlign w:val="center"/>
          </w:tcPr>
          <w:p w14:paraId="48251E2B">
            <w:pPr>
              <w:adjustRightInd w:val="0"/>
              <w:snapToGrid w:val="0"/>
              <w:spacing w:line="360" w:lineRule="auto"/>
              <w:jc w:val="center"/>
              <w:rPr>
                <w:rFonts w:ascii="宋体" w:hAnsi="宋体" w:cs="Times New Roman"/>
                <w:b/>
                <w:color w:val="auto"/>
                <w:szCs w:val="21"/>
                <w:highlight w:val="none"/>
              </w:rPr>
            </w:pPr>
            <w:r>
              <w:rPr>
                <w:rFonts w:hint="eastAsia" w:ascii="宋体" w:hAnsi="宋体" w:cs="Times New Roman"/>
                <w:b/>
                <w:color w:val="auto"/>
                <w:szCs w:val="21"/>
                <w:highlight w:val="none"/>
              </w:rPr>
              <w:t>备注</w:t>
            </w:r>
          </w:p>
        </w:tc>
      </w:tr>
      <w:tr w14:paraId="3E15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96" w:type="dxa"/>
            <w:tcBorders>
              <w:top w:val="single" w:color="auto" w:sz="4" w:space="0"/>
              <w:left w:val="single" w:color="auto" w:sz="4" w:space="0"/>
              <w:bottom w:val="single" w:color="auto" w:sz="4" w:space="0"/>
              <w:right w:val="single" w:color="auto" w:sz="4" w:space="0"/>
            </w:tcBorders>
            <w:vAlign w:val="center"/>
          </w:tcPr>
          <w:p w14:paraId="22FAE8A7">
            <w:pPr>
              <w:adjustRightInd w:val="0"/>
              <w:snapToGrid w:val="0"/>
              <w:spacing w:line="360" w:lineRule="auto"/>
              <w:jc w:val="center"/>
              <w:rPr>
                <w:color w:val="auto"/>
                <w:szCs w:val="21"/>
                <w:highlight w:val="none"/>
              </w:rPr>
            </w:pPr>
          </w:p>
        </w:tc>
        <w:tc>
          <w:tcPr>
            <w:tcW w:w="2990" w:type="dxa"/>
            <w:tcBorders>
              <w:top w:val="single" w:color="auto" w:sz="4" w:space="0"/>
              <w:left w:val="nil"/>
              <w:bottom w:val="single" w:color="auto" w:sz="4" w:space="0"/>
              <w:right w:val="single" w:color="auto" w:sz="4" w:space="0"/>
            </w:tcBorders>
            <w:vAlign w:val="center"/>
          </w:tcPr>
          <w:p w14:paraId="00168298">
            <w:pPr>
              <w:adjustRightInd w:val="0"/>
              <w:snapToGrid w:val="0"/>
              <w:spacing w:line="360" w:lineRule="auto"/>
              <w:jc w:val="center"/>
              <w:rPr>
                <w:color w:val="auto"/>
                <w:szCs w:val="21"/>
                <w:highlight w:val="none"/>
              </w:rPr>
            </w:pPr>
          </w:p>
        </w:tc>
      </w:tr>
    </w:tbl>
    <w:p w14:paraId="140718ED">
      <w:pPr>
        <w:pStyle w:val="25"/>
        <w:rPr>
          <w:rFonts w:ascii="宋体" w:hAnsi="宋体" w:eastAsia="宋体" w:cs="宋体"/>
          <w:color w:val="auto"/>
          <w:kern w:val="0"/>
          <w:szCs w:val="21"/>
          <w:highlight w:val="none"/>
        </w:rPr>
      </w:pPr>
    </w:p>
    <w:p w14:paraId="73F98AC1">
      <w:pPr>
        <w:spacing w:line="600" w:lineRule="exact"/>
        <w:ind w:right="-9"/>
        <w:jc w:val="center"/>
        <w:rPr>
          <w:rFonts w:ascii="宋体" w:hAnsi="宋体" w:cs="宋体"/>
          <w:color w:val="auto"/>
          <w:sz w:val="24"/>
          <w:highlight w:val="none"/>
        </w:rPr>
      </w:pPr>
    </w:p>
    <w:p w14:paraId="7744F463">
      <w:pPr>
        <w:rPr>
          <w:rFonts w:ascii="宋体" w:hAnsi="宋体" w:cs="宋体"/>
          <w:color w:val="auto"/>
          <w:sz w:val="24"/>
          <w:highlight w:val="none"/>
        </w:rPr>
      </w:pPr>
      <w:r>
        <w:rPr>
          <w:rFonts w:hint="eastAsia" w:ascii="宋体" w:hAnsi="宋体" w:cs="宋体"/>
          <w:color w:val="auto"/>
          <w:sz w:val="24"/>
          <w:highlight w:val="none"/>
        </w:rPr>
        <w:t>注：由定标委员会成员进行投票，每轮各定标委员会成员只能支持一家合格中标候选人。</w:t>
      </w:r>
    </w:p>
    <w:p w14:paraId="0C5534DE">
      <w:pPr>
        <w:rPr>
          <w:rFonts w:ascii="宋体" w:hAnsi="宋体" w:cs="宋体"/>
          <w:color w:val="auto"/>
          <w:sz w:val="24"/>
          <w:highlight w:val="none"/>
        </w:rPr>
      </w:pPr>
    </w:p>
    <w:p w14:paraId="2C0DE546">
      <w:pPr>
        <w:spacing w:line="360" w:lineRule="auto"/>
        <w:rPr>
          <w:rFonts w:ascii="宋体" w:hAnsi="宋体" w:cs="宋体"/>
          <w:color w:val="auto"/>
          <w:sz w:val="24"/>
          <w:highlight w:val="none"/>
        </w:rPr>
      </w:pPr>
    </w:p>
    <w:p w14:paraId="54B5503E">
      <w:pPr>
        <w:spacing w:line="360" w:lineRule="auto"/>
        <w:rPr>
          <w:rFonts w:ascii="宋体" w:hAnsi="宋体" w:cs="宋体"/>
          <w:color w:val="auto"/>
          <w:sz w:val="24"/>
          <w:highlight w:val="none"/>
        </w:rPr>
      </w:pPr>
    </w:p>
    <w:p w14:paraId="71228240">
      <w:pPr>
        <w:spacing w:line="360" w:lineRule="auto"/>
        <w:rPr>
          <w:rFonts w:ascii="宋体" w:hAnsi="宋体" w:cs="宋体"/>
          <w:color w:val="auto"/>
          <w:sz w:val="24"/>
          <w:highlight w:val="none"/>
        </w:rPr>
      </w:pPr>
      <w:r>
        <w:rPr>
          <w:rFonts w:hint="eastAsia" w:ascii="宋体" w:hAnsi="宋体" w:cs="宋体"/>
          <w:color w:val="auto"/>
          <w:sz w:val="24"/>
          <w:highlight w:val="none"/>
        </w:rPr>
        <w:t>定标委员签名：</w:t>
      </w:r>
    </w:p>
    <w:p w14:paraId="60E9A25E">
      <w:pPr>
        <w:spacing w:line="360" w:lineRule="auto"/>
        <w:rPr>
          <w:rFonts w:ascii="宋体" w:hAnsi="宋体" w:cs="宋体"/>
          <w:color w:val="auto"/>
          <w:sz w:val="24"/>
          <w:highlight w:val="none"/>
        </w:rPr>
      </w:pPr>
    </w:p>
    <w:p w14:paraId="7F159BA8">
      <w:pPr>
        <w:spacing w:line="360" w:lineRule="auto"/>
        <w:jc w:val="left"/>
        <w:rPr>
          <w:rFonts w:ascii="宋体" w:hAnsi="宋体" w:cs="宋体"/>
          <w:color w:val="auto"/>
          <w:sz w:val="24"/>
          <w:highlight w:val="none"/>
        </w:rPr>
      </w:pPr>
      <w:r>
        <w:rPr>
          <w:rFonts w:hint="eastAsia" w:ascii="宋体" w:hAnsi="宋体" w:cs="宋体"/>
          <w:color w:val="auto"/>
          <w:sz w:val="24"/>
          <w:highlight w:val="none"/>
        </w:rPr>
        <w:t>日期：  年  月   日</w:t>
      </w:r>
    </w:p>
    <w:p w14:paraId="447A6415">
      <w:pPr>
        <w:spacing w:line="360" w:lineRule="auto"/>
        <w:ind w:left="480" w:hanging="480" w:hangingChars="150"/>
        <w:rPr>
          <w:rFonts w:ascii="仿宋_GB2312" w:eastAsia="仿宋_GB2312"/>
          <w:color w:val="auto"/>
          <w:sz w:val="32"/>
          <w:szCs w:val="32"/>
          <w:highlight w:val="none"/>
        </w:rPr>
      </w:pPr>
    </w:p>
    <w:p w14:paraId="69F149BC">
      <w:pPr>
        <w:jc w:val="left"/>
        <w:rPr>
          <w:rFonts w:hint="eastAsia" w:eastAsia="宋体"/>
          <w:b/>
          <w:color w:val="auto"/>
          <w:sz w:val="36"/>
          <w:szCs w:val="36"/>
          <w:highlight w:val="none"/>
          <w:lang w:eastAsia="zh-CN"/>
        </w:rPr>
      </w:pPr>
      <w:r>
        <w:rPr>
          <w:rFonts w:hint="eastAsia" w:ascii="宋体" w:hAnsi="宋体" w:cs="宋体"/>
          <w:color w:val="auto"/>
          <w:kern w:val="1"/>
          <w:highlight w:val="none"/>
        </w:rPr>
        <w:br w:type="page"/>
      </w:r>
      <w:r>
        <w:rPr>
          <w:rFonts w:hint="eastAsia" w:ascii="宋体" w:hAnsi="宋体" w:cs="宋体"/>
          <w:b/>
          <w:color w:val="auto"/>
          <w:kern w:val="1"/>
          <w:sz w:val="24"/>
          <w:highlight w:val="none"/>
        </w:rPr>
        <w:t>附表</w:t>
      </w:r>
      <w:r>
        <w:rPr>
          <w:rFonts w:hint="eastAsia" w:ascii="宋体" w:hAnsi="宋体" w:cs="宋体"/>
          <w:b/>
          <w:color w:val="auto"/>
          <w:kern w:val="1"/>
          <w:sz w:val="24"/>
          <w:highlight w:val="none"/>
          <w:lang w:val="en-US" w:eastAsia="zh-CN"/>
        </w:rPr>
        <w:t>8</w:t>
      </w:r>
    </w:p>
    <w:p w14:paraId="2764D084">
      <w:pPr>
        <w:spacing w:line="360" w:lineRule="auto"/>
        <w:jc w:val="center"/>
        <w:rPr>
          <w:rFonts w:ascii="宋体" w:hAnsi="宋体" w:cs="宋体"/>
          <w:color w:val="auto"/>
          <w:sz w:val="36"/>
          <w:szCs w:val="36"/>
          <w:highlight w:val="none"/>
        </w:rPr>
      </w:pPr>
    </w:p>
    <w:p w14:paraId="60110281">
      <w:pPr>
        <w:spacing w:line="360" w:lineRule="auto"/>
        <w:jc w:val="center"/>
        <w:rPr>
          <w:b/>
          <w:color w:val="auto"/>
          <w:sz w:val="28"/>
          <w:szCs w:val="28"/>
          <w:highlight w:val="none"/>
        </w:rPr>
      </w:pPr>
      <w:r>
        <w:rPr>
          <w:rFonts w:hint="eastAsia" w:ascii="Times New Roman" w:hAnsi="Times New Roman" w:cs="Times New Roman"/>
          <w:b/>
          <w:color w:val="auto"/>
          <w:sz w:val="32"/>
          <w:szCs w:val="32"/>
          <w:highlight w:val="none"/>
        </w:rPr>
        <w:t>票决定标选票汇总表（定标阶段）</w:t>
      </w:r>
    </w:p>
    <w:p w14:paraId="1CA0F5DC">
      <w:pPr>
        <w:pStyle w:val="25"/>
        <w:rPr>
          <w:rFonts w:ascii="宋体" w:hAnsi="宋体" w:eastAsia="宋体" w:cs="宋体"/>
          <w:color w:val="auto"/>
          <w:highlight w:val="none"/>
        </w:rPr>
      </w:pPr>
    </w:p>
    <w:p w14:paraId="1F36B004">
      <w:pPr>
        <w:adjustRightInd w:val="0"/>
        <w:snapToGrid w:val="0"/>
        <w:spacing w:line="360" w:lineRule="auto"/>
        <w:rPr>
          <w:color w:val="auto"/>
          <w:szCs w:val="21"/>
          <w:highlight w:val="none"/>
        </w:rPr>
      </w:pPr>
      <w:r>
        <w:rPr>
          <w:rFonts w:hint="eastAsia"/>
          <w:color w:val="auto"/>
          <w:highlight w:val="none"/>
        </w:rPr>
        <w:t>项目</w:t>
      </w:r>
      <w:r>
        <w:rPr>
          <w:rFonts w:hint="eastAsia"/>
          <w:color w:val="auto"/>
          <w:szCs w:val="21"/>
          <w:highlight w:val="none"/>
        </w:rPr>
        <w:t>名称：</w:t>
      </w:r>
    </w:p>
    <w:tbl>
      <w:tblPr>
        <w:tblStyle w:val="20"/>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4232"/>
        <w:gridCol w:w="3980"/>
      </w:tblGrid>
      <w:tr w14:paraId="4BD6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97" w:type="dxa"/>
            <w:tcBorders>
              <w:top w:val="single" w:color="auto" w:sz="4" w:space="0"/>
              <w:left w:val="single" w:color="auto" w:sz="4" w:space="0"/>
              <w:bottom w:val="single" w:color="auto" w:sz="4" w:space="0"/>
              <w:right w:val="single" w:color="auto" w:sz="4" w:space="0"/>
            </w:tcBorders>
            <w:vAlign w:val="center"/>
          </w:tcPr>
          <w:p w14:paraId="59F4C8EA">
            <w:pPr>
              <w:adjustRightInd w:val="0"/>
              <w:snapToGrid w:val="0"/>
              <w:spacing w:line="360" w:lineRule="auto"/>
              <w:jc w:val="center"/>
              <w:rPr>
                <w:b/>
                <w:color w:val="auto"/>
                <w:szCs w:val="21"/>
                <w:highlight w:val="none"/>
              </w:rPr>
            </w:pPr>
            <w:r>
              <w:rPr>
                <w:rFonts w:hint="eastAsia"/>
                <w:b/>
                <w:color w:val="auto"/>
                <w:szCs w:val="21"/>
                <w:highlight w:val="none"/>
              </w:rPr>
              <w:t>序号</w:t>
            </w:r>
          </w:p>
        </w:tc>
        <w:tc>
          <w:tcPr>
            <w:tcW w:w="4232" w:type="dxa"/>
            <w:tcBorders>
              <w:top w:val="single" w:color="auto" w:sz="4" w:space="0"/>
              <w:left w:val="single" w:color="auto" w:sz="4" w:space="0"/>
              <w:bottom w:val="single" w:color="auto" w:sz="6" w:space="0"/>
              <w:right w:val="single" w:color="auto" w:sz="6" w:space="0"/>
            </w:tcBorders>
            <w:vAlign w:val="center"/>
          </w:tcPr>
          <w:p w14:paraId="7221F71C">
            <w:pPr>
              <w:adjustRightInd w:val="0"/>
              <w:snapToGrid w:val="0"/>
              <w:spacing w:line="360" w:lineRule="auto"/>
              <w:jc w:val="center"/>
              <w:rPr>
                <w:b/>
                <w:color w:val="auto"/>
                <w:szCs w:val="21"/>
                <w:highlight w:val="none"/>
              </w:rPr>
            </w:pPr>
            <w:r>
              <w:rPr>
                <w:rFonts w:hint="eastAsia"/>
                <w:b/>
                <w:color w:val="auto"/>
                <w:szCs w:val="21"/>
                <w:highlight w:val="none"/>
              </w:rPr>
              <w:t>合格中标候选人名称</w:t>
            </w:r>
          </w:p>
        </w:tc>
        <w:tc>
          <w:tcPr>
            <w:tcW w:w="3980" w:type="dxa"/>
            <w:tcBorders>
              <w:top w:val="single" w:color="auto" w:sz="4" w:space="0"/>
              <w:left w:val="single" w:color="auto" w:sz="6" w:space="0"/>
              <w:bottom w:val="single" w:color="auto" w:sz="6" w:space="0"/>
              <w:right w:val="single" w:color="auto" w:sz="6" w:space="0"/>
            </w:tcBorders>
            <w:vAlign w:val="center"/>
          </w:tcPr>
          <w:p w14:paraId="3B7FD27D">
            <w:pPr>
              <w:adjustRightInd w:val="0"/>
              <w:snapToGrid w:val="0"/>
              <w:spacing w:line="360" w:lineRule="auto"/>
              <w:jc w:val="center"/>
              <w:rPr>
                <w:b/>
                <w:color w:val="auto"/>
                <w:szCs w:val="21"/>
                <w:highlight w:val="none"/>
              </w:rPr>
            </w:pPr>
            <w:r>
              <w:rPr>
                <w:rFonts w:hint="eastAsia"/>
                <w:b/>
                <w:color w:val="auto"/>
                <w:szCs w:val="21"/>
                <w:highlight w:val="none"/>
              </w:rPr>
              <w:t>得票数</w:t>
            </w:r>
          </w:p>
        </w:tc>
      </w:tr>
      <w:tr w14:paraId="584C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97" w:type="dxa"/>
            <w:tcBorders>
              <w:top w:val="single" w:color="auto" w:sz="4" w:space="0"/>
              <w:left w:val="single" w:color="auto" w:sz="4" w:space="0"/>
              <w:bottom w:val="single" w:color="auto" w:sz="4" w:space="0"/>
              <w:right w:val="single" w:color="auto" w:sz="4" w:space="0"/>
            </w:tcBorders>
            <w:vAlign w:val="center"/>
          </w:tcPr>
          <w:p w14:paraId="0CA0782F">
            <w:pPr>
              <w:adjustRightInd w:val="0"/>
              <w:snapToGrid w:val="0"/>
              <w:spacing w:line="360" w:lineRule="auto"/>
              <w:jc w:val="center"/>
              <w:rPr>
                <w:color w:val="auto"/>
                <w:szCs w:val="21"/>
                <w:highlight w:val="none"/>
              </w:rPr>
            </w:pPr>
            <w:r>
              <w:rPr>
                <w:rFonts w:hint="eastAsia"/>
                <w:color w:val="auto"/>
                <w:szCs w:val="21"/>
                <w:highlight w:val="none"/>
              </w:rPr>
              <w:t>1</w:t>
            </w:r>
          </w:p>
        </w:tc>
        <w:tc>
          <w:tcPr>
            <w:tcW w:w="4232" w:type="dxa"/>
            <w:tcBorders>
              <w:top w:val="single" w:color="auto" w:sz="6" w:space="0"/>
              <w:left w:val="single" w:color="auto" w:sz="4" w:space="0"/>
              <w:bottom w:val="single" w:color="auto" w:sz="6" w:space="0"/>
              <w:right w:val="single" w:color="auto" w:sz="6" w:space="0"/>
            </w:tcBorders>
            <w:vAlign w:val="center"/>
          </w:tcPr>
          <w:p w14:paraId="46AF7A1A">
            <w:pPr>
              <w:adjustRightInd w:val="0"/>
              <w:snapToGrid w:val="0"/>
              <w:spacing w:line="360" w:lineRule="auto"/>
              <w:jc w:val="center"/>
              <w:rPr>
                <w:color w:val="auto"/>
                <w:szCs w:val="21"/>
                <w:highlight w:val="none"/>
              </w:rPr>
            </w:pPr>
          </w:p>
        </w:tc>
        <w:tc>
          <w:tcPr>
            <w:tcW w:w="3980" w:type="dxa"/>
            <w:tcBorders>
              <w:top w:val="single" w:color="auto" w:sz="6" w:space="0"/>
              <w:left w:val="single" w:color="auto" w:sz="6" w:space="0"/>
              <w:bottom w:val="single" w:color="auto" w:sz="6" w:space="0"/>
              <w:right w:val="single" w:color="auto" w:sz="6" w:space="0"/>
            </w:tcBorders>
            <w:vAlign w:val="center"/>
          </w:tcPr>
          <w:p w14:paraId="0735C4C0">
            <w:pPr>
              <w:adjustRightInd w:val="0"/>
              <w:snapToGrid w:val="0"/>
              <w:spacing w:line="360" w:lineRule="auto"/>
              <w:jc w:val="center"/>
              <w:rPr>
                <w:color w:val="auto"/>
                <w:szCs w:val="21"/>
                <w:highlight w:val="none"/>
              </w:rPr>
            </w:pPr>
          </w:p>
        </w:tc>
      </w:tr>
      <w:tr w14:paraId="713A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97" w:type="dxa"/>
            <w:tcBorders>
              <w:top w:val="single" w:color="auto" w:sz="4" w:space="0"/>
              <w:left w:val="single" w:color="auto" w:sz="4" w:space="0"/>
              <w:bottom w:val="single" w:color="auto" w:sz="4" w:space="0"/>
              <w:right w:val="single" w:color="auto" w:sz="4" w:space="0"/>
            </w:tcBorders>
            <w:vAlign w:val="center"/>
          </w:tcPr>
          <w:p w14:paraId="59ACEF12">
            <w:pPr>
              <w:adjustRightInd w:val="0"/>
              <w:snapToGrid w:val="0"/>
              <w:spacing w:line="360" w:lineRule="auto"/>
              <w:jc w:val="center"/>
              <w:rPr>
                <w:color w:val="auto"/>
                <w:szCs w:val="21"/>
                <w:highlight w:val="none"/>
              </w:rPr>
            </w:pPr>
            <w:r>
              <w:rPr>
                <w:rFonts w:hint="eastAsia"/>
                <w:color w:val="auto"/>
                <w:szCs w:val="21"/>
                <w:highlight w:val="none"/>
              </w:rPr>
              <w:t>2</w:t>
            </w:r>
          </w:p>
        </w:tc>
        <w:tc>
          <w:tcPr>
            <w:tcW w:w="4232" w:type="dxa"/>
            <w:tcBorders>
              <w:top w:val="single" w:color="auto" w:sz="6" w:space="0"/>
              <w:left w:val="single" w:color="auto" w:sz="4" w:space="0"/>
              <w:bottom w:val="single" w:color="auto" w:sz="6" w:space="0"/>
              <w:right w:val="single" w:color="auto" w:sz="6" w:space="0"/>
            </w:tcBorders>
            <w:vAlign w:val="center"/>
          </w:tcPr>
          <w:p w14:paraId="25CE7B4F">
            <w:pPr>
              <w:adjustRightInd w:val="0"/>
              <w:snapToGrid w:val="0"/>
              <w:spacing w:line="360" w:lineRule="auto"/>
              <w:jc w:val="center"/>
              <w:rPr>
                <w:color w:val="auto"/>
                <w:szCs w:val="21"/>
                <w:highlight w:val="none"/>
              </w:rPr>
            </w:pPr>
          </w:p>
        </w:tc>
        <w:tc>
          <w:tcPr>
            <w:tcW w:w="3980" w:type="dxa"/>
            <w:tcBorders>
              <w:top w:val="single" w:color="auto" w:sz="6" w:space="0"/>
              <w:left w:val="single" w:color="auto" w:sz="6" w:space="0"/>
              <w:bottom w:val="single" w:color="auto" w:sz="6" w:space="0"/>
              <w:right w:val="single" w:color="auto" w:sz="6" w:space="0"/>
            </w:tcBorders>
            <w:vAlign w:val="center"/>
          </w:tcPr>
          <w:p w14:paraId="1A320D7F">
            <w:pPr>
              <w:adjustRightInd w:val="0"/>
              <w:snapToGrid w:val="0"/>
              <w:spacing w:line="360" w:lineRule="auto"/>
              <w:jc w:val="center"/>
              <w:rPr>
                <w:color w:val="auto"/>
                <w:szCs w:val="21"/>
                <w:highlight w:val="none"/>
              </w:rPr>
            </w:pPr>
          </w:p>
        </w:tc>
      </w:tr>
      <w:tr w14:paraId="7ECA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97" w:type="dxa"/>
            <w:tcBorders>
              <w:top w:val="single" w:color="auto" w:sz="4" w:space="0"/>
              <w:left w:val="single" w:color="auto" w:sz="4" w:space="0"/>
              <w:bottom w:val="single" w:color="auto" w:sz="4" w:space="0"/>
              <w:right w:val="single" w:color="auto" w:sz="4" w:space="0"/>
            </w:tcBorders>
            <w:vAlign w:val="center"/>
          </w:tcPr>
          <w:p w14:paraId="7605CBB3">
            <w:pPr>
              <w:adjustRightInd w:val="0"/>
              <w:snapToGrid w:val="0"/>
              <w:spacing w:line="360" w:lineRule="auto"/>
              <w:jc w:val="center"/>
              <w:rPr>
                <w:color w:val="auto"/>
                <w:szCs w:val="21"/>
                <w:highlight w:val="none"/>
              </w:rPr>
            </w:pPr>
            <w:r>
              <w:rPr>
                <w:rFonts w:hint="eastAsia"/>
                <w:color w:val="auto"/>
                <w:szCs w:val="21"/>
                <w:highlight w:val="none"/>
              </w:rPr>
              <w:t>3</w:t>
            </w:r>
          </w:p>
        </w:tc>
        <w:tc>
          <w:tcPr>
            <w:tcW w:w="4232" w:type="dxa"/>
            <w:tcBorders>
              <w:top w:val="single" w:color="auto" w:sz="6" w:space="0"/>
              <w:left w:val="single" w:color="auto" w:sz="4" w:space="0"/>
              <w:bottom w:val="single" w:color="auto" w:sz="6" w:space="0"/>
              <w:right w:val="single" w:color="auto" w:sz="6" w:space="0"/>
            </w:tcBorders>
            <w:vAlign w:val="center"/>
          </w:tcPr>
          <w:p w14:paraId="05FF0128">
            <w:pPr>
              <w:adjustRightInd w:val="0"/>
              <w:snapToGrid w:val="0"/>
              <w:spacing w:line="360" w:lineRule="auto"/>
              <w:jc w:val="center"/>
              <w:rPr>
                <w:color w:val="auto"/>
                <w:szCs w:val="21"/>
                <w:highlight w:val="none"/>
              </w:rPr>
            </w:pPr>
          </w:p>
        </w:tc>
        <w:tc>
          <w:tcPr>
            <w:tcW w:w="3980" w:type="dxa"/>
            <w:tcBorders>
              <w:top w:val="single" w:color="auto" w:sz="6" w:space="0"/>
              <w:left w:val="single" w:color="auto" w:sz="6" w:space="0"/>
              <w:bottom w:val="single" w:color="auto" w:sz="6" w:space="0"/>
              <w:right w:val="single" w:color="auto" w:sz="6" w:space="0"/>
            </w:tcBorders>
            <w:vAlign w:val="center"/>
          </w:tcPr>
          <w:p w14:paraId="0CAFBC0C">
            <w:pPr>
              <w:adjustRightInd w:val="0"/>
              <w:snapToGrid w:val="0"/>
              <w:spacing w:line="360" w:lineRule="auto"/>
              <w:jc w:val="center"/>
              <w:rPr>
                <w:color w:val="auto"/>
                <w:szCs w:val="21"/>
                <w:highlight w:val="none"/>
              </w:rPr>
            </w:pPr>
          </w:p>
        </w:tc>
      </w:tr>
      <w:tr w14:paraId="27BF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97" w:type="dxa"/>
            <w:tcBorders>
              <w:top w:val="single" w:color="auto" w:sz="4" w:space="0"/>
              <w:left w:val="single" w:color="auto" w:sz="4" w:space="0"/>
              <w:bottom w:val="single" w:color="auto" w:sz="4" w:space="0"/>
              <w:right w:val="single" w:color="auto" w:sz="4" w:space="0"/>
            </w:tcBorders>
            <w:vAlign w:val="center"/>
          </w:tcPr>
          <w:p w14:paraId="0CE91EC3">
            <w:pPr>
              <w:adjustRightInd w:val="0"/>
              <w:snapToGrid w:val="0"/>
              <w:spacing w:line="360" w:lineRule="auto"/>
              <w:jc w:val="center"/>
              <w:rPr>
                <w:color w:val="auto"/>
                <w:szCs w:val="21"/>
                <w:highlight w:val="none"/>
              </w:rPr>
            </w:pPr>
            <w:r>
              <w:rPr>
                <w:rFonts w:hint="eastAsia"/>
                <w:color w:val="auto"/>
                <w:szCs w:val="21"/>
                <w:highlight w:val="none"/>
              </w:rPr>
              <w:t>4</w:t>
            </w:r>
          </w:p>
        </w:tc>
        <w:tc>
          <w:tcPr>
            <w:tcW w:w="4232" w:type="dxa"/>
            <w:tcBorders>
              <w:top w:val="single" w:color="auto" w:sz="6" w:space="0"/>
              <w:left w:val="single" w:color="auto" w:sz="4" w:space="0"/>
              <w:bottom w:val="single" w:color="auto" w:sz="6" w:space="0"/>
              <w:right w:val="single" w:color="auto" w:sz="6" w:space="0"/>
            </w:tcBorders>
            <w:vAlign w:val="center"/>
          </w:tcPr>
          <w:p w14:paraId="74947411">
            <w:pPr>
              <w:adjustRightInd w:val="0"/>
              <w:snapToGrid w:val="0"/>
              <w:spacing w:line="360" w:lineRule="auto"/>
              <w:jc w:val="center"/>
              <w:rPr>
                <w:color w:val="auto"/>
                <w:szCs w:val="21"/>
                <w:highlight w:val="none"/>
              </w:rPr>
            </w:pPr>
          </w:p>
        </w:tc>
        <w:tc>
          <w:tcPr>
            <w:tcW w:w="3980" w:type="dxa"/>
            <w:tcBorders>
              <w:top w:val="single" w:color="auto" w:sz="6" w:space="0"/>
              <w:left w:val="single" w:color="auto" w:sz="6" w:space="0"/>
              <w:bottom w:val="single" w:color="auto" w:sz="6" w:space="0"/>
              <w:right w:val="single" w:color="auto" w:sz="6" w:space="0"/>
            </w:tcBorders>
            <w:vAlign w:val="center"/>
          </w:tcPr>
          <w:p w14:paraId="4B4A08B4">
            <w:pPr>
              <w:adjustRightInd w:val="0"/>
              <w:snapToGrid w:val="0"/>
              <w:spacing w:line="360" w:lineRule="auto"/>
              <w:jc w:val="center"/>
              <w:rPr>
                <w:color w:val="auto"/>
                <w:szCs w:val="21"/>
                <w:highlight w:val="none"/>
              </w:rPr>
            </w:pPr>
          </w:p>
        </w:tc>
      </w:tr>
      <w:tr w14:paraId="51F3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97" w:type="dxa"/>
            <w:tcBorders>
              <w:top w:val="single" w:color="auto" w:sz="4" w:space="0"/>
              <w:left w:val="single" w:color="auto" w:sz="4" w:space="0"/>
              <w:bottom w:val="single" w:color="auto" w:sz="4" w:space="0"/>
              <w:right w:val="single" w:color="auto" w:sz="4" w:space="0"/>
            </w:tcBorders>
            <w:vAlign w:val="center"/>
          </w:tcPr>
          <w:p w14:paraId="0BF5A005">
            <w:pPr>
              <w:adjustRightInd w:val="0"/>
              <w:snapToGrid w:val="0"/>
              <w:spacing w:line="360" w:lineRule="auto"/>
              <w:jc w:val="center"/>
              <w:rPr>
                <w:color w:val="auto"/>
                <w:szCs w:val="21"/>
                <w:highlight w:val="none"/>
              </w:rPr>
            </w:pPr>
            <w:r>
              <w:rPr>
                <w:rFonts w:hint="eastAsia"/>
                <w:color w:val="auto"/>
                <w:szCs w:val="21"/>
                <w:highlight w:val="none"/>
              </w:rPr>
              <w:t>……</w:t>
            </w:r>
          </w:p>
        </w:tc>
        <w:tc>
          <w:tcPr>
            <w:tcW w:w="4232" w:type="dxa"/>
            <w:tcBorders>
              <w:top w:val="single" w:color="auto" w:sz="6" w:space="0"/>
              <w:left w:val="single" w:color="auto" w:sz="4" w:space="0"/>
              <w:bottom w:val="single" w:color="auto" w:sz="4" w:space="0"/>
              <w:right w:val="single" w:color="auto" w:sz="6" w:space="0"/>
            </w:tcBorders>
            <w:vAlign w:val="center"/>
          </w:tcPr>
          <w:p w14:paraId="51E0DF2B">
            <w:pPr>
              <w:adjustRightInd w:val="0"/>
              <w:snapToGrid w:val="0"/>
              <w:spacing w:line="360" w:lineRule="auto"/>
              <w:jc w:val="center"/>
              <w:rPr>
                <w:color w:val="auto"/>
                <w:szCs w:val="21"/>
                <w:highlight w:val="none"/>
              </w:rPr>
            </w:pPr>
          </w:p>
        </w:tc>
        <w:tc>
          <w:tcPr>
            <w:tcW w:w="3980" w:type="dxa"/>
            <w:tcBorders>
              <w:top w:val="single" w:color="auto" w:sz="6" w:space="0"/>
              <w:left w:val="single" w:color="auto" w:sz="6" w:space="0"/>
              <w:bottom w:val="single" w:color="auto" w:sz="4" w:space="0"/>
              <w:right w:val="single" w:color="auto" w:sz="6" w:space="0"/>
            </w:tcBorders>
            <w:vAlign w:val="center"/>
          </w:tcPr>
          <w:p w14:paraId="6E1E3F6E">
            <w:pPr>
              <w:adjustRightInd w:val="0"/>
              <w:snapToGrid w:val="0"/>
              <w:spacing w:line="360" w:lineRule="auto"/>
              <w:jc w:val="center"/>
              <w:rPr>
                <w:color w:val="auto"/>
                <w:szCs w:val="21"/>
                <w:highlight w:val="none"/>
              </w:rPr>
            </w:pPr>
          </w:p>
        </w:tc>
      </w:tr>
    </w:tbl>
    <w:p w14:paraId="0859512C">
      <w:pPr>
        <w:rPr>
          <w:color w:val="auto"/>
          <w:szCs w:val="21"/>
          <w:highlight w:val="none"/>
        </w:rPr>
      </w:pPr>
    </w:p>
    <w:p w14:paraId="6B28DE75">
      <w:pPr>
        <w:adjustRightInd w:val="0"/>
        <w:snapToGrid w:val="0"/>
        <w:spacing w:line="360" w:lineRule="auto"/>
        <w:rPr>
          <w:color w:val="auto"/>
          <w:szCs w:val="21"/>
          <w:highlight w:val="none"/>
        </w:rPr>
      </w:pPr>
      <w:r>
        <w:rPr>
          <w:rFonts w:hint="eastAsia"/>
          <w:color w:val="auto"/>
          <w:szCs w:val="21"/>
          <w:highlight w:val="none"/>
        </w:rPr>
        <w:t>定标委员签名：                                         日期：</w:t>
      </w:r>
    </w:p>
    <w:p w14:paraId="1C849C06">
      <w:pPr>
        <w:pStyle w:val="25"/>
        <w:jc w:val="center"/>
        <w:rPr>
          <w:rFonts w:ascii="宋体" w:hAnsi="宋体" w:cs="宋体"/>
          <w:color w:val="auto"/>
          <w:sz w:val="36"/>
          <w:szCs w:val="36"/>
          <w:highlight w:val="none"/>
        </w:rPr>
      </w:pPr>
      <w:r>
        <w:rPr>
          <w:rFonts w:hint="eastAsia" w:ascii="宋体" w:hAnsi="宋体" w:cs="宋体"/>
          <w:color w:val="auto"/>
          <w:sz w:val="36"/>
          <w:szCs w:val="36"/>
          <w:highlight w:val="none"/>
        </w:rPr>
        <w:br w:type="page"/>
      </w:r>
    </w:p>
    <w:p w14:paraId="117D5D11">
      <w:pPr>
        <w:jc w:val="left"/>
        <w:rPr>
          <w:rFonts w:hint="eastAsia" w:ascii="宋体" w:hAnsi="宋体" w:eastAsia="宋体" w:cs="宋体"/>
          <w:b/>
          <w:color w:val="auto"/>
          <w:kern w:val="1"/>
          <w:sz w:val="24"/>
          <w:highlight w:val="none"/>
          <w:lang w:val="en-US" w:eastAsia="zh-CN"/>
        </w:rPr>
      </w:pPr>
      <w:r>
        <w:rPr>
          <w:rFonts w:hint="eastAsia" w:ascii="宋体" w:hAnsi="宋体" w:cs="宋体"/>
          <w:b/>
          <w:color w:val="auto"/>
          <w:kern w:val="1"/>
          <w:sz w:val="24"/>
          <w:highlight w:val="none"/>
        </w:rPr>
        <w:t>附表</w:t>
      </w:r>
      <w:r>
        <w:rPr>
          <w:rFonts w:hint="eastAsia" w:ascii="宋体" w:hAnsi="宋体" w:cs="宋体"/>
          <w:b/>
          <w:color w:val="auto"/>
          <w:kern w:val="1"/>
          <w:sz w:val="24"/>
          <w:highlight w:val="none"/>
          <w:lang w:val="en-US" w:eastAsia="zh-CN"/>
        </w:rPr>
        <w:t>9</w:t>
      </w:r>
    </w:p>
    <w:p w14:paraId="53962F2D">
      <w:pPr>
        <w:pStyle w:val="25"/>
        <w:jc w:val="center"/>
        <w:rPr>
          <w:rFonts w:ascii="宋体" w:hAnsi="宋体" w:cs="宋体"/>
          <w:color w:val="auto"/>
          <w:sz w:val="36"/>
          <w:szCs w:val="36"/>
          <w:highlight w:val="none"/>
        </w:rPr>
      </w:pPr>
    </w:p>
    <w:p w14:paraId="2438A884">
      <w:pPr>
        <w:pStyle w:val="25"/>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附加</w:t>
      </w:r>
      <w:r>
        <w:rPr>
          <w:rFonts w:hint="eastAsia" w:ascii="宋体" w:hAnsi="宋体" w:eastAsia="宋体" w:cs="宋体"/>
          <w:b/>
          <w:bCs/>
          <w:color w:val="auto"/>
          <w:kern w:val="0"/>
          <w:sz w:val="28"/>
          <w:szCs w:val="28"/>
          <w:highlight w:val="none"/>
        </w:rPr>
        <w:t>票决定标选票</w:t>
      </w:r>
      <w:r>
        <w:rPr>
          <w:rFonts w:hint="eastAsia" w:ascii="宋体" w:hAnsi="宋体" w:eastAsia="宋体" w:cs="宋体"/>
          <w:b/>
          <w:color w:val="auto"/>
          <w:sz w:val="28"/>
          <w:szCs w:val="28"/>
          <w:highlight w:val="none"/>
        </w:rPr>
        <w:t>表</w:t>
      </w:r>
    </w:p>
    <w:p w14:paraId="35FDBA96">
      <w:pPr>
        <w:pStyle w:val="25"/>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（定标阶段-票数相同时定标委员会个人用表）</w:t>
      </w:r>
    </w:p>
    <w:p w14:paraId="6CD5A823">
      <w:pPr>
        <w:pStyle w:val="25"/>
        <w:jc w:val="center"/>
        <w:rPr>
          <w:rFonts w:ascii="宋体" w:hAnsi="宋体" w:eastAsia="宋体" w:cs="宋体"/>
          <w:b/>
          <w:color w:val="auto"/>
          <w:sz w:val="28"/>
          <w:szCs w:val="28"/>
          <w:highlight w:val="none"/>
        </w:rPr>
      </w:pPr>
    </w:p>
    <w:p w14:paraId="672E9179">
      <w:pPr>
        <w:adjustRightInd w:val="0"/>
        <w:snapToGrid w:val="0"/>
        <w:spacing w:line="360" w:lineRule="auto"/>
        <w:rPr>
          <w:color w:val="auto"/>
          <w:highlight w:val="none"/>
        </w:rPr>
      </w:pPr>
      <w:r>
        <w:rPr>
          <w:rFonts w:hint="eastAsia"/>
          <w:color w:val="auto"/>
          <w:highlight w:val="none"/>
        </w:rPr>
        <w:t>项目名称：</w:t>
      </w:r>
    </w:p>
    <w:tbl>
      <w:tblPr>
        <w:tblStyle w:val="20"/>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14:paraId="5487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2F07CEC6">
            <w:pPr>
              <w:spacing w:line="600" w:lineRule="exact"/>
              <w:jc w:val="center"/>
              <w:rPr>
                <w:color w:val="auto"/>
                <w:highlight w:val="none"/>
              </w:rPr>
            </w:pPr>
            <w:r>
              <w:rPr>
                <w:rFonts w:hint="eastAsia"/>
                <w:color w:val="auto"/>
                <w:highlight w:val="none"/>
              </w:rPr>
              <w:t>合格中标候选人名称</w:t>
            </w:r>
          </w:p>
        </w:tc>
        <w:tc>
          <w:tcPr>
            <w:tcW w:w="1930" w:type="dxa"/>
            <w:tcBorders>
              <w:top w:val="single" w:color="auto" w:sz="4" w:space="0"/>
              <w:left w:val="single" w:color="auto" w:sz="4" w:space="0"/>
              <w:bottom w:val="single" w:color="auto" w:sz="4" w:space="0"/>
              <w:right w:val="single" w:color="auto" w:sz="4" w:space="0"/>
            </w:tcBorders>
            <w:vAlign w:val="center"/>
          </w:tcPr>
          <w:p w14:paraId="21677F96">
            <w:pPr>
              <w:spacing w:line="600" w:lineRule="exact"/>
              <w:jc w:val="center"/>
              <w:rPr>
                <w:color w:val="auto"/>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5146A93E">
            <w:pPr>
              <w:spacing w:line="600" w:lineRule="exact"/>
              <w:jc w:val="center"/>
              <w:rPr>
                <w:color w:val="auto"/>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36793826">
            <w:pPr>
              <w:spacing w:line="600" w:lineRule="exact"/>
              <w:jc w:val="center"/>
              <w:rPr>
                <w:color w:val="auto"/>
                <w:highlight w:val="none"/>
              </w:rPr>
            </w:pPr>
          </w:p>
        </w:tc>
      </w:tr>
      <w:tr w14:paraId="783C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5117CA0B">
            <w:pPr>
              <w:spacing w:line="600" w:lineRule="exact"/>
              <w:jc w:val="center"/>
              <w:rPr>
                <w:color w:val="auto"/>
                <w:szCs w:val="21"/>
                <w:highlight w:val="none"/>
              </w:rPr>
            </w:pPr>
            <w:r>
              <w:rPr>
                <w:rFonts w:hint="eastAsia"/>
                <w:color w:val="auto"/>
                <w:highlight w:val="none"/>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14:paraId="332E5874">
            <w:pPr>
              <w:spacing w:line="600" w:lineRule="exact"/>
              <w:jc w:val="center"/>
              <w:rPr>
                <w:color w:val="auto"/>
                <w:szCs w:val="21"/>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25BA29B6">
            <w:pPr>
              <w:spacing w:line="600" w:lineRule="exact"/>
              <w:jc w:val="center"/>
              <w:rPr>
                <w:color w:val="auto"/>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2A87F7E5">
            <w:pPr>
              <w:spacing w:line="600" w:lineRule="exact"/>
              <w:jc w:val="center"/>
              <w:rPr>
                <w:color w:val="auto"/>
                <w:highlight w:val="none"/>
              </w:rPr>
            </w:pPr>
          </w:p>
        </w:tc>
      </w:tr>
    </w:tbl>
    <w:p w14:paraId="738FA886">
      <w:pPr>
        <w:pStyle w:val="25"/>
        <w:rPr>
          <w:rFonts w:ascii="宋体" w:hAnsi="宋体" w:eastAsia="宋体" w:cs="宋体"/>
          <w:color w:val="auto"/>
          <w:highlight w:val="none"/>
        </w:rPr>
      </w:pPr>
    </w:p>
    <w:p w14:paraId="595B2645">
      <w:pPr>
        <w:pStyle w:val="25"/>
        <w:rPr>
          <w:rFonts w:ascii="宋体" w:hAnsi="宋体" w:eastAsia="宋体" w:cs="宋体"/>
          <w:b/>
          <w:color w:val="auto"/>
          <w:highlight w:val="none"/>
        </w:rPr>
      </w:pPr>
      <w:r>
        <w:rPr>
          <w:rFonts w:hint="eastAsia" w:ascii="宋体" w:hAnsi="宋体" w:eastAsia="宋体" w:cs="宋体"/>
          <w:b/>
          <w:color w:val="auto"/>
          <w:highlight w:val="none"/>
        </w:rPr>
        <w:t>注：</w:t>
      </w:r>
    </w:p>
    <w:p w14:paraId="4ADB4C7D">
      <w:pPr>
        <w:pStyle w:val="25"/>
        <w:ind w:firstLine="422" w:firstLineChars="200"/>
        <w:rPr>
          <w:rFonts w:ascii="宋体" w:hAnsi="宋体" w:eastAsia="宋体" w:cs="宋体"/>
          <w:b/>
          <w:color w:val="auto"/>
          <w:highlight w:val="none"/>
        </w:rPr>
      </w:pPr>
      <w:r>
        <w:rPr>
          <w:rFonts w:hint="eastAsia" w:ascii="宋体" w:hAnsi="宋体" w:eastAsia="宋体" w:cs="宋体"/>
          <w:b/>
          <w:color w:val="auto"/>
          <w:highlight w:val="none"/>
        </w:rPr>
        <w:t>1、本表用于投票出现票数相同的情况。</w:t>
      </w:r>
    </w:p>
    <w:p w14:paraId="6FDF56A1">
      <w:pPr>
        <w:pStyle w:val="25"/>
        <w:ind w:firstLine="422" w:firstLineChars="200"/>
        <w:rPr>
          <w:rFonts w:ascii="宋体" w:hAnsi="宋体" w:eastAsia="宋体" w:cs="宋体"/>
          <w:b/>
          <w:color w:val="auto"/>
          <w:highlight w:val="none"/>
        </w:rPr>
      </w:pPr>
      <w:r>
        <w:rPr>
          <w:rFonts w:hint="eastAsia" w:ascii="宋体" w:hAnsi="宋体" w:eastAsia="宋体" w:cs="宋体"/>
          <w:b/>
          <w:color w:val="auto"/>
          <w:highlight w:val="none"/>
        </w:rPr>
        <w:t>2、由定标委员会成员进行附加投票，票决意见分别为“投票”或“不投票”，各定标委员会成员只有1票表决权（即只能对其中一名合格中标候选人“投票”），票决意见为“投票”的，用“○”表示；票决意见为“不投票”，用“×”表示。</w:t>
      </w:r>
    </w:p>
    <w:p w14:paraId="587AC836">
      <w:pPr>
        <w:adjustRightInd w:val="0"/>
        <w:snapToGrid w:val="0"/>
        <w:spacing w:line="360" w:lineRule="auto"/>
        <w:rPr>
          <w:color w:val="auto"/>
          <w:szCs w:val="21"/>
          <w:highlight w:val="none"/>
        </w:rPr>
      </w:pPr>
    </w:p>
    <w:p w14:paraId="63A4C98F">
      <w:pPr>
        <w:adjustRightInd w:val="0"/>
        <w:snapToGrid w:val="0"/>
        <w:spacing w:line="360" w:lineRule="auto"/>
        <w:rPr>
          <w:color w:val="auto"/>
          <w:szCs w:val="21"/>
          <w:highlight w:val="none"/>
        </w:rPr>
      </w:pPr>
    </w:p>
    <w:p w14:paraId="3E0714CC">
      <w:pPr>
        <w:adjustRightInd w:val="0"/>
        <w:snapToGrid w:val="0"/>
        <w:spacing w:line="360" w:lineRule="auto"/>
        <w:rPr>
          <w:color w:val="auto"/>
          <w:szCs w:val="21"/>
          <w:highlight w:val="none"/>
        </w:rPr>
      </w:pPr>
      <w:r>
        <w:rPr>
          <w:rFonts w:hint="eastAsia"/>
          <w:color w:val="auto"/>
          <w:szCs w:val="21"/>
          <w:highlight w:val="none"/>
        </w:rPr>
        <w:t>定标委员签名：                                           日期：</w:t>
      </w:r>
    </w:p>
    <w:p w14:paraId="73C32457">
      <w:pPr>
        <w:pStyle w:val="25"/>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5253BA13">
      <w:pPr>
        <w:jc w:val="left"/>
        <w:rPr>
          <w:rFonts w:hint="eastAsia" w:ascii="宋体" w:hAnsi="宋体" w:eastAsia="宋体" w:cs="宋体"/>
          <w:b/>
          <w:color w:val="auto"/>
          <w:kern w:val="1"/>
          <w:sz w:val="24"/>
          <w:highlight w:val="none"/>
          <w:lang w:eastAsia="zh-CN"/>
        </w:rPr>
      </w:pPr>
      <w:r>
        <w:rPr>
          <w:rFonts w:hint="eastAsia" w:ascii="宋体" w:hAnsi="宋体" w:cs="宋体"/>
          <w:b/>
          <w:color w:val="auto"/>
          <w:kern w:val="1"/>
          <w:sz w:val="24"/>
          <w:highlight w:val="none"/>
        </w:rPr>
        <w:t>附表1</w:t>
      </w:r>
      <w:r>
        <w:rPr>
          <w:rFonts w:hint="eastAsia" w:ascii="宋体" w:hAnsi="宋体" w:cs="宋体"/>
          <w:b/>
          <w:color w:val="auto"/>
          <w:kern w:val="1"/>
          <w:sz w:val="24"/>
          <w:highlight w:val="none"/>
          <w:lang w:val="en-US" w:eastAsia="zh-CN"/>
        </w:rPr>
        <w:t>0</w:t>
      </w:r>
    </w:p>
    <w:p w14:paraId="06EAFD2F">
      <w:pPr>
        <w:pStyle w:val="25"/>
        <w:jc w:val="center"/>
        <w:rPr>
          <w:rFonts w:ascii="宋体" w:hAnsi="宋体" w:eastAsia="宋体" w:cs="宋体"/>
          <w:color w:val="auto"/>
          <w:highlight w:val="none"/>
        </w:rPr>
      </w:pPr>
    </w:p>
    <w:p w14:paraId="7F0DF3AB">
      <w:pPr>
        <w:pStyle w:val="25"/>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附加</w:t>
      </w:r>
      <w:bookmarkStart w:id="635" w:name="突出显示"/>
      <w:r>
        <w:rPr>
          <w:rFonts w:hint="eastAsia" w:ascii="宋体" w:hAnsi="宋体" w:eastAsia="宋体" w:cs="宋体"/>
          <w:b/>
          <w:bCs/>
          <w:color w:val="auto"/>
          <w:kern w:val="0"/>
          <w:sz w:val="28"/>
          <w:szCs w:val="28"/>
          <w:highlight w:val="none"/>
        </w:rPr>
        <w:t>票决</w:t>
      </w:r>
      <w:bookmarkEnd w:id="635"/>
      <w:r>
        <w:rPr>
          <w:rFonts w:hint="eastAsia" w:ascii="宋体" w:hAnsi="宋体" w:eastAsia="宋体" w:cs="宋体"/>
          <w:b/>
          <w:bCs/>
          <w:color w:val="auto"/>
          <w:kern w:val="0"/>
          <w:sz w:val="28"/>
          <w:szCs w:val="28"/>
          <w:highlight w:val="none"/>
        </w:rPr>
        <w:t>定标选票汇总</w:t>
      </w:r>
      <w:r>
        <w:rPr>
          <w:rFonts w:hint="eastAsia" w:ascii="宋体" w:hAnsi="宋体" w:eastAsia="宋体" w:cs="宋体"/>
          <w:b/>
          <w:color w:val="auto"/>
          <w:sz w:val="28"/>
          <w:szCs w:val="28"/>
          <w:highlight w:val="none"/>
        </w:rPr>
        <w:t>表</w:t>
      </w:r>
    </w:p>
    <w:p w14:paraId="206B6DD4">
      <w:pPr>
        <w:pStyle w:val="25"/>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（定标阶段-票数相同时定标委员会汇总用表）</w:t>
      </w:r>
    </w:p>
    <w:p w14:paraId="5843C970">
      <w:pPr>
        <w:pStyle w:val="25"/>
        <w:jc w:val="center"/>
        <w:rPr>
          <w:rFonts w:ascii="宋体" w:hAnsi="宋体" w:eastAsia="宋体" w:cs="宋体"/>
          <w:b/>
          <w:color w:val="auto"/>
          <w:sz w:val="28"/>
          <w:szCs w:val="28"/>
          <w:highlight w:val="none"/>
        </w:rPr>
      </w:pPr>
    </w:p>
    <w:p w14:paraId="73B86E88">
      <w:pPr>
        <w:adjustRightInd w:val="0"/>
        <w:snapToGrid w:val="0"/>
        <w:spacing w:line="360" w:lineRule="auto"/>
        <w:rPr>
          <w:color w:val="auto"/>
          <w:highlight w:val="none"/>
        </w:rPr>
      </w:pPr>
      <w:r>
        <w:rPr>
          <w:rFonts w:hint="eastAsia"/>
          <w:color w:val="auto"/>
          <w:highlight w:val="none"/>
        </w:rPr>
        <w:t>项目名称：</w:t>
      </w:r>
    </w:p>
    <w:tbl>
      <w:tblPr>
        <w:tblStyle w:val="20"/>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5371"/>
        <w:gridCol w:w="2336"/>
      </w:tblGrid>
      <w:tr w14:paraId="645D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06" w:type="dxa"/>
            <w:tcBorders>
              <w:top w:val="single" w:color="auto" w:sz="4" w:space="0"/>
              <w:left w:val="single" w:color="auto" w:sz="4" w:space="0"/>
              <w:bottom w:val="single" w:color="auto" w:sz="4" w:space="0"/>
              <w:right w:val="single" w:color="auto" w:sz="4" w:space="0"/>
            </w:tcBorders>
            <w:vAlign w:val="center"/>
          </w:tcPr>
          <w:p w14:paraId="69C98691">
            <w:pPr>
              <w:jc w:val="center"/>
              <w:rPr>
                <w:color w:val="auto"/>
                <w:highlight w:val="none"/>
              </w:rPr>
            </w:pPr>
            <w:r>
              <w:rPr>
                <w:rFonts w:hint="eastAsia"/>
                <w:color w:val="auto"/>
                <w:highlight w:val="none"/>
              </w:rPr>
              <w:t>序号</w:t>
            </w:r>
          </w:p>
        </w:tc>
        <w:tc>
          <w:tcPr>
            <w:tcW w:w="5371" w:type="dxa"/>
            <w:tcBorders>
              <w:top w:val="single" w:color="auto" w:sz="4" w:space="0"/>
              <w:left w:val="single" w:color="auto" w:sz="4" w:space="0"/>
              <w:bottom w:val="single" w:color="auto" w:sz="4" w:space="0"/>
              <w:right w:val="single" w:color="auto" w:sz="4" w:space="0"/>
            </w:tcBorders>
            <w:vAlign w:val="center"/>
          </w:tcPr>
          <w:p w14:paraId="03F9659C">
            <w:pPr>
              <w:jc w:val="center"/>
              <w:rPr>
                <w:color w:val="auto"/>
                <w:highlight w:val="none"/>
              </w:rPr>
            </w:pPr>
            <w:r>
              <w:rPr>
                <w:rFonts w:hint="eastAsia"/>
                <w:color w:val="auto"/>
                <w:highlight w:val="none"/>
              </w:rPr>
              <w:t>合格中标候选人名称</w:t>
            </w:r>
          </w:p>
        </w:tc>
        <w:tc>
          <w:tcPr>
            <w:tcW w:w="2336" w:type="dxa"/>
            <w:tcBorders>
              <w:top w:val="single" w:color="auto" w:sz="4" w:space="0"/>
              <w:left w:val="single" w:color="auto" w:sz="4" w:space="0"/>
              <w:bottom w:val="single" w:color="auto" w:sz="4" w:space="0"/>
              <w:right w:val="single" w:color="auto" w:sz="4" w:space="0"/>
            </w:tcBorders>
            <w:vAlign w:val="center"/>
          </w:tcPr>
          <w:p w14:paraId="4B4140B0">
            <w:pPr>
              <w:jc w:val="center"/>
              <w:rPr>
                <w:color w:val="auto"/>
                <w:szCs w:val="21"/>
                <w:highlight w:val="none"/>
              </w:rPr>
            </w:pPr>
            <w:r>
              <w:rPr>
                <w:rFonts w:hint="eastAsia"/>
                <w:color w:val="auto"/>
                <w:szCs w:val="21"/>
                <w:highlight w:val="none"/>
              </w:rPr>
              <w:t>得票数</w:t>
            </w:r>
          </w:p>
        </w:tc>
      </w:tr>
      <w:tr w14:paraId="0FB9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06" w:type="dxa"/>
            <w:tcBorders>
              <w:top w:val="single" w:color="auto" w:sz="4" w:space="0"/>
              <w:left w:val="single" w:color="auto" w:sz="4" w:space="0"/>
              <w:bottom w:val="single" w:color="auto" w:sz="4" w:space="0"/>
              <w:right w:val="single" w:color="auto" w:sz="4" w:space="0"/>
            </w:tcBorders>
            <w:vAlign w:val="center"/>
          </w:tcPr>
          <w:p w14:paraId="08FBCBE5">
            <w:pPr>
              <w:jc w:val="center"/>
              <w:rPr>
                <w:color w:val="auto"/>
                <w:highlight w:val="none"/>
              </w:rPr>
            </w:pPr>
            <w:r>
              <w:rPr>
                <w:rFonts w:hint="eastAsia"/>
                <w:color w:val="auto"/>
                <w:highlight w:val="none"/>
              </w:rPr>
              <w:t>1</w:t>
            </w:r>
          </w:p>
        </w:tc>
        <w:tc>
          <w:tcPr>
            <w:tcW w:w="5371" w:type="dxa"/>
            <w:tcBorders>
              <w:top w:val="single" w:color="auto" w:sz="4" w:space="0"/>
              <w:left w:val="single" w:color="auto" w:sz="4" w:space="0"/>
              <w:bottom w:val="single" w:color="auto" w:sz="4" w:space="0"/>
              <w:right w:val="single" w:color="auto" w:sz="4" w:space="0"/>
            </w:tcBorders>
            <w:vAlign w:val="center"/>
          </w:tcPr>
          <w:p w14:paraId="24C7901F">
            <w:pPr>
              <w:jc w:val="center"/>
              <w:rPr>
                <w:color w:val="auto"/>
                <w:highlight w:val="none"/>
              </w:rPr>
            </w:pPr>
          </w:p>
        </w:tc>
        <w:tc>
          <w:tcPr>
            <w:tcW w:w="2336" w:type="dxa"/>
            <w:tcBorders>
              <w:top w:val="single" w:color="auto" w:sz="4" w:space="0"/>
              <w:left w:val="single" w:color="auto" w:sz="4" w:space="0"/>
              <w:bottom w:val="single" w:color="auto" w:sz="4" w:space="0"/>
              <w:right w:val="single" w:color="auto" w:sz="4" w:space="0"/>
            </w:tcBorders>
            <w:vAlign w:val="center"/>
          </w:tcPr>
          <w:p w14:paraId="0CB633CE">
            <w:pPr>
              <w:jc w:val="center"/>
              <w:rPr>
                <w:color w:val="auto"/>
                <w:highlight w:val="none"/>
              </w:rPr>
            </w:pPr>
          </w:p>
        </w:tc>
      </w:tr>
      <w:tr w14:paraId="41EB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06" w:type="dxa"/>
            <w:tcBorders>
              <w:top w:val="single" w:color="auto" w:sz="4" w:space="0"/>
              <w:left w:val="single" w:color="auto" w:sz="4" w:space="0"/>
              <w:bottom w:val="single" w:color="auto" w:sz="4" w:space="0"/>
              <w:right w:val="single" w:color="auto" w:sz="4" w:space="0"/>
            </w:tcBorders>
            <w:vAlign w:val="center"/>
          </w:tcPr>
          <w:p w14:paraId="5D9E2EC0">
            <w:pPr>
              <w:jc w:val="center"/>
              <w:rPr>
                <w:color w:val="auto"/>
                <w:highlight w:val="none"/>
              </w:rPr>
            </w:pPr>
            <w:r>
              <w:rPr>
                <w:rFonts w:hint="eastAsia"/>
                <w:color w:val="auto"/>
                <w:highlight w:val="none"/>
              </w:rPr>
              <w:t>2</w:t>
            </w:r>
          </w:p>
        </w:tc>
        <w:tc>
          <w:tcPr>
            <w:tcW w:w="5371" w:type="dxa"/>
            <w:tcBorders>
              <w:top w:val="single" w:color="auto" w:sz="4" w:space="0"/>
              <w:left w:val="single" w:color="auto" w:sz="4" w:space="0"/>
              <w:bottom w:val="single" w:color="auto" w:sz="4" w:space="0"/>
              <w:right w:val="single" w:color="auto" w:sz="4" w:space="0"/>
            </w:tcBorders>
            <w:vAlign w:val="center"/>
          </w:tcPr>
          <w:p w14:paraId="7275A650">
            <w:pPr>
              <w:jc w:val="center"/>
              <w:rPr>
                <w:color w:val="auto"/>
                <w:highlight w:val="none"/>
              </w:rPr>
            </w:pPr>
          </w:p>
        </w:tc>
        <w:tc>
          <w:tcPr>
            <w:tcW w:w="2336" w:type="dxa"/>
            <w:tcBorders>
              <w:top w:val="single" w:color="auto" w:sz="4" w:space="0"/>
              <w:left w:val="single" w:color="auto" w:sz="4" w:space="0"/>
              <w:bottom w:val="single" w:color="auto" w:sz="4" w:space="0"/>
              <w:right w:val="single" w:color="auto" w:sz="4" w:space="0"/>
            </w:tcBorders>
            <w:vAlign w:val="center"/>
          </w:tcPr>
          <w:p w14:paraId="1F414BFA">
            <w:pPr>
              <w:jc w:val="center"/>
              <w:rPr>
                <w:color w:val="auto"/>
                <w:highlight w:val="none"/>
              </w:rPr>
            </w:pPr>
          </w:p>
        </w:tc>
      </w:tr>
      <w:tr w14:paraId="67D8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06" w:type="dxa"/>
            <w:tcBorders>
              <w:top w:val="single" w:color="auto" w:sz="4" w:space="0"/>
              <w:left w:val="single" w:color="auto" w:sz="4" w:space="0"/>
              <w:bottom w:val="single" w:color="auto" w:sz="4" w:space="0"/>
              <w:right w:val="single" w:color="auto" w:sz="4" w:space="0"/>
            </w:tcBorders>
            <w:vAlign w:val="center"/>
          </w:tcPr>
          <w:p w14:paraId="61A957B1">
            <w:pPr>
              <w:jc w:val="center"/>
              <w:rPr>
                <w:color w:val="auto"/>
                <w:highlight w:val="none"/>
              </w:rPr>
            </w:pPr>
            <w:r>
              <w:rPr>
                <w:rFonts w:hint="eastAsia"/>
                <w:color w:val="auto"/>
                <w:highlight w:val="none"/>
              </w:rPr>
              <w:t>3</w:t>
            </w:r>
          </w:p>
        </w:tc>
        <w:tc>
          <w:tcPr>
            <w:tcW w:w="5371" w:type="dxa"/>
            <w:tcBorders>
              <w:top w:val="single" w:color="auto" w:sz="4" w:space="0"/>
              <w:left w:val="single" w:color="auto" w:sz="4" w:space="0"/>
              <w:bottom w:val="single" w:color="auto" w:sz="4" w:space="0"/>
              <w:right w:val="single" w:color="auto" w:sz="4" w:space="0"/>
            </w:tcBorders>
            <w:vAlign w:val="center"/>
          </w:tcPr>
          <w:p w14:paraId="35BD0D5D">
            <w:pPr>
              <w:jc w:val="center"/>
              <w:rPr>
                <w:color w:val="auto"/>
                <w:highlight w:val="none"/>
              </w:rPr>
            </w:pPr>
          </w:p>
        </w:tc>
        <w:tc>
          <w:tcPr>
            <w:tcW w:w="2336" w:type="dxa"/>
            <w:tcBorders>
              <w:top w:val="single" w:color="auto" w:sz="4" w:space="0"/>
              <w:left w:val="single" w:color="auto" w:sz="4" w:space="0"/>
              <w:bottom w:val="single" w:color="auto" w:sz="4" w:space="0"/>
              <w:right w:val="single" w:color="auto" w:sz="4" w:space="0"/>
            </w:tcBorders>
            <w:vAlign w:val="center"/>
          </w:tcPr>
          <w:p w14:paraId="6616AA95">
            <w:pPr>
              <w:jc w:val="center"/>
              <w:rPr>
                <w:color w:val="auto"/>
                <w:highlight w:val="none"/>
              </w:rPr>
            </w:pPr>
          </w:p>
        </w:tc>
      </w:tr>
      <w:tr w14:paraId="17DA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06" w:type="dxa"/>
            <w:tcBorders>
              <w:top w:val="single" w:color="auto" w:sz="4" w:space="0"/>
              <w:left w:val="single" w:color="auto" w:sz="4" w:space="0"/>
              <w:bottom w:val="single" w:color="auto" w:sz="4" w:space="0"/>
              <w:right w:val="single" w:color="auto" w:sz="4" w:space="0"/>
            </w:tcBorders>
            <w:vAlign w:val="center"/>
          </w:tcPr>
          <w:p w14:paraId="4608FCBF">
            <w:pPr>
              <w:jc w:val="center"/>
              <w:rPr>
                <w:color w:val="auto"/>
                <w:highlight w:val="none"/>
              </w:rPr>
            </w:pPr>
            <w:r>
              <w:rPr>
                <w:rFonts w:hint="eastAsia"/>
                <w:color w:val="auto"/>
                <w:highlight w:val="none"/>
              </w:rPr>
              <w:t>4</w:t>
            </w:r>
          </w:p>
        </w:tc>
        <w:tc>
          <w:tcPr>
            <w:tcW w:w="5371" w:type="dxa"/>
            <w:tcBorders>
              <w:top w:val="single" w:color="auto" w:sz="4" w:space="0"/>
              <w:left w:val="single" w:color="auto" w:sz="4" w:space="0"/>
              <w:bottom w:val="single" w:color="auto" w:sz="4" w:space="0"/>
              <w:right w:val="single" w:color="auto" w:sz="4" w:space="0"/>
            </w:tcBorders>
            <w:vAlign w:val="center"/>
          </w:tcPr>
          <w:p w14:paraId="1356E909">
            <w:pPr>
              <w:jc w:val="center"/>
              <w:rPr>
                <w:color w:val="auto"/>
                <w:highlight w:val="none"/>
              </w:rPr>
            </w:pPr>
          </w:p>
        </w:tc>
        <w:tc>
          <w:tcPr>
            <w:tcW w:w="2336" w:type="dxa"/>
            <w:tcBorders>
              <w:top w:val="single" w:color="auto" w:sz="4" w:space="0"/>
              <w:left w:val="single" w:color="auto" w:sz="4" w:space="0"/>
              <w:bottom w:val="single" w:color="auto" w:sz="4" w:space="0"/>
              <w:right w:val="single" w:color="auto" w:sz="4" w:space="0"/>
            </w:tcBorders>
            <w:vAlign w:val="center"/>
          </w:tcPr>
          <w:p w14:paraId="6589EBFB">
            <w:pPr>
              <w:jc w:val="center"/>
              <w:rPr>
                <w:color w:val="auto"/>
                <w:highlight w:val="none"/>
              </w:rPr>
            </w:pPr>
          </w:p>
        </w:tc>
      </w:tr>
      <w:tr w14:paraId="1A01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06" w:type="dxa"/>
            <w:tcBorders>
              <w:top w:val="single" w:color="auto" w:sz="4" w:space="0"/>
              <w:left w:val="single" w:color="auto" w:sz="4" w:space="0"/>
              <w:bottom w:val="single" w:color="auto" w:sz="4" w:space="0"/>
              <w:right w:val="single" w:color="auto" w:sz="4" w:space="0"/>
            </w:tcBorders>
            <w:vAlign w:val="center"/>
          </w:tcPr>
          <w:p w14:paraId="325B4F35">
            <w:pPr>
              <w:jc w:val="center"/>
              <w:rPr>
                <w:color w:val="auto"/>
                <w:highlight w:val="none"/>
              </w:rPr>
            </w:pPr>
            <w:r>
              <w:rPr>
                <w:rFonts w:hint="eastAsia"/>
                <w:color w:val="auto"/>
                <w:highlight w:val="none"/>
              </w:rPr>
              <w:t>……</w:t>
            </w:r>
          </w:p>
        </w:tc>
        <w:tc>
          <w:tcPr>
            <w:tcW w:w="5371" w:type="dxa"/>
            <w:tcBorders>
              <w:top w:val="single" w:color="auto" w:sz="4" w:space="0"/>
              <w:left w:val="single" w:color="auto" w:sz="4" w:space="0"/>
              <w:bottom w:val="single" w:color="auto" w:sz="4" w:space="0"/>
              <w:right w:val="single" w:color="auto" w:sz="4" w:space="0"/>
            </w:tcBorders>
            <w:vAlign w:val="center"/>
          </w:tcPr>
          <w:p w14:paraId="327322BB">
            <w:pPr>
              <w:jc w:val="center"/>
              <w:rPr>
                <w:color w:val="auto"/>
                <w:highlight w:val="none"/>
              </w:rPr>
            </w:pPr>
          </w:p>
        </w:tc>
        <w:tc>
          <w:tcPr>
            <w:tcW w:w="2336" w:type="dxa"/>
            <w:tcBorders>
              <w:top w:val="single" w:color="auto" w:sz="4" w:space="0"/>
              <w:left w:val="single" w:color="auto" w:sz="4" w:space="0"/>
              <w:bottom w:val="single" w:color="auto" w:sz="4" w:space="0"/>
              <w:right w:val="single" w:color="auto" w:sz="4" w:space="0"/>
            </w:tcBorders>
            <w:vAlign w:val="center"/>
          </w:tcPr>
          <w:p w14:paraId="2FA81C68">
            <w:pPr>
              <w:jc w:val="center"/>
              <w:rPr>
                <w:color w:val="auto"/>
                <w:highlight w:val="none"/>
              </w:rPr>
            </w:pPr>
          </w:p>
        </w:tc>
      </w:tr>
    </w:tbl>
    <w:p w14:paraId="0DFFA1A7">
      <w:pPr>
        <w:pStyle w:val="25"/>
        <w:rPr>
          <w:rFonts w:ascii="宋体" w:hAnsi="宋体" w:eastAsia="宋体" w:cs="宋体"/>
          <w:color w:val="auto"/>
          <w:kern w:val="0"/>
          <w:szCs w:val="21"/>
          <w:highlight w:val="none"/>
        </w:rPr>
      </w:pPr>
    </w:p>
    <w:p w14:paraId="58463D51">
      <w:pPr>
        <w:adjustRightInd w:val="0"/>
        <w:snapToGrid w:val="0"/>
        <w:spacing w:line="360" w:lineRule="auto"/>
        <w:rPr>
          <w:color w:val="auto"/>
          <w:szCs w:val="21"/>
          <w:highlight w:val="none"/>
        </w:rPr>
      </w:pPr>
      <w:r>
        <w:rPr>
          <w:rFonts w:hint="eastAsia"/>
          <w:color w:val="auto"/>
          <w:szCs w:val="21"/>
          <w:highlight w:val="none"/>
        </w:rPr>
        <w:t>定标委员签名：                                            日期：</w:t>
      </w:r>
    </w:p>
    <w:p w14:paraId="1E65B530">
      <w:pPr>
        <w:jc w:val="center"/>
        <w:rPr>
          <w:color w:val="auto"/>
          <w:highlight w:val="none"/>
        </w:rPr>
      </w:pPr>
      <w:r>
        <w:rPr>
          <w:rFonts w:hint="eastAsia"/>
          <w:color w:val="auto"/>
          <w:highlight w:val="none"/>
        </w:rPr>
        <w:br w:type="page"/>
      </w:r>
    </w:p>
    <w:p w14:paraId="6717EA97">
      <w:pPr>
        <w:jc w:val="left"/>
        <w:rPr>
          <w:rFonts w:hint="eastAsia" w:ascii="宋体" w:hAnsi="宋体" w:eastAsia="宋体" w:cs="宋体"/>
          <w:b/>
          <w:color w:val="auto"/>
          <w:kern w:val="1"/>
          <w:sz w:val="24"/>
          <w:highlight w:val="none"/>
          <w:lang w:eastAsia="zh-CN"/>
        </w:rPr>
      </w:pPr>
      <w:r>
        <w:rPr>
          <w:rFonts w:hint="eastAsia" w:ascii="宋体" w:hAnsi="宋体" w:cs="宋体"/>
          <w:b/>
          <w:color w:val="auto"/>
          <w:kern w:val="1"/>
          <w:sz w:val="24"/>
          <w:highlight w:val="none"/>
        </w:rPr>
        <w:t>附表1</w:t>
      </w:r>
      <w:r>
        <w:rPr>
          <w:rFonts w:hint="eastAsia" w:ascii="宋体" w:hAnsi="宋体" w:cs="宋体"/>
          <w:b/>
          <w:color w:val="auto"/>
          <w:kern w:val="1"/>
          <w:sz w:val="24"/>
          <w:highlight w:val="none"/>
          <w:lang w:val="en-US" w:eastAsia="zh-CN"/>
        </w:rPr>
        <w:t>1</w:t>
      </w:r>
    </w:p>
    <w:p w14:paraId="36026A39">
      <w:pPr>
        <w:jc w:val="center"/>
        <w:rPr>
          <w:color w:val="auto"/>
          <w:highlight w:val="none"/>
        </w:rPr>
      </w:pPr>
    </w:p>
    <w:p w14:paraId="52BDFE5E">
      <w:pPr>
        <w:jc w:val="center"/>
        <w:rPr>
          <w:color w:val="auto"/>
          <w:highlight w:val="none"/>
        </w:rPr>
      </w:pPr>
      <w:r>
        <w:rPr>
          <w:rFonts w:hint="eastAsia"/>
          <w:b/>
          <w:bCs/>
          <w:color w:val="auto"/>
          <w:sz w:val="32"/>
          <w:highlight w:val="none"/>
        </w:rPr>
        <w:t>定标阶段各合格中标候选人评语</w:t>
      </w:r>
    </w:p>
    <w:p w14:paraId="2095E736">
      <w:pPr>
        <w:rPr>
          <w:color w:val="auto"/>
          <w:highlight w:val="none"/>
          <w:u w:val="single"/>
        </w:rPr>
      </w:pPr>
      <w:r>
        <w:rPr>
          <w:rFonts w:hint="eastAsia"/>
          <w:color w:val="auto"/>
          <w:highlight w:val="none"/>
          <w:u w:val="single"/>
        </w:rPr>
        <w:t>项目名称：</w:t>
      </w:r>
    </w:p>
    <w:tbl>
      <w:tblPr>
        <w:tblStyle w:val="20"/>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4820"/>
      </w:tblGrid>
      <w:tr w14:paraId="6235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539" w:type="dxa"/>
            <w:tcBorders>
              <w:top w:val="single" w:color="auto" w:sz="4" w:space="0"/>
              <w:left w:val="single" w:color="auto" w:sz="4" w:space="0"/>
              <w:bottom w:val="single" w:color="auto" w:sz="4" w:space="0"/>
              <w:right w:val="single" w:color="auto" w:sz="4" w:space="0"/>
            </w:tcBorders>
            <w:vAlign w:val="center"/>
          </w:tcPr>
          <w:p w14:paraId="2272D7C2">
            <w:pPr>
              <w:jc w:val="center"/>
              <w:rPr>
                <w:b/>
                <w:color w:val="auto"/>
                <w:highlight w:val="none"/>
                <w:u w:val="single"/>
              </w:rPr>
            </w:pPr>
            <w:r>
              <w:rPr>
                <w:rFonts w:hint="eastAsia"/>
                <w:b/>
                <w:color w:val="auto"/>
                <w:highlight w:val="none"/>
                <w:u w:val="single"/>
              </w:rPr>
              <w:t>合格中标候选人名称</w:t>
            </w:r>
          </w:p>
        </w:tc>
        <w:tc>
          <w:tcPr>
            <w:tcW w:w="4820" w:type="dxa"/>
            <w:tcBorders>
              <w:top w:val="single" w:color="auto" w:sz="4" w:space="0"/>
              <w:left w:val="single" w:color="auto" w:sz="4" w:space="0"/>
              <w:bottom w:val="single" w:color="auto" w:sz="4" w:space="0"/>
              <w:right w:val="single" w:color="auto" w:sz="4" w:space="0"/>
            </w:tcBorders>
            <w:vAlign w:val="center"/>
          </w:tcPr>
          <w:p w14:paraId="0B1D547A">
            <w:pPr>
              <w:jc w:val="center"/>
              <w:rPr>
                <w:b/>
                <w:color w:val="auto"/>
                <w:highlight w:val="none"/>
                <w:u w:val="single"/>
              </w:rPr>
            </w:pPr>
            <w:r>
              <w:rPr>
                <w:rFonts w:hint="eastAsia"/>
                <w:b/>
                <w:color w:val="auto"/>
                <w:highlight w:val="none"/>
                <w:u w:val="single"/>
              </w:rPr>
              <w:t>评    语</w:t>
            </w:r>
          </w:p>
        </w:tc>
      </w:tr>
      <w:tr w14:paraId="061F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vAlign w:val="center"/>
          </w:tcPr>
          <w:p w14:paraId="7BAB3582">
            <w:pPr>
              <w:rPr>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vAlign w:val="center"/>
          </w:tcPr>
          <w:p w14:paraId="25DA7D6E">
            <w:pPr>
              <w:rPr>
                <w:color w:val="auto"/>
                <w:highlight w:val="none"/>
                <w:u w:val="single"/>
              </w:rPr>
            </w:pPr>
          </w:p>
        </w:tc>
      </w:tr>
      <w:tr w14:paraId="79DC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vAlign w:val="center"/>
          </w:tcPr>
          <w:p w14:paraId="5146DFC7">
            <w:pPr>
              <w:rPr>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vAlign w:val="center"/>
          </w:tcPr>
          <w:p w14:paraId="48B6B0D8">
            <w:pPr>
              <w:rPr>
                <w:color w:val="auto"/>
                <w:highlight w:val="none"/>
                <w:u w:val="single"/>
              </w:rPr>
            </w:pPr>
          </w:p>
        </w:tc>
      </w:tr>
      <w:tr w14:paraId="4535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vAlign w:val="center"/>
          </w:tcPr>
          <w:p w14:paraId="45C171DF">
            <w:pPr>
              <w:rPr>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vAlign w:val="center"/>
          </w:tcPr>
          <w:p w14:paraId="45F46EB0">
            <w:pPr>
              <w:rPr>
                <w:color w:val="auto"/>
                <w:highlight w:val="none"/>
                <w:u w:val="single"/>
              </w:rPr>
            </w:pPr>
          </w:p>
        </w:tc>
      </w:tr>
      <w:tr w14:paraId="4DB6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vAlign w:val="center"/>
          </w:tcPr>
          <w:p w14:paraId="316A31A0">
            <w:pPr>
              <w:rPr>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vAlign w:val="center"/>
          </w:tcPr>
          <w:p w14:paraId="0CEFB9F4">
            <w:pPr>
              <w:rPr>
                <w:color w:val="auto"/>
                <w:highlight w:val="none"/>
                <w:u w:val="single"/>
              </w:rPr>
            </w:pPr>
          </w:p>
        </w:tc>
      </w:tr>
      <w:tr w14:paraId="0A7C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vAlign w:val="center"/>
          </w:tcPr>
          <w:p w14:paraId="36D25D0A">
            <w:pPr>
              <w:rPr>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vAlign w:val="center"/>
          </w:tcPr>
          <w:p w14:paraId="1F9D5576">
            <w:pPr>
              <w:rPr>
                <w:color w:val="auto"/>
                <w:highlight w:val="none"/>
                <w:u w:val="single"/>
              </w:rPr>
            </w:pPr>
          </w:p>
        </w:tc>
      </w:tr>
      <w:tr w14:paraId="0A3D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vAlign w:val="center"/>
          </w:tcPr>
          <w:p w14:paraId="72FF43B8">
            <w:pPr>
              <w:rPr>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vAlign w:val="center"/>
          </w:tcPr>
          <w:p w14:paraId="1BCD3572">
            <w:pPr>
              <w:rPr>
                <w:color w:val="auto"/>
                <w:highlight w:val="none"/>
                <w:u w:val="single"/>
              </w:rPr>
            </w:pPr>
          </w:p>
        </w:tc>
      </w:tr>
      <w:tr w14:paraId="6CE1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vAlign w:val="center"/>
          </w:tcPr>
          <w:p w14:paraId="1FC0734A">
            <w:pPr>
              <w:rPr>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vAlign w:val="center"/>
          </w:tcPr>
          <w:p w14:paraId="61CA3382">
            <w:pPr>
              <w:rPr>
                <w:color w:val="auto"/>
                <w:highlight w:val="none"/>
                <w:u w:val="single"/>
              </w:rPr>
            </w:pPr>
          </w:p>
        </w:tc>
      </w:tr>
      <w:tr w14:paraId="2D0E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vAlign w:val="center"/>
          </w:tcPr>
          <w:p w14:paraId="5EBC99DE">
            <w:pPr>
              <w:rPr>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vAlign w:val="center"/>
          </w:tcPr>
          <w:p w14:paraId="686AA844">
            <w:pPr>
              <w:rPr>
                <w:color w:val="auto"/>
                <w:highlight w:val="none"/>
                <w:u w:val="single"/>
              </w:rPr>
            </w:pPr>
          </w:p>
        </w:tc>
      </w:tr>
    </w:tbl>
    <w:p w14:paraId="30846FA8">
      <w:pPr>
        <w:pStyle w:val="25"/>
        <w:rPr>
          <w:rFonts w:ascii="宋体" w:hAnsi="宋体" w:eastAsia="宋体" w:cs="宋体"/>
          <w:color w:val="auto"/>
          <w:highlight w:val="none"/>
        </w:rPr>
      </w:pPr>
    </w:p>
    <w:p w14:paraId="55C2B5BC">
      <w:pPr>
        <w:pStyle w:val="25"/>
        <w:rPr>
          <w:rFonts w:ascii="宋体" w:hAnsi="宋体" w:eastAsia="宋体" w:cs="宋体"/>
          <w:color w:val="auto"/>
          <w:highlight w:val="none"/>
        </w:rPr>
      </w:pPr>
      <w:r>
        <w:rPr>
          <w:rFonts w:hint="eastAsia" w:ascii="宋体" w:hAnsi="宋体" w:eastAsia="宋体" w:cs="宋体"/>
          <w:color w:val="auto"/>
          <w:highlight w:val="none"/>
        </w:rPr>
        <w:t>注：由定标委员会各成员依据招标文件中列出的各定标因素，给予进入定标环节的各合格中标候选人客观实际的评语，并作为投票依据。</w:t>
      </w:r>
    </w:p>
    <w:p w14:paraId="7E7A212F">
      <w:pPr>
        <w:adjustRightInd w:val="0"/>
        <w:snapToGrid w:val="0"/>
        <w:spacing w:line="360" w:lineRule="auto"/>
        <w:ind w:right="624" w:rightChars="297" w:firstLine="420" w:firstLineChars="200"/>
        <w:rPr>
          <w:color w:val="auto"/>
          <w:highlight w:val="none"/>
        </w:rPr>
      </w:pPr>
    </w:p>
    <w:p w14:paraId="7BAE6591">
      <w:pPr>
        <w:adjustRightInd w:val="0"/>
        <w:snapToGrid w:val="0"/>
        <w:spacing w:line="360" w:lineRule="auto"/>
        <w:ind w:right="624" w:rightChars="297" w:firstLine="420" w:firstLineChars="200"/>
        <w:rPr>
          <w:b/>
          <w:bCs/>
          <w:color w:val="auto"/>
          <w:sz w:val="28"/>
          <w:szCs w:val="28"/>
          <w:highlight w:val="none"/>
        </w:rPr>
      </w:pPr>
      <w:r>
        <w:rPr>
          <w:rFonts w:hint="eastAsia"/>
          <w:color w:val="auto"/>
          <w:highlight w:val="none"/>
        </w:rPr>
        <w:t xml:space="preserve">定标委员签名：                                 日期：     </w:t>
      </w:r>
    </w:p>
    <w:p w14:paraId="631C5828">
      <w:pPr>
        <w:jc w:val="center"/>
        <w:rPr>
          <w:rFonts w:ascii="宋体" w:hAnsi="宋体" w:cs="宋体"/>
          <w:color w:val="auto"/>
          <w:sz w:val="36"/>
          <w:szCs w:val="36"/>
          <w:highlight w:val="none"/>
        </w:rPr>
      </w:pPr>
      <w:r>
        <w:rPr>
          <w:rFonts w:hint="eastAsia" w:ascii="宋体" w:hAnsi="宋体" w:cs="宋体"/>
          <w:color w:val="auto"/>
          <w:sz w:val="36"/>
          <w:szCs w:val="36"/>
          <w:highlight w:val="none"/>
        </w:rPr>
        <w:br w:type="page"/>
      </w:r>
    </w:p>
    <w:p w14:paraId="4937D382">
      <w:pPr>
        <w:jc w:val="left"/>
        <w:rPr>
          <w:rFonts w:hint="eastAsia" w:ascii="宋体" w:hAnsi="宋体" w:eastAsia="宋体" w:cs="宋体"/>
          <w:b/>
          <w:color w:val="auto"/>
          <w:kern w:val="1"/>
          <w:sz w:val="24"/>
          <w:highlight w:val="none"/>
          <w:lang w:eastAsia="zh-CN"/>
        </w:rPr>
      </w:pPr>
      <w:r>
        <w:rPr>
          <w:rFonts w:hint="eastAsia" w:ascii="宋体" w:hAnsi="宋体" w:cs="宋体"/>
          <w:b/>
          <w:color w:val="auto"/>
          <w:kern w:val="1"/>
          <w:sz w:val="24"/>
          <w:highlight w:val="none"/>
        </w:rPr>
        <w:t>附表1</w:t>
      </w:r>
      <w:r>
        <w:rPr>
          <w:rFonts w:hint="eastAsia" w:ascii="宋体" w:hAnsi="宋体" w:cs="宋体"/>
          <w:b/>
          <w:color w:val="auto"/>
          <w:kern w:val="1"/>
          <w:sz w:val="24"/>
          <w:highlight w:val="none"/>
          <w:lang w:val="en-US" w:eastAsia="zh-CN"/>
        </w:rPr>
        <w:t>2</w:t>
      </w:r>
    </w:p>
    <w:p w14:paraId="33E48F4E">
      <w:pPr>
        <w:jc w:val="center"/>
        <w:rPr>
          <w:rFonts w:ascii="宋体" w:hAnsi="宋体" w:cs="宋体"/>
          <w:color w:val="auto"/>
          <w:sz w:val="36"/>
          <w:szCs w:val="36"/>
          <w:highlight w:val="none"/>
        </w:rPr>
      </w:pPr>
    </w:p>
    <w:p w14:paraId="40C3579E">
      <w:pPr>
        <w:jc w:val="center"/>
        <w:rPr>
          <w:rFonts w:ascii="宋体" w:hAnsi="宋体" w:cs="宋体"/>
          <w:color w:val="auto"/>
          <w:sz w:val="36"/>
          <w:szCs w:val="36"/>
          <w:highlight w:val="none"/>
        </w:rPr>
      </w:pPr>
      <w:r>
        <w:rPr>
          <w:rFonts w:hint="eastAsia" w:ascii="宋体" w:hAnsi="宋体" w:cs="宋体"/>
          <w:color w:val="auto"/>
          <w:sz w:val="36"/>
          <w:szCs w:val="36"/>
          <w:highlight w:val="none"/>
        </w:rPr>
        <w:t>定标委员评语表</w:t>
      </w:r>
    </w:p>
    <w:p w14:paraId="1E5D6364">
      <w:pPr>
        <w:pStyle w:val="26"/>
        <w:rPr>
          <w:rFonts w:ascii="宋体" w:hAnsi="宋体" w:cs="宋体"/>
          <w:color w:val="auto"/>
          <w:highlight w:val="none"/>
        </w:rPr>
      </w:pPr>
    </w:p>
    <w:p w14:paraId="2425C3D7">
      <w:pPr>
        <w:pStyle w:val="26"/>
        <w:spacing w:line="360" w:lineRule="auto"/>
        <w:jc w:val="left"/>
        <w:rPr>
          <w:rFonts w:ascii="宋体" w:hAnsi="宋体" w:cs="宋体"/>
          <w:b w:val="0"/>
          <w:color w:val="auto"/>
          <w:highlight w:val="none"/>
        </w:rPr>
      </w:pPr>
      <w:r>
        <w:rPr>
          <w:rFonts w:hint="eastAsia" w:ascii="宋体" w:hAnsi="宋体" w:cs="宋体"/>
          <w:b w:val="0"/>
          <w:color w:val="auto"/>
          <w:highlight w:val="none"/>
        </w:rPr>
        <w:t>项目名称：</w:t>
      </w:r>
    </w:p>
    <w:p w14:paraId="2F92C8E0">
      <w:pPr>
        <w:pStyle w:val="26"/>
        <w:spacing w:line="360" w:lineRule="auto"/>
        <w:jc w:val="left"/>
        <w:rPr>
          <w:rFonts w:ascii="宋体" w:hAnsi="宋体" w:cs="宋体"/>
          <w:b w:val="0"/>
          <w:color w:val="auto"/>
          <w:highlight w:val="none"/>
        </w:rPr>
      </w:pPr>
      <w:r>
        <w:rPr>
          <w:rFonts w:hint="eastAsia" w:ascii="宋体" w:hAnsi="宋体" w:cs="宋体"/>
          <w:b w:val="0"/>
          <w:color w:val="auto"/>
          <w:highlight w:val="none"/>
        </w:rPr>
        <w:t>合格中标候选人名称：</w:t>
      </w:r>
    </w:p>
    <w:tbl>
      <w:tblPr>
        <w:tblStyle w:val="20"/>
        <w:tblW w:w="975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3205"/>
        <w:gridCol w:w="2091"/>
        <w:gridCol w:w="3589"/>
      </w:tblGrid>
      <w:tr w14:paraId="7D86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73" w:type="dxa"/>
            <w:tcBorders>
              <w:top w:val="single" w:color="auto" w:sz="4" w:space="0"/>
              <w:left w:val="single" w:color="auto" w:sz="4" w:space="0"/>
              <w:bottom w:val="single" w:color="auto" w:sz="4" w:space="0"/>
              <w:right w:val="single" w:color="auto" w:sz="4" w:space="0"/>
            </w:tcBorders>
            <w:vAlign w:val="center"/>
          </w:tcPr>
          <w:p w14:paraId="6642E418">
            <w:pPr>
              <w:jc w:val="center"/>
              <w:rPr>
                <w:rFonts w:ascii="宋体" w:hAnsi="宋体" w:cs="宋体"/>
                <w:b/>
                <w:bCs/>
                <w:color w:val="auto"/>
                <w:highlight w:val="none"/>
              </w:rPr>
            </w:pPr>
            <w:r>
              <w:rPr>
                <w:rFonts w:hint="eastAsia" w:ascii="宋体" w:hAnsi="宋体" w:cs="宋体"/>
                <w:b/>
                <w:bCs/>
                <w:color w:val="auto"/>
                <w:highlight w:val="none"/>
              </w:rPr>
              <w:t>序号</w:t>
            </w:r>
          </w:p>
        </w:tc>
        <w:tc>
          <w:tcPr>
            <w:tcW w:w="3205" w:type="dxa"/>
            <w:tcBorders>
              <w:top w:val="single" w:color="auto" w:sz="4" w:space="0"/>
              <w:left w:val="single" w:color="auto" w:sz="4" w:space="0"/>
              <w:bottom w:val="single" w:color="auto" w:sz="4" w:space="0"/>
              <w:right w:val="single" w:color="auto" w:sz="4" w:space="0"/>
            </w:tcBorders>
            <w:vAlign w:val="center"/>
          </w:tcPr>
          <w:p w14:paraId="330544E2">
            <w:pPr>
              <w:jc w:val="center"/>
              <w:rPr>
                <w:rFonts w:ascii="宋体" w:hAnsi="宋体" w:cs="宋体"/>
                <w:b/>
                <w:bCs/>
                <w:color w:val="auto"/>
                <w:highlight w:val="none"/>
              </w:rPr>
            </w:pPr>
            <w:r>
              <w:rPr>
                <w:rFonts w:hint="eastAsia" w:ascii="宋体" w:hAnsi="宋体" w:cs="宋体"/>
                <w:b/>
                <w:bCs/>
                <w:color w:val="auto"/>
                <w:highlight w:val="none"/>
              </w:rPr>
              <w:t>定标因素</w:t>
            </w:r>
          </w:p>
        </w:tc>
        <w:tc>
          <w:tcPr>
            <w:tcW w:w="2091" w:type="dxa"/>
            <w:tcBorders>
              <w:top w:val="single" w:color="auto" w:sz="4" w:space="0"/>
              <w:left w:val="single" w:color="auto" w:sz="4" w:space="0"/>
              <w:bottom w:val="single" w:color="auto" w:sz="4" w:space="0"/>
              <w:right w:val="single" w:color="auto" w:sz="4" w:space="0"/>
            </w:tcBorders>
            <w:vAlign w:val="center"/>
          </w:tcPr>
          <w:p w14:paraId="1407F777">
            <w:pPr>
              <w:jc w:val="center"/>
              <w:rPr>
                <w:rFonts w:ascii="宋体" w:hAnsi="宋体" w:cs="宋体"/>
                <w:b/>
                <w:bCs/>
                <w:color w:val="auto"/>
                <w:highlight w:val="none"/>
              </w:rPr>
            </w:pPr>
            <w:r>
              <w:rPr>
                <w:rFonts w:hint="eastAsia" w:ascii="宋体" w:hAnsi="宋体" w:cs="宋体"/>
                <w:b/>
                <w:bCs/>
                <w:color w:val="auto"/>
                <w:highlight w:val="none"/>
              </w:rPr>
              <w:t>定标因素结论</w:t>
            </w:r>
          </w:p>
        </w:tc>
        <w:tc>
          <w:tcPr>
            <w:tcW w:w="3589" w:type="dxa"/>
            <w:tcBorders>
              <w:top w:val="single" w:color="auto" w:sz="4" w:space="0"/>
              <w:left w:val="single" w:color="auto" w:sz="4" w:space="0"/>
              <w:bottom w:val="single" w:color="auto" w:sz="4" w:space="0"/>
              <w:right w:val="single" w:color="auto" w:sz="4" w:space="0"/>
            </w:tcBorders>
            <w:vAlign w:val="center"/>
          </w:tcPr>
          <w:p w14:paraId="2C1C9B71">
            <w:pPr>
              <w:jc w:val="center"/>
              <w:rPr>
                <w:rFonts w:ascii="宋体" w:hAnsi="宋体" w:cs="宋体"/>
                <w:b/>
                <w:bCs/>
                <w:color w:val="auto"/>
                <w:highlight w:val="none"/>
              </w:rPr>
            </w:pPr>
            <w:r>
              <w:rPr>
                <w:rFonts w:hint="eastAsia" w:ascii="宋体" w:hAnsi="宋体" w:cs="宋体"/>
                <w:b/>
                <w:bCs/>
                <w:color w:val="auto"/>
                <w:highlight w:val="none"/>
              </w:rPr>
              <w:t>定标委员评语</w:t>
            </w:r>
          </w:p>
        </w:tc>
      </w:tr>
      <w:tr w14:paraId="0E44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73" w:type="dxa"/>
            <w:tcBorders>
              <w:top w:val="single" w:color="auto" w:sz="4" w:space="0"/>
              <w:left w:val="single" w:color="auto" w:sz="4" w:space="0"/>
              <w:bottom w:val="single" w:color="auto" w:sz="4" w:space="0"/>
              <w:right w:val="single" w:color="auto" w:sz="4" w:space="0"/>
            </w:tcBorders>
            <w:vAlign w:val="center"/>
          </w:tcPr>
          <w:p w14:paraId="1B22B7F7">
            <w:pPr>
              <w:spacing w:line="360" w:lineRule="auto"/>
              <w:jc w:val="center"/>
              <w:rPr>
                <w:rFonts w:ascii="宋体" w:hAnsi="宋体" w:cs="宋体"/>
                <w:b/>
                <w:bCs/>
                <w:color w:val="auto"/>
                <w:highlight w:val="none"/>
              </w:rPr>
            </w:pPr>
            <w:r>
              <w:rPr>
                <w:color w:val="auto"/>
                <w:highlight w:val="none"/>
              </w:rPr>
              <w:t>1</w:t>
            </w:r>
          </w:p>
        </w:tc>
        <w:tc>
          <w:tcPr>
            <w:tcW w:w="3205" w:type="dxa"/>
            <w:tcBorders>
              <w:top w:val="single" w:color="auto" w:sz="4" w:space="0"/>
              <w:left w:val="single" w:color="auto" w:sz="4" w:space="0"/>
              <w:bottom w:val="single" w:color="auto" w:sz="4" w:space="0"/>
              <w:right w:val="single" w:color="auto" w:sz="4" w:space="0"/>
            </w:tcBorders>
            <w:vAlign w:val="center"/>
          </w:tcPr>
          <w:p w14:paraId="3C650F8B">
            <w:pPr>
              <w:jc w:val="center"/>
              <w:rPr>
                <w:rFonts w:ascii="宋体" w:hAnsi="宋体" w:cs="宋体"/>
                <w:b/>
                <w:bCs/>
                <w:color w:val="auto"/>
                <w:sz w:val="24"/>
                <w:szCs w:val="32"/>
                <w:highlight w:val="none"/>
              </w:rPr>
            </w:pPr>
            <w:r>
              <w:rPr>
                <w:rFonts w:hint="eastAsia" w:ascii="宋体" w:hAnsi="宋体"/>
                <w:color w:val="auto"/>
                <w:highlight w:val="none"/>
                <w:lang w:val="en-US" w:eastAsia="zh-CN"/>
              </w:rPr>
              <w:t>方案因素</w:t>
            </w:r>
          </w:p>
        </w:tc>
        <w:tc>
          <w:tcPr>
            <w:tcW w:w="2091" w:type="dxa"/>
            <w:tcBorders>
              <w:top w:val="single" w:color="auto" w:sz="4" w:space="0"/>
              <w:left w:val="single" w:color="auto" w:sz="4" w:space="0"/>
              <w:bottom w:val="single" w:color="auto" w:sz="4" w:space="0"/>
              <w:right w:val="single" w:color="auto" w:sz="4" w:space="0"/>
            </w:tcBorders>
            <w:vAlign w:val="center"/>
          </w:tcPr>
          <w:p w14:paraId="046CB504">
            <w:pPr>
              <w:spacing w:line="360" w:lineRule="auto"/>
              <w:jc w:val="center"/>
              <w:rPr>
                <w:rFonts w:ascii="宋体" w:hAnsi="宋体" w:cs="宋体"/>
                <w:b/>
                <w:bCs/>
                <w:color w:val="auto"/>
                <w:highlight w:val="none"/>
              </w:rPr>
            </w:pPr>
            <w:r>
              <w:rPr>
                <w:rFonts w:hint="eastAsia" w:ascii="宋体" w:hAnsi="宋体" w:cs="宋体"/>
                <w:b/>
                <w:bCs/>
                <w:color w:val="auto"/>
                <w:highlight w:val="none"/>
              </w:rPr>
              <w:t>□优</w:t>
            </w:r>
          </w:p>
          <w:p w14:paraId="66F464FA">
            <w:pPr>
              <w:spacing w:line="360" w:lineRule="auto"/>
              <w:jc w:val="center"/>
              <w:rPr>
                <w:rFonts w:ascii="宋体" w:hAnsi="宋体" w:cs="宋体"/>
                <w:b/>
                <w:bCs/>
                <w:color w:val="auto"/>
                <w:highlight w:val="none"/>
              </w:rPr>
            </w:pPr>
            <w:r>
              <w:rPr>
                <w:rFonts w:hint="eastAsia" w:ascii="宋体" w:hAnsi="宋体" w:cs="宋体"/>
                <w:b/>
                <w:bCs/>
                <w:color w:val="auto"/>
                <w:highlight w:val="none"/>
              </w:rPr>
              <w:t>□良</w:t>
            </w:r>
          </w:p>
          <w:p w14:paraId="7F4521DE">
            <w:pPr>
              <w:spacing w:line="360" w:lineRule="auto"/>
              <w:jc w:val="center"/>
              <w:rPr>
                <w:rFonts w:ascii="宋体" w:hAnsi="宋体" w:cs="宋体"/>
                <w:b/>
                <w:bCs/>
                <w:color w:val="auto"/>
                <w:highlight w:val="none"/>
              </w:rPr>
            </w:pPr>
            <w:r>
              <w:rPr>
                <w:rFonts w:hint="eastAsia" w:ascii="宋体" w:hAnsi="宋体" w:cs="宋体"/>
                <w:b/>
                <w:bCs/>
                <w:color w:val="auto"/>
                <w:highlight w:val="none"/>
              </w:rPr>
              <w:t>□中</w:t>
            </w:r>
          </w:p>
        </w:tc>
        <w:tc>
          <w:tcPr>
            <w:tcW w:w="3589" w:type="dxa"/>
            <w:tcBorders>
              <w:top w:val="single" w:color="auto" w:sz="4" w:space="0"/>
              <w:left w:val="single" w:color="auto" w:sz="4" w:space="0"/>
              <w:bottom w:val="single" w:color="auto" w:sz="4" w:space="0"/>
              <w:right w:val="single" w:color="auto" w:sz="4" w:space="0"/>
            </w:tcBorders>
            <w:vAlign w:val="center"/>
          </w:tcPr>
          <w:p w14:paraId="122B84FD">
            <w:pPr>
              <w:spacing w:line="360" w:lineRule="auto"/>
              <w:rPr>
                <w:rFonts w:ascii="宋体" w:hAnsi="宋体" w:cs="宋体"/>
                <w:b/>
                <w:bCs/>
                <w:color w:val="auto"/>
                <w:highlight w:val="none"/>
              </w:rPr>
            </w:pPr>
          </w:p>
        </w:tc>
      </w:tr>
      <w:tr w14:paraId="4211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873" w:type="dxa"/>
            <w:tcBorders>
              <w:top w:val="single" w:color="auto" w:sz="4" w:space="0"/>
              <w:left w:val="single" w:color="auto" w:sz="4" w:space="0"/>
              <w:bottom w:val="single" w:color="auto" w:sz="4" w:space="0"/>
              <w:right w:val="single" w:color="auto" w:sz="4" w:space="0"/>
            </w:tcBorders>
            <w:vAlign w:val="center"/>
          </w:tcPr>
          <w:p w14:paraId="36C1D25B">
            <w:pPr>
              <w:spacing w:line="360" w:lineRule="auto"/>
              <w:jc w:val="center"/>
              <w:rPr>
                <w:rFonts w:ascii="宋体" w:hAnsi="宋体" w:cs="宋体"/>
                <w:b/>
                <w:bCs/>
                <w:color w:val="auto"/>
                <w:highlight w:val="none"/>
              </w:rPr>
            </w:pPr>
            <w:r>
              <w:rPr>
                <w:rFonts w:hint="eastAsia"/>
                <w:color w:val="auto"/>
                <w:highlight w:val="none"/>
              </w:rPr>
              <w:t>2</w:t>
            </w:r>
          </w:p>
        </w:tc>
        <w:tc>
          <w:tcPr>
            <w:tcW w:w="3205" w:type="dxa"/>
            <w:tcBorders>
              <w:top w:val="single" w:color="auto" w:sz="4" w:space="0"/>
              <w:left w:val="single" w:color="auto" w:sz="4" w:space="0"/>
              <w:bottom w:val="single" w:color="auto" w:sz="4" w:space="0"/>
              <w:right w:val="single" w:color="auto" w:sz="4" w:space="0"/>
            </w:tcBorders>
            <w:vAlign w:val="center"/>
          </w:tcPr>
          <w:p w14:paraId="2DA092E2">
            <w:pPr>
              <w:jc w:val="center"/>
              <w:rPr>
                <w:rFonts w:ascii="宋体" w:hAnsi="宋体" w:cs="宋体"/>
                <w:color w:val="auto"/>
                <w:sz w:val="24"/>
                <w:szCs w:val="32"/>
                <w:highlight w:val="none"/>
              </w:rPr>
            </w:pPr>
            <w:r>
              <w:rPr>
                <w:rFonts w:hint="eastAsia" w:ascii="宋体" w:hAnsi="宋体"/>
                <w:color w:val="auto"/>
                <w:highlight w:val="none"/>
                <w:lang w:val="en-US" w:eastAsia="zh-CN"/>
              </w:rPr>
              <w:t>价格因素</w:t>
            </w:r>
          </w:p>
        </w:tc>
        <w:tc>
          <w:tcPr>
            <w:tcW w:w="2091" w:type="dxa"/>
            <w:tcBorders>
              <w:top w:val="single" w:color="auto" w:sz="4" w:space="0"/>
              <w:left w:val="single" w:color="auto" w:sz="4" w:space="0"/>
              <w:bottom w:val="single" w:color="auto" w:sz="4" w:space="0"/>
              <w:right w:val="single" w:color="auto" w:sz="4" w:space="0"/>
            </w:tcBorders>
            <w:vAlign w:val="center"/>
          </w:tcPr>
          <w:p w14:paraId="260CB306">
            <w:pPr>
              <w:spacing w:line="360" w:lineRule="auto"/>
              <w:jc w:val="center"/>
              <w:rPr>
                <w:rFonts w:ascii="宋体" w:hAnsi="宋体" w:cs="宋体"/>
                <w:b/>
                <w:bCs/>
                <w:color w:val="auto"/>
                <w:highlight w:val="none"/>
              </w:rPr>
            </w:pPr>
            <w:r>
              <w:rPr>
                <w:rFonts w:hint="eastAsia" w:ascii="宋体" w:hAnsi="宋体" w:cs="宋体"/>
                <w:b/>
                <w:bCs/>
                <w:color w:val="auto"/>
                <w:highlight w:val="none"/>
              </w:rPr>
              <w:t>□优</w:t>
            </w:r>
          </w:p>
          <w:p w14:paraId="3F408017">
            <w:pPr>
              <w:spacing w:line="360" w:lineRule="auto"/>
              <w:jc w:val="center"/>
              <w:rPr>
                <w:rFonts w:ascii="宋体" w:hAnsi="宋体" w:cs="宋体"/>
                <w:b/>
                <w:bCs/>
                <w:color w:val="auto"/>
                <w:highlight w:val="none"/>
              </w:rPr>
            </w:pPr>
            <w:r>
              <w:rPr>
                <w:rFonts w:hint="eastAsia" w:ascii="宋体" w:hAnsi="宋体" w:cs="宋体"/>
                <w:b/>
                <w:bCs/>
                <w:color w:val="auto"/>
                <w:highlight w:val="none"/>
              </w:rPr>
              <w:t>□良</w:t>
            </w:r>
          </w:p>
          <w:p w14:paraId="2255D83E">
            <w:pPr>
              <w:spacing w:line="360" w:lineRule="auto"/>
              <w:jc w:val="center"/>
              <w:rPr>
                <w:rFonts w:ascii="宋体" w:hAnsi="宋体" w:cs="宋体"/>
                <w:color w:val="auto"/>
                <w:highlight w:val="none"/>
              </w:rPr>
            </w:pPr>
            <w:r>
              <w:rPr>
                <w:rFonts w:hint="eastAsia" w:ascii="宋体" w:hAnsi="宋体" w:cs="宋体"/>
                <w:b/>
                <w:bCs/>
                <w:color w:val="auto"/>
                <w:highlight w:val="none"/>
              </w:rPr>
              <w:t>□中</w:t>
            </w:r>
          </w:p>
        </w:tc>
        <w:tc>
          <w:tcPr>
            <w:tcW w:w="3589" w:type="dxa"/>
            <w:tcBorders>
              <w:top w:val="single" w:color="auto" w:sz="4" w:space="0"/>
              <w:left w:val="single" w:color="auto" w:sz="4" w:space="0"/>
              <w:bottom w:val="single" w:color="auto" w:sz="4" w:space="0"/>
              <w:right w:val="single" w:color="auto" w:sz="4" w:space="0"/>
            </w:tcBorders>
            <w:vAlign w:val="center"/>
          </w:tcPr>
          <w:p w14:paraId="3978A673">
            <w:pPr>
              <w:spacing w:line="360" w:lineRule="auto"/>
              <w:rPr>
                <w:rFonts w:ascii="宋体" w:hAnsi="宋体" w:cs="宋体"/>
                <w:color w:val="auto"/>
                <w:highlight w:val="none"/>
              </w:rPr>
            </w:pPr>
          </w:p>
        </w:tc>
      </w:tr>
      <w:tr w14:paraId="78F8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6169" w:type="dxa"/>
            <w:gridSpan w:val="3"/>
            <w:tcBorders>
              <w:top w:val="single" w:color="auto" w:sz="4" w:space="0"/>
              <w:left w:val="single" w:color="auto" w:sz="4" w:space="0"/>
              <w:bottom w:val="single" w:color="auto" w:sz="4" w:space="0"/>
              <w:right w:val="single" w:color="auto" w:sz="4" w:space="0"/>
            </w:tcBorders>
            <w:vAlign w:val="center"/>
          </w:tcPr>
          <w:p w14:paraId="22E42F11">
            <w:pPr>
              <w:pStyle w:val="6"/>
              <w:ind w:firstLine="2530" w:firstLineChars="1200"/>
              <w:rPr>
                <w:rFonts w:cs="宋体"/>
                <w:bCs/>
                <w:color w:val="auto"/>
                <w:highlight w:val="none"/>
              </w:rPr>
            </w:pPr>
            <w:r>
              <w:rPr>
                <w:rFonts w:hint="eastAsia" w:cs="宋体"/>
                <w:color w:val="auto"/>
                <w:highlight w:val="none"/>
              </w:rPr>
              <w:t>结论</w:t>
            </w:r>
          </w:p>
        </w:tc>
        <w:tc>
          <w:tcPr>
            <w:tcW w:w="3589" w:type="dxa"/>
            <w:tcBorders>
              <w:top w:val="single" w:color="auto" w:sz="4" w:space="0"/>
              <w:left w:val="single" w:color="auto" w:sz="4" w:space="0"/>
              <w:bottom w:val="single" w:color="auto" w:sz="4" w:space="0"/>
              <w:right w:val="single" w:color="auto" w:sz="4" w:space="0"/>
            </w:tcBorders>
          </w:tcPr>
          <w:p w14:paraId="3C51298E">
            <w:pPr>
              <w:spacing w:line="360" w:lineRule="auto"/>
              <w:rPr>
                <w:rFonts w:ascii="宋体" w:hAnsi="宋体" w:cs="宋体"/>
                <w:bCs/>
                <w:color w:val="auto"/>
                <w:szCs w:val="21"/>
                <w:highlight w:val="none"/>
              </w:rPr>
            </w:pPr>
          </w:p>
        </w:tc>
      </w:tr>
    </w:tbl>
    <w:p w14:paraId="03E98ECF">
      <w:pPr>
        <w:spacing w:line="360" w:lineRule="auto"/>
        <w:ind w:left="316" w:hanging="316" w:hangingChars="150"/>
        <w:jc w:val="left"/>
        <w:rPr>
          <w:rFonts w:ascii="宋体" w:hAnsi="宋体" w:cs="宋体"/>
          <w:b/>
          <w:bCs/>
          <w:color w:val="auto"/>
          <w:highlight w:val="none"/>
        </w:rPr>
      </w:pPr>
      <w:r>
        <w:rPr>
          <w:rFonts w:hint="eastAsia" w:ascii="宋体" w:hAnsi="宋体" w:cs="宋体"/>
          <w:b/>
          <w:bCs/>
          <w:color w:val="auto"/>
          <w:highlight w:val="none"/>
        </w:rPr>
        <w:t>注：定标委员须根据合格中标候选人的投标文件在定标因素结论中进行勾选，并按相应的定标因素填写评语。</w:t>
      </w:r>
    </w:p>
    <w:p w14:paraId="1781CFE6">
      <w:pPr>
        <w:pStyle w:val="11"/>
        <w:rPr>
          <w:color w:val="auto"/>
          <w:highlight w:val="none"/>
          <w:lang w:val="en-US"/>
        </w:rPr>
      </w:pPr>
    </w:p>
    <w:p w14:paraId="4BEA0ABA">
      <w:pPr>
        <w:spacing w:line="360" w:lineRule="auto"/>
        <w:ind w:left="360" w:hanging="360" w:hangingChars="150"/>
        <w:jc w:val="center"/>
        <w:rPr>
          <w:rFonts w:ascii="宋体" w:hAnsi="宋体" w:cs="宋体"/>
          <w:color w:val="auto"/>
          <w:sz w:val="24"/>
          <w:highlight w:val="none"/>
        </w:rPr>
      </w:pPr>
    </w:p>
    <w:p w14:paraId="41BE1FAE">
      <w:pPr>
        <w:spacing w:line="360" w:lineRule="auto"/>
        <w:ind w:left="360" w:hanging="360" w:hangingChars="150"/>
        <w:jc w:val="center"/>
        <w:rPr>
          <w:rFonts w:ascii="宋体" w:hAnsi="宋体" w:cs="宋体"/>
          <w:color w:val="auto"/>
          <w:sz w:val="24"/>
          <w:highlight w:val="none"/>
        </w:rPr>
      </w:pPr>
      <w:r>
        <w:rPr>
          <w:rFonts w:hint="eastAsia" w:ascii="宋体" w:hAnsi="宋体" w:cs="宋体"/>
          <w:color w:val="auto"/>
          <w:sz w:val="24"/>
          <w:highlight w:val="none"/>
        </w:rPr>
        <w:t>定标委员签名：                                          日   期：</w:t>
      </w:r>
    </w:p>
    <w:p w14:paraId="19D11B72">
      <w:pPr>
        <w:rPr>
          <w:rFonts w:ascii="宋体" w:hAnsi="宋体" w:cs="宋体"/>
          <w:color w:val="auto"/>
          <w:kern w:val="1"/>
          <w:highlight w:val="none"/>
        </w:rPr>
      </w:pPr>
      <w:r>
        <w:rPr>
          <w:rFonts w:hint="eastAsia" w:ascii="宋体" w:hAnsi="宋体" w:cs="宋体"/>
          <w:color w:val="auto"/>
          <w:kern w:val="1"/>
          <w:highlight w:val="none"/>
        </w:rPr>
        <w:br w:type="page"/>
      </w:r>
    </w:p>
    <w:p w14:paraId="4E35E249">
      <w:pPr>
        <w:rPr>
          <w:rFonts w:ascii="宋体" w:hAnsi="宋体" w:cs="宋体"/>
          <w:color w:val="auto"/>
          <w:kern w:val="1"/>
          <w:highlight w:val="none"/>
        </w:rPr>
      </w:pPr>
    </w:p>
    <w:p w14:paraId="504F138F">
      <w:pPr>
        <w:rPr>
          <w:rFonts w:ascii="宋体" w:hAnsi="宋体" w:cs="宋体"/>
          <w:color w:val="auto"/>
          <w:kern w:val="1"/>
          <w:highlight w:val="none"/>
        </w:rPr>
      </w:pPr>
    </w:p>
    <w:p w14:paraId="2A375766">
      <w:pPr>
        <w:pStyle w:val="3"/>
        <w:numPr>
          <w:ilvl w:val="0"/>
          <w:numId w:val="1"/>
        </w:numPr>
        <w:tabs>
          <w:tab w:val="left" w:pos="0"/>
        </w:tabs>
        <w:spacing w:before="0" w:after="0" w:line="240" w:lineRule="auto"/>
        <w:jc w:val="center"/>
        <w:rPr>
          <w:rFonts w:ascii="宋体" w:hAnsi="宋体" w:cs="宋体"/>
          <w:color w:val="auto"/>
          <w:kern w:val="1"/>
          <w:highlight w:val="none"/>
        </w:rPr>
      </w:pPr>
      <w:bookmarkStart w:id="636" w:name="_Toc2040"/>
      <w:r>
        <w:rPr>
          <w:rFonts w:hint="eastAsia" w:ascii="宋体" w:hAnsi="宋体" w:cs="宋体"/>
          <w:color w:val="auto"/>
          <w:kern w:val="1"/>
          <w:highlight w:val="none"/>
        </w:rPr>
        <w:t>合同条款及格式</w:t>
      </w:r>
      <w:bookmarkEnd w:id="634"/>
      <w:bookmarkEnd w:id="636"/>
    </w:p>
    <w:p w14:paraId="37F9252D">
      <w:pP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 xml:space="preserve">      (另册)</w:t>
      </w:r>
    </w:p>
    <w:p w14:paraId="4AF26B02">
      <w:pPr>
        <w:pStyle w:val="3"/>
        <w:numPr>
          <w:ilvl w:val="0"/>
          <w:numId w:val="1"/>
        </w:numPr>
        <w:tabs>
          <w:tab w:val="left" w:pos="0"/>
        </w:tabs>
        <w:spacing w:before="0" w:after="0" w:line="240" w:lineRule="auto"/>
        <w:jc w:val="center"/>
        <w:rPr>
          <w:rFonts w:ascii="宋体" w:hAnsi="宋体" w:cs="宋体"/>
          <w:color w:val="auto"/>
          <w:kern w:val="1"/>
          <w:highlight w:val="none"/>
        </w:rPr>
      </w:pPr>
      <w:r>
        <w:rPr>
          <w:rFonts w:cs="宋体"/>
          <w:b w:val="0"/>
          <w:color w:val="auto"/>
          <w:kern w:val="1"/>
          <w:sz w:val="28"/>
          <w:szCs w:val="28"/>
          <w:highlight w:val="none"/>
        </w:rPr>
        <w:br w:type="page"/>
      </w:r>
      <w:bookmarkStart w:id="637" w:name="_Toc32067"/>
      <w:r>
        <w:rPr>
          <w:rFonts w:hint="eastAsia" w:ascii="宋体" w:hAnsi="宋体" w:cs="宋体"/>
          <w:color w:val="auto"/>
          <w:kern w:val="1"/>
          <w:highlight w:val="none"/>
        </w:rPr>
        <w:t>发包人要求</w:t>
      </w:r>
      <w:bookmarkEnd w:id="637"/>
    </w:p>
    <w:p w14:paraId="092AF930">
      <w:pPr>
        <w:spacing w:line="560" w:lineRule="exact"/>
        <w:jc w:val="center"/>
        <w:rPr>
          <w:color w:val="auto"/>
          <w:highlight w:val="none"/>
        </w:rPr>
      </w:pPr>
      <w:r>
        <w:rPr>
          <w:rFonts w:ascii="宋体" w:hAnsi="宋体" w:cs="宋体"/>
          <w:color w:val="auto"/>
          <w:kern w:val="1"/>
          <w:sz w:val="36"/>
          <w:szCs w:val="36"/>
          <w:highlight w:val="none"/>
        </w:rPr>
        <w:t>另册</w:t>
      </w:r>
    </w:p>
    <w:p w14:paraId="6EE02176">
      <w:pPr>
        <w:spacing w:line="560" w:lineRule="exact"/>
        <w:ind w:firstLine="560" w:firstLineChars="200"/>
        <w:jc w:val="center"/>
        <w:rPr>
          <w:rFonts w:ascii="宋体" w:hAnsi="宋体" w:cs="Times New Roman"/>
          <w:color w:val="auto"/>
          <w:sz w:val="28"/>
          <w:szCs w:val="28"/>
          <w:highlight w:val="none"/>
        </w:rPr>
      </w:pPr>
    </w:p>
    <w:p w14:paraId="4F4F5EFB">
      <w:pPr>
        <w:spacing w:line="560" w:lineRule="exact"/>
        <w:ind w:firstLine="560" w:firstLineChars="200"/>
        <w:rPr>
          <w:rFonts w:ascii="宋体" w:hAnsi="宋体"/>
          <w:color w:val="auto"/>
          <w:sz w:val="28"/>
          <w:szCs w:val="28"/>
          <w:highlight w:val="none"/>
        </w:rPr>
      </w:pPr>
    </w:p>
    <w:p w14:paraId="3206468D">
      <w:pPr>
        <w:spacing w:line="560" w:lineRule="exact"/>
        <w:ind w:firstLine="560" w:firstLineChars="200"/>
        <w:rPr>
          <w:rFonts w:ascii="宋体" w:hAnsi="宋体"/>
          <w:color w:val="auto"/>
          <w:sz w:val="28"/>
          <w:szCs w:val="28"/>
          <w:highlight w:val="none"/>
        </w:rPr>
      </w:pPr>
    </w:p>
    <w:p w14:paraId="719D481A">
      <w:pPr>
        <w:pStyle w:val="3"/>
        <w:numPr>
          <w:ilvl w:val="0"/>
          <w:numId w:val="1"/>
        </w:numPr>
        <w:tabs>
          <w:tab w:val="left" w:pos="0"/>
        </w:tabs>
        <w:spacing w:before="0" w:after="0" w:line="240" w:lineRule="auto"/>
        <w:jc w:val="center"/>
        <w:rPr>
          <w:rFonts w:ascii="宋体" w:hAnsi="宋体" w:cs="宋体"/>
          <w:color w:val="auto"/>
          <w:kern w:val="1"/>
          <w:highlight w:val="none"/>
        </w:rPr>
      </w:pPr>
      <w:bookmarkStart w:id="638" w:name="8.1建筑与装修设计要求"/>
      <w:bookmarkEnd w:id="638"/>
      <w:bookmarkStart w:id="639" w:name="二、设计范围"/>
      <w:bookmarkEnd w:id="639"/>
      <w:bookmarkStart w:id="640" w:name="8.2道路工程设计要求"/>
      <w:bookmarkEnd w:id="640"/>
      <w:bookmarkStart w:id="641" w:name="四、总体要求"/>
      <w:bookmarkEnd w:id="641"/>
      <w:bookmarkStart w:id="642" w:name="三、设计目标"/>
      <w:bookmarkEnd w:id="642"/>
      <w:bookmarkStart w:id="643" w:name="江门市蓬江区老旧社区改造项目（二期）"/>
      <w:bookmarkEnd w:id="643"/>
      <w:bookmarkStart w:id="644" w:name="_Toc5620360"/>
      <w:r>
        <w:rPr>
          <w:rFonts w:ascii="宋体" w:hAnsi="宋体"/>
          <w:color w:val="auto"/>
          <w:sz w:val="24"/>
          <w:szCs w:val="24"/>
          <w:highlight w:val="none"/>
        </w:rPr>
        <w:br w:type="page"/>
      </w:r>
      <w:bookmarkStart w:id="645" w:name="_Toc23357"/>
      <w:r>
        <w:rPr>
          <w:rFonts w:hint="eastAsia"/>
          <w:color w:val="auto"/>
          <w:highlight w:val="none"/>
        </w:rPr>
        <w:t>发包</w:t>
      </w:r>
      <w:r>
        <w:rPr>
          <w:rFonts w:hint="eastAsia" w:ascii="宋体" w:hAnsi="宋体" w:cs="宋体"/>
          <w:color w:val="auto"/>
          <w:kern w:val="1"/>
          <w:highlight w:val="none"/>
        </w:rPr>
        <w:t>人提供的资料</w:t>
      </w:r>
      <w:bookmarkEnd w:id="644"/>
      <w:bookmarkEnd w:id="645"/>
    </w:p>
    <w:p w14:paraId="675E313D">
      <w:pPr>
        <w:spacing w:line="360" w:lineRule="auto"/>
        <w:jc w:val="center"/>
        <w:rPr>
          <w:rFonts w:ascii="宋体" w:hAnsi="宋体" w:cs="宋体"/>
          <w:color w:val="auto"/>
          <w:kern w:val="1"/>
          <w:sz w:val="24"/>
          <w:szCs w:val="28"/>
          <w:highlight w:val="none"/>
        </w:rPr>
      </w:pPr>
      <w:bookmarkStart w:id="646" w:name="_Toc436834201"/>
      <w:bookmarkEnd w:id="646"/>
      <w:bookmarkStart w:id="647" w:name="_Toc436834794"/>
      <w:bookmarkEnd w:id="647"/>
      <w:bookmarkStart w:id="648" w:name="_Toc439246070"/>
      <w:bookmarkEnd w:id="648"/>
      <w:bookmarkStart w:id="649" w:name="_Toc439240671"/>
      <w:bookmarkEnd w:id="649"/>
      <w:r>
        <w:rPr>
          <w:rFonts w:ascii="宋体" w:hAnsi="宋体" w:cs="宋体"/>
          <w:color w:val="auto"/>
          <w:kern w:val="1"/>
          <w:sz w:val="36"/>
          <w:szCs w:val="36"/>
          <w:highlight w:val="none"/>
        </w:rPr>
        <w:t>另册</w:t>
      </w:r>
    </w:p>
    <w:p w14:paraId="0DA1F235">
      <w:pPr>
        <w:rPr>
          <w:color w:val="auto"/>
          <w:highlight w:val="none"/>
        </w:rPr>
      </w:pPr>
      <w:bookmarkStart w:id="650" w:name="_Toc16136"/>
      <w:bookmarkEnd w:id="650"/>
      <w:bookmarkStart w:id="651" w:name="_Toc5620362"/>
      <w:r>
        <w:rPr>
          <w:rFonts w:hint="eastAsia"/>
          <w:color w:val="auto"/>
          <w:highlight w:val="none"/>
        </w:rPr>
        <w:br w:type="page"/>
      </w:r>
    </w:p>
    <w:p w14:paraId="18AD2003">
      <w:pPr>
        <w:pStyle w:val="3"/>
        <w:numPr>
          <w:ilvl w:val="0"/>
          <w:numId w:val="1"/>
        </w:numPr>
        <w:tabs>
          <w:tab w:val="left" w:pos="0"/>
        </w:tabs>
        <w:spacing w:before="0" w:after="0" w:line="240" w:lineRule="auto"/>
        <w:jc w:val="center"/>
        <w:rPr>
          <w:color w:val="auto"/>
          <w:highlight w:val="none"/>
        </w:rPr>
      </w:pPr>
      <w:bookmarkStart w:id="652" w:name="_Toc9201"/>
      <w:r>
        <w:rPr>
          <w:rFonts w:hint="eastAsia"/>
          <w:color w:val="auto"/>
          <w:highlight w:val="none"/>
        </w:rPr>
        <w:t>工程量清单</w:t>
      </w:r>
      <w:bookmarkEnd w:id="652"/>
    </w:p>
    <w:p w14:paraId="74986059">
      <w:pPr>
        <w:spacing w:line="360" w:lineRule="auto"/>
        <w:jc w:val="center"/>
        <w:rPr>
          <w:rFonts w:ascii="宋体" w:hAnsi="宋体" w:cs="宋体"/>
          <w:color w:val="auto"/>
          <w:kern w:val="1"/>
          <w:sz w:val="36"/>
          <w:szCs w:val="36"/>
          <w:highlight w:val="none"/>
        </w:rPr>
      </w:pPr>
    </w:p>
    <w:p w14:paraId="2A7C799E">
      <w:pPr>
        <w:spacing w:line="360" w:lineRule="auto"/>
        <w:jc w:val="center"/>
        <w:rPr>
          <w:rFonts w:ascii="宋体" w:hAnsi="宋体" w:cs="宋体"/>
          <w:color w:val="auto"/>
          <w:kern w:val="1"/>
          <w:sz w:val="36"/>
          <w:szCs w:val="36"/>
          <w:highlight w:val="none"/>
        </w:rPr>
      </w:pPr>
      <w:r>
        <w:rPr>
          <w:rFonts w:hint="eastAsia" w:ascii="宋体" w:hAnsi="宋体" w:cs="宋体"/>
          <w:color w:val="auto"/>
          <w:kern w:val="1"/>
          <w:sz w:val="36"/>
          <w:szCs w:val="36"/>
          <w:highlight w:val="none"/>
          <w:lang w:val="en-US" w:eastAsia="zh-CN"/>
        </w:rPr>
        <w:t>模拟清单</w:t>
      </w:r>
      <w:r>
        <w:rPr>
          <w:rFonts w:ascii="宋体" w:hAnsi="宋体" w:cs="宋体"/>
          <w:color w:val="auto"/>
          <w:kern w:val="1"/>
          <w:sz w:val="36"/>
          <w:szCs w:val="36"/>
          <w:highlight w:val="none"/>
        </w:rPr>
        <w:t>另册</w:t>
      </w:r>
    </w:p>
    <w:p w14:paraId="6E9DF6AF">
      <w:pPr>
        <w:spacing w:line="360" w:lineRule="auto"/>
        <w:jc w:val="center"/>
        <w:rPr>
          <w:color w:val="auto"/>
          <w:highlight w:val="none"/>
        </w:rPr>
      </w:pPr>
      <w:r>
        <w:rPr>
          <w:color w:val="auto"/>
          <w:highlight w:val="none"/>
        </w:rPr>
        <w:br w:type="page"/>
      </w:r>
    </w:p>
    <w:p w14:paraId="79ABA801">
      <w:pPr>
        <w:pStyle w:val="3"/>
        <w:numPr>
          <w:ilvl w:val="0"/>
          <w:numId w:val="1"/>
        </w:numPr>
        <w:tabs>
          <w:tab w:val="left" w:pos="0"/>
        </w:tabs>
        <w:spacing w:before="0" w:after="0" w:line="240" w:lineRule="auto"/>
        <w:jc w:val="center"/>
        <w:rPr>
          <w:color w:val="auto"/>
          <w:highlight w:val="none"/>
        </w:rPr>
      </w:pPr>
      <w:bookmarkStart w:id="653" w:name="_Toc3417"/>
      <w:r>
        <w:rPr>
          <w:rFonts w:hint="eastAsia"/>
          <w:color w:val="auto"/>
          <w:highlight w:val="none"/>
        </w:rPr>
        <w:t>投标文件格式</w:t>
      </w:r>
      <w:bookmarkEnd w:id="651"/>
      <w:bookmarkEnd w:id="653"/>
    </w:p>
    <w:p w14:paraId="152BB8B4">
      <w:pPr>
        <w:widowControl/>
        <w:adjustRightInd w:val="0"/>
        <w:snapToGrid w:val="0"/>
        <w:spacing w:line="360" w:lineRule="auto"/>
        <w:ind w:right="102"/>
        <w:jc w:val="center"/>
        <w:rPr>
          <w:color w:val="auto"/>
          <w:highlight w:val="none"/>
        </w:rPr>
      </w:pPr>
      <w:r>
        <w:rPr>
          <w:rFonts w:ascii="宋体" w:hAnsi="宋体" w:cs="宋体"/>
          <w:color w:val="auto"/>
          <w:kern w:val="1"/>
          <w:sz w:val="20"/>
          <w:szCs w:val="20"/>
          <w:highlight w:val="none"/>
          <w:lang w:val="zh-CN"/>
        </w:rPr>
        <w:br w:type="page"/>
      </w:r>
    </w:p>
    <w:p w14:paraId="4A773F7E">
      <w:pPr>
        <w:pStyle w:val="11"/>
        <w:spacing w:line="360" w:lineRule="auto"/>
        <w:rPr>
          <w:color w:val="auto"/>
          <w:highlight w:val="none"/>
        </w:rPr>
      </w:pPr>
    </w:p>
    <w:p w14:paraId="4564B967">
      <w:pPr>
        <w:spacing w:line="360" w:lineRule="auto"/>
        <w:jc w:val="center"/>
        <w:rPr>
          <w:rFonts w:ascii="宋体" w:hAnsi="宋体" w:cs="宋体"/>
          <w:b/>
          <w:color w:val="auto"/>
          <w:kern w:val="1"/>
          <w:sz w:val="30"/>
          <w:szCs w:val="30"/>
          <w:highlight w:val="none"/>
        </w:rPr>
      </w:pPr>
    </w:p>
    <w:p w14:paraId="28DB27B8">
      <w:pPr>
        <w:pStyle w:val="11"/>
        <w:spacing w:line="360" w:lineRule="auto"/>
        <w:rPr>
          <w:rFonts w:cs="宋体"/>
          <w:b/>
          <w:color w:val="auto"/>
          <w:kern w:val="1"/>
          <w:sz w:val="30"/>
          <w:szCs w:val="30"/>
          <w:highlight w:val="none"/>
        </w:rPr>
      </w:pPr>
    </w:p>
    <w:p w14:paraId="3647FCE0">
      <w:pPr>
        <w:pStyle w:val="11"/>
        <w:spacing w:line="360" w:lineRule="auto"/>
        <w:rPr>
          <w:rFonts w:cs="宋体"/>
          <w:b/>
          <w:color w:val="auto"/>
          <w:kern w:val="1"/>
          <w:sz w:val="30"/>
          <w:szCs w:val="30"/>
          <w:highlight w:val="none"/>
        </w:rPr>
      </w:pPr>
    </w:p>
    <w:p w14:paraId="17B5710F">
      <w:pPr>
        <w:pStyle w:val="11"/>
        <w:spacing w:line="360" w:lineRule="auto"/>
        <w:rPr>
          <w:rFonts w:cs="宋体"/>
          <w:b/>
          <w:color w:val="auto"/>
          <w:kern w:val="1"/>
          <w:sz w:val="30"/>
          <w:szCs w:val="30"/>
          <w:highlight w:val="none"/>
        </w:rPr>
      </w:pPr>
    </w:p>
    <w:p w14:paraId="0BAF1E2C">
      <w:pPr>
        <w:spacing w:line="360" w:lineRule="auto"/>
        <w:jc w:val="center"/>
        <w:rPr>
          <w:rFonts w:ascii="宋体" w:hAnsi="宋体" w:cs="宋体"/>
          <w:b/>
          <w:color w:val="auto"/>
          <w:kern w:val="1"/>
          <w:sz w:val="30"/>
          <w:szCs w:val="30"/>
          <w:highlight w:val="none"/>
        </w:rPr>
      </w:pPr>
    </w:p>
    <w:p w14:paraId="12D84016">
      <w:pPr>
        <w:spacing w:line="360" w:lineRule="auto"/>
        <w:jc w:val="center"/>
        <w:rPr>
          <w:rFonts w:ascii="宋体" w:hAnsi="宋体" w:cs="宋体"/>
          <w:b/>
          <w:color w:val="auto"/>
          <w:kern w:val="1"/>
          <w:sz w:val="30"/>
          <w:szCs w:val="30"/>
          <w:highlight w:val="none"/>
        </w:rPr>
      </w:pPr>
    </w:p>
    <w:p w14:paraId="46E1E7F3">
      <w:pPr>
        <w:spacing w:line="360" w:lineRule="auto"/>
        <w:jc w:val="center"/>
        <w:rPr>
          <w:rFonts w:ascii="宋体" w:hAnsi="宋体" w:cs="宋体"/>
          <w:b/>
          <w:color w:val="auto"/>
          <w:kern w:val="1"/>
          <w:sz w:val="30"/>
          <w:szCs w:val="30"/>
          <w:highlight w:val="none"/>
        </w:rPr>
      </w:pPr>
    </w:p>
    <w:p w14:paraId="51351417">
      <w:pPr>
        <w:spacing w:line="360" w:lineRule="auto"/>
        <w:jc w:val="center"/>
        <w:rPr>
          <w:rFonts w:ascii="宋体" w:hAnsi="宋体" w:cs="宋体"/>
          <w:b/>
          <w:color w:val="auto"/>
          <w:kern w:val="1"/>
          <w:sz w:val="30"/>
          <w:szCs w:val="30"/>
          <w:highlight w:val="none"/>
        </w:rPr>
      </w:pPr>
    </w:p>
    <w:p w14:paraId="34A91D62">
      <w:pPr>
        <w:spacing w:line="360" w:lineRule="auto"/>
        <w:jc w:val="center"/>
        <w:rPr>
          <w:rFonts w:ascii="宋体" w:hAnsi="宋体" w:cs="宋体"/>
          <w:b/>
          <w:color w:val="auto"/>
          <w:kern w:val="1"/>
          <w:sz w:val="30"/>
          <w:szCs w:val="30"/>
          <w:highlight w:val="none"/>
        </w:rPr>
      </w:pPr>
    </w:p>
    <w:p w14:paraId="381344D4">
      <w:pPr>
        <w:numPr>
          <w:ilvl w:val="0"/>
          <w:numId w:val="3"/>
        </w:numPr>
        <w:spacing w:line="360" w:lineRule="auto"/>
        <w:jc w:val="center"/>
        <w:rPr>
          <w:rFonts w:ascii="宋体" w:hAnsi="宋体" w:cs="宋体"/>
          <w:b/>
          <w:color w:val="auto"/>
          <w:kern w:val="1"/>
          <w:sz w:val="36"/>
          <w:szCs w:val="36"/>
          <w:highlight w:val="none"/>
        </w:rPr>
      </w:pPr>
      <w:r>
        <w:rPr>
          <w:rFonts w:hint="eastAsia" w:ascii="宋体" w:hAnsi="宋体" w:cs="宋体"/>
          <w:b/>
          <w:color w:val="auto"/>
          <w:kern w:val="1"/>
          <w:sz w:val="36"/>
          <w:szCs w:val="36"/>
          <w:highlight w:val="none"/>
        </w:rPr>
        <w:t xml:space="preserve"> 工程总承包实施及运营管理方案（含资格审查文件）投标文件格式</w:t>
      </w:r>
    </w:p>
    <w:p w14:paraId="5AAD880D">
      <w:pPr>
        <w:spacing w:line="360" w:lineRule="auto"/>
        <w:jc w:val="center"/>
        <w:rPr>
          <w:rFonts w:ascii="宋体" w:hAnsi="宋体" w:cs="宋体"/>
          <w:b/>
          <w:color w:val="auto"/>
          <w:kern w:val="1"/>
          <w:sz w:val="30"/>
          <w:szCs w:val="30"/>
          <w:highlight w:val="none"/>
        </w:rPr>
      </w:pPr>
    </w:p>
    <w:p w14:paraId="1EBBB27C">
      <w:pPr>
        <w:spacing w:line="360" w:lineRule="auto"/>
        <w:jc w:val="center"/>
        <w:rPr>
          <w:rFonts w:ascii="宋体" w:hAnsi="宋体" w:cs="宋体"/>
          <w:b/>
          <w:color w:val="auto"/>
          <w:kern w:val="1"/>
          <w:sz w:val="30"/>
          <w:szCs w:val="30"/>
          <w:highlight w:val="none"/>
        </w:rPr>
      </w:pPr>
    </w:p>
    <w:p w14:paraId="1B56E12F">
      <w:pPr>
        <w:spacing w:line="360" w:lineRule="auto"/>
        <w:jc w:val="center"/>
        <w:rPr>
          <w:rFonts w:ascii="宋体" w:hAnsi="宋体" w:cs="宋体"/>
          <w:b/>
          <w:color w:val="auto"/>
          <w:kern w:val="1"/>
          <w:sz w:val="30"/>
          <w:szCs w:val="30"/>
          <w:highlight w:val="none"/>
        </w:rPr>
        <w:sectPr>
          <w:headerReference r:id="rId15" w:type="default"/>
          <w:footerReference r:id="rId16" w:type="default"/>
          <w:pgSz w:w="11907" w:h="16840"/>
          <w:pgMar w:top="1361" w:right="1304" w:bottom="1304" w:left="1304" w:header="851" w:footer="720" w:gutter="0"/>
          <w:cols w:space="720" w:num="1"/>
        </w:sectPr>
      </w:pPr>
    </w:p>
    <w:p w14:paraId="0571203D">
      <w:pPr>
        <w:spacing w:line="360" w:lineRule="auto"/>
        <w:jc w:val="center"/>
        <w:rPr>
          <w:rFonts w:ascii="宋体" w:hAnsi="宋体"/>
          <w:b/>
          <w:bCs/>
          <w:color w:val="auto"/>
          <w:sz w:val="56"/>
          <w:szCs w:val="56"/>
          <w:highlight w:val="none"/>
        </w:rPr>
      </w:pPr>
      <w:r>
        <w:rPr>
          <w:rFonts w:hint="eastAsia" w:ascii="宋体" w:hAnsi="宋体" w:cs="宋体"/>
          <w:b/>
          <w:color w:val="auto"/>
          <w:sz w:val="56"/>
          <w:szCs w:val="56"/>
          <w:highlight w:val="none"/>
          <w:lang w:val="zh-CN"/>
        </w:rPr>
        <w:t>番禺区桥山村村镇工业集聚区更新改造试点项目（一期、二期、三期）勘察设计施工总承包及运营（EPCO）</w:t>
      </w:r>
    </w:p>
    <w:p w14:paraId="77C82749">
      <w:pPr>
        <w:spacing w:line="360" w:lineRule="auto"/>
        <w:jc w:val="center"/>
        <w:rPr>
          <w:rFonts w:ascii="宋体" w:hAnsi="宋体" w:cs="宋体"/>
          <w:b/>
          <w:color w:val="auto"/>
          <w:sz w:val="56"/>
          <w:szCs w:val="56"/>
          <w:highlight w:val="none"/>
        </w:rPr>
      </w:pPr>
      <w:r>
        <w:rPr>
          <w:rFonts w:hint="eastAsia" w:ascii="宋体" w:hAnsi="宋体" w:cs="宋体"/>
          <w:b/>
          <w:color w:val="auto"/>
          <w:sz w:val="56"/>
          <w:szCs w:val="56"/>
          <w:highlight w:val="none"/>
          <w:lang w:val="zh-CN"/>
        </w:rPr>
        <w:t>投标文件</w:t>
      </w:r>
    </w:p>
    <w:p w14:paraId="35877366">
      <w:pPr>
        <w:spacing w:line="360" w:lineRule="auto"/>
        <w:ind w:firstLine="420"/>
        <w:jc w:val="center"/>
        <w:rPr>
          <w:rStyle w:val="22"/>
          <w:b/>
          <w:color w:val="auto"/>
          <w:sz w:val="48"/>
          <w:highlight w:val="none"/>
        </w:rPr>
      </w:pPr>
    </w:p>
    <w:p w14:paraId="4C5CC85A">
      <w:pPr>
        <w:spacing w:line="360" w:lineRule="auto"/>
        <w:jc w:val="center"/>
        <w:rPr>
          <w:rFonts w:ascii="宋体" w:hAnsi="宋体"/>
          <w:b/>
          <w:color w:val="auto"/>
          <w:highlight w:val="none"/>
        </w:rPr>
      </w:pPr>
    </w:p>
    <w:p w14:paraId="07E92B4B">
      <w:pPr>
        <w:spacing w:line="360" w:lineRule="auto"/>
        <w:jc w:val="center"/>
        <w:rPr>
          <w:rFonts w:ascii="宋体" w:hAnsi="宋体"/>
          <w:b/>
          <w:color w:val="auto"/>
          <w:highlight w:val="none"/>
        </w:rPr>
      </w:pPr>
    </w:p>
    <w:p w14:paraId="10757581">
      <w:pPr>
        <w:spacing w:line="360" w:lineRule="auto"/>
        <w:jc w:val="center"/>
        <w:rPr>
          <w:rFonts w:ascii="宋体" w:hAnsi="宋体"/>
          <w:b/>
          <w:color w:val="auto"/>
          <w:highlight w:val="none"/>
        </w:rPr>
      </w:pPr>
    </w:p>
    <w:p w14:paraId="4E51309C">
      <w:pPr>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投标人名称：</w:t>
      </w:r>
    </w:p>
    <w:p w14:paraId="16F93550">
      <w:pPr>
        <w:jc w:val="center"/>
        <w:rPr>
          <w:b/>
          <w:color w:val="auto"/>
          <w:highlight w:val="none"/>
        </w:rPr>
      </w:pPr>
    </w:p>
    <w:p w14:paraId="1E6767E4">
      <w:pPr>
        <w:spacing w:line="360" w:lineRule="auto"/>
        <w:jc w:val="center"/>
        <w:rPr>
          <w:rFonts w:ascii="宋体" w:hAnsi="宋体"/>
          <w:b/>
          <w:color w:val="auto"/>
          <w:sz w:val="30"/>
          <w:szCs w:val="30"/>
          <w:highlight w:val="none"/>
        </w:rPr>
      </w:pPr>
    </w:p>
    <w:p w14:paraId="3224CA49">
      <w:pPr>
        <w:spacing w:line="360" w:lineRule="auto"/>
        <w:jc w:val="center"/>
        <w:rPr>
          <w:rFonts w:ascii="宋体" w:hAnsi="宋体"/>
          <w:b/>
          <w:color w:val="auto"/>
          <w:sz w:val="30"/>
          <w:szCs w:val="30"/>
          <w:highlight w:val="none"/>
        </w:rPr>
      </w:pPr>
    </w:p>
    <w:p w14:paraId="13899F82">
      <w:pPr>
        <w:jc w:val="center"/>
        <w:rPr>
          <w:b/>
          <w:color w:val="auto"/>
          <w:highlight w:val="none"/>
          <w:lang w:val="zh-CN"/>
        </w:rPr>
      </w:pPr>
      <w:r>
        <w:rPr>
          <w:rFonts w:hint="eastAsia" w:ascii="宋体" w:hAnsi="宋体"/>
          <w:b/>
          <w:color w:val="auto"/>
          <w:sz w:val="30"/>
          <w:szCs w:val="30"/>
          <w:highlight w:val="none"/>
        </w:rPr>
        <w:t>年   月   日</w:t>
      </w:r>
    </w:p>
    <w:p w14:paraId="63007DFE">
      <w:pPr>
        <w:pStyle w:val="11"/>
        <w:rPr>
          <w:color w:val="auto"/>
          <w:highlight w:val="none"/>
        </w:rPr>
      </w:pPr>
    </w:p>
    <w:p w14:paraId="5D5A5FB3">
      <w:pPr>
        <w:widowControl/>
        <w:jc w:val="center"/>
        <w:rPr>
          <w:rFonts w:ascii="宋体" w:hAnsi="宋体" w:cs="宋体"/>
          <w:b/>
          <w:color w:val="auto"/>
          <w:kern w:val="1"/>
          <w:sz w:val="24"/>
          <w:highlight w:val="none"/>
        </w:rPr>
      </w:pPr>
      <w:r>
        <w:rPr>
          <w:color w:val="auto"/>
          <w:highlight w:val="none"/>
          <w:lang w:val="zh-CN"/>
        </w:rPr>
        <w:br w:type="page"/>
      </w:r>
      <w:r>
        <w:rPr>
          <w:rFonts w:hint="eastAsia" w:ascii="宋体" w:hAnsi="宋体" w:cs="宋体"/>
          <w:b/>
          <w:color w:val="auto"/>
          <w:kern w:val="1"/>
          <w:sz w:val="32"/>
          <w:szCs w:val="32"/>
          <w:highlight w:val="none"/>
        </w:rPr>
        <w:t>目录</w:t>
      </w:r>
    </w:p>
    <w:p w14:paraId="11599F9D">
      <w:pPr>
        <w:widowControl/>
        <w:rPr>
          <w:rFonts w:ascii="宋体" w:hAnsi="宋体" w:cs="宋体"/>
          <w:b/>
          <w:color w:val="auto"/>
          <w:kern w:val="1"/>
          <w:sz w:val="24"/>
          <w:highlight w:val="none"/>
        </w:rPr>
      </w:pPr>
    </w:p>
    <w:p w14:paraId="4FA1AEC2">
      <w:pPr>
        <w:widowControl/>
        <w:rPr>
          <w:rFonts w:ascii="宋体" w:hAnsi="宋体" w:cs="宋体"/>
          <w:b/>
          <w:color w:val="auto"/>
          <w:kern w:val="1"/>
          <w:sz w:val="24"/>
          <w:highlight w:val="none"/>
        </w:rPr>
      </w:pPr>
    </w:p>
    <w:p w14:paraId="17C75345">
      <w:pPr>
        <w:widowControl/>
        <w:rPr>
          <w:rFonts w:ascii="宋体" w:hAnsi="宋体" w:cs="宋体"/>
          <w:b/>
          <w:color w:val="auto"/>
          <w:kern w:val="1"/>
          <w:sz w:val="24"/>
          <w:highlight w:val="none"/>
        </w:rPr>
      </w:pPr>
      <w:r>
        <w:rPr>
          <w:rFonts w:hint="eastAsia" w:ascii="宋体" w:hAnsi="宋体" w:cs="宋体"/>
          <w:b/>
          <w:color w:val="auto"/>
          <w:kern w:val="1"/>
          <w:sz w:val="24"/>
          <w:highlight w:val="none"/>
        </w:rPr>
        <w:t>注：由投标人按要求自行编制目录，需按内容顺序及招标文件要求分别汇册。</w:t>
      </w:r>
    </w:p>
    <w:p w14:paraId="48A27201">
      <w:pPr>
        <w:pStyle w:val="11"/>
        <w:rPr>
          <w:rFonts w:cs="宋体"/>
          <w:b/>
          <w:color w:val="auto"/>
          <w:kern w:val="1"/>
          <w:sz w:val="24"/>
          <w:highlight w:val="none"/>
        </w:rPr>
      </w:pPr>
    </w:p>
    <w:p w14:paraId="7C971FC0">
      <w:pPr>
        <w:pStyle w:val="11"/>
        <w:rPr>
          <w:rFonts w:cs="宋体"/>
          <w:b/>
          <w:color w:val="auto"/>
          <w:kern w:val="1"/>
          <w:sz w:val="24"/>
          <w:highlight w:val="none"/>
        </w:rPr>
      </w:pPr>
    </w:p>
    <w:p w14:paraId="4739A81D">
      <w:pPr>
        <w:pStyle w:val="11"/>
        <w:rPr>
          <w:rFonts w:cs="宋体"/>
          <w:b/>
          <w:color w:val="auto"/>
          <w:kern w:val="1"/>
          <w:sz w:val="24"/>
          <w:highlight w:val="none"/>
        </w:rPr>
      </w:pPr>
    </w:p>
    <w:p w14:paraId="4012BE0D">
      <w:pPr>
        <w:pStyle w:val="11"/>
        <w:rPr>
          <w:rFonts w:cs="宋体"/>
          <w:b/>
          <w:color w:val="auto"/>
          <w:kern w:val="1"/>
          <w:sz w:val="24"/>
          <w:highlight w:val="none"/>
        </w:rPr>
      </w:pPr>
    </w:p>
    <w:p w14:paraId="517656EC">
      <w:pPr>
        <w:pStyle w:val="11"/>
        <w:rPr>
          <w:rFonts w:cs="宋体"/>
          <w:b/>
          <w:color w:val="auto"/>
          <w:kern w:val="1"/>
          <w:sz w:val="24"/>
          <w:highlight w:val="none"/>
        </w:rPr>
      </w:pPr>
    </w:p>
    <w:p w14:paraId="68645C41">
      <w:pPr>
        <w:pStyle w:val="11"/>
        <w:rPr>
          <w:rFonts w:cs="宋体"/>
          <w:b/>
          <w:color w:val="auto"/>
          <w:kern w:val="1"/>
          <w:sz w:val="24"/>
          <w:highlight w:val="none"/>
        </w:rPr>
      </w:pPr>
    </w:p>
    <w:p w14:paraId="2C31DB02">
      <w:pPr>
        <w:pStyle w:val="11"/>
        <w:rPr>
          <w:rFonts w:cs="宋体"/>
          <w:b/>
          <w:color w:val="auto"/>
          <w:kern w:val="1"/>
          <w:sz w:val="24"/>
          <w:highlight w:val="none"/>
        </w:rPr>
      </w:pPr>
    </w:p>
    <w:p w14:paraId="47B73540">
      <w:pPr>
        <w:pStyle w:val="11"/>
        <w:rPr>
          <w:rFonts w:cs="宋体"/>
          <w:b/>
          <w:color w:val="auto"/>
          <w:kern w:val="1"/>
          <w:sz w:val="24"/>
          <w:highlight w:val="none"/>
        </w:rPr>
      </w:pPr>
    </w:p>
    <w:p w14:paraId="10AFF258">
      <w:pPr>
        <w:pStyle w:val="11"/>
        <w:rPr>
          <w:rFonts w:cs="宋体"/>
          <w:b/>
          <w:color w:val="auto"/>
          <w:kern w:val="1"/>
          <w:sz w:val="24"/>
          <w:highlight w:val="none"/>
        </w:rPr>
      </w:pPr>
    </w:p>
    <w:p w14:paraId="6B187809">
      <w:pPr>
        <w:pStyle w:val="11"/>
        <w:rPr>
          <w:rFonts w:cs="宋体"/>
          <w:b/>
          <w:color w:val="auto"/>
          <w:kern w:val="1"/>
          <w:sz w:val="24"/>
          <w:highlight w:val="none"/>
        </w:rPr>
      </w:pPr>
    </w:p>
    <w:p w14:paraId="0182F156">
      <w:pPr>
        <w:pStyle w:val="11"/>
        <w:rPr>
          <w:rFonts w:cs="宋体"/>
          <w:b/>
          <w:color w:val="auto"/>
          <w:kern w:val="1"/>
          <w:sz w:val="24"/>
          <w:highlight w:val="none"/>
        </w:rPr>
      </w:pPr>
    </w:p>
    <w:p w14:paraId="23650DA2">
      <w:pPr>
        <w:pStyle w:val="11"/>
        <w:rPr>
          <w:rFonts w:cs="宋体"/>
          <w:b/>
          <w:color w:val="auto"/>
          <w:kern w:val="1"/>
          <w:sz w:val="24"/>
          <w:highlight w:val="none"/>
        </w:rPr>
      </w:pPr>
    </w:p>
    <w:p w14:paraId="0A226E62">
      <w:pPr>
        <w:pStyle w:val="11"/>
        <w:rPr>
          <w:rFonts w:cs="宋体"/>
          <w:b/>
          <w:color w:val="auto"/>
          <w:kern w:val="1"/>
          <w:sz w:val="24"/>
          <w:highlight w:val="none"/>
        </w:rPr>
      </w:pPr>
    </w:p>
    <w:p w14:paraId="78C8548B">
      <w:pPr>
        <w:pStyle w:val="11"/>
        <w:rPr>
          <w:rFonts w:cs="宋体"/>
          <w:b/>
          <w:color w:val="auto"/>
          <w:kern w:val="1"/>
          <w:sz w:val="24"/>
          <w:highlight w:val="none"/>
        </w:rPr>
      </w:pPr>
    </w:p>
    <w:p w14:paraId="6D6A58CF">
      <w:pPr>
        <w:pStyle w:val="11"/>
        <w:rPr>
          <w:rFonts w:cs="宋体"/>
          <w:b/>
          <w:color w:val="auto"/>
          <w:kern w:val="1"/>
          <w:sz w:val="24"/>
          <w:highlight w:val="none"/>
        </w:rPr>
      </w:pPr>
    </w:p>
    <w:p w14:paraId="4EE5AF9F">
      <w:pPr>
        <w:pStyle w:val="11"/>
        <w:rPr>
          <w:rFonts w:cs="宋体"/>
          <w:b/>
          <w:color w:val="auto"/>
          <w:kern w:val="1"/>
          <w:sz w:val="24"/>
          <w:highlight w:val="none"/>
        </w:rPr>
      </w:pPr>
    </w:p>
    <w:p w14:paraId="382A0EF5">
      <w:pPr>
        <w:pStyle w:val="11"/>
        <w:rPr>
          <w:rFonts w:cs="宋体"/>
          <w:b/>
          <w:color w:val="auto"/>
          <w:kern w:val="1"/>
          <w:sz w:val="24"/>
          <w:highlight w:val="none"/>
        </w:rPr>
      </w:pPr>
    </w:p>
    <w:p w14:paraId="1B789A52">
      <w:pPr>
        <w:pStyle w:val="11"/>
        <w:rPr>
          <w:rFonts w:cs="宋体"/>
          <w:b/>
          <w:color w:val="auto"/>
          <w:kern w:val="1"/>
          <w:sz w:val="24"/>
          <w:highlight w:val="none"/>
        </w:rPr>
      </w:pPr>
    </w:p>
    <w:p w14:paraId="1FC1EC17">
      <w:pPr>
        <w:pStyle w:val="11"/>
        <w:rPr>
          <w:rFonts w:cs="宋体"/>
          <w:b/>
          <w:color w:val="auto"/>
          <w:kern w:val="1"/>
          <w:sz w:val="24"/>
          <w:highlight w:val="none"/>
        </w:rPr>
      </w:pPr>
    </w:p>
    <w:p w14:paraId="1AA006C3">
      <w:pPr>
        <w:pStyle w:val="11"/>
        <w:rPr>
          <w:rFonts w:cs="宋体"/>
          <w:b/>
          <w:color w:val="auto"/>
          <w:kern w:val="1"/>
          <w:sz w:val="24"/>
          <w:highlight w:val="none"/>
        </w:rPr>
      </w:pPr>
    </w:p>
    <w:p w14:paraId="2C917B2C">
      <w:pPr>
        <w:pStyle w:val="11"/>
        <w:rPr>
          <w:rFonts w:cs="宋体"/>
          <w:b/>
          <w:color w:val="auto"/>
          <w:kern w:val="1"/>
          <w:sz w:val="24"/>
          <w:highlight w:val="none"/>
        </w:rPr>
      </w:pPr>
    </w:p>
    <w:p w14:paraId="1F87FFB3">
      <w:pPr>
        <w:pStyle w:val="11"/>
        <w:rPr>
          <w:rFonts w:cs="宋体"/>
          <w:b/>
          <w:color w:val="auto"/>
          <w:kern w:val="1"/>
          <w:sz w:val="24"/>
          <w:highlight w:val="none"/>
        </w:rPr>
      </w:pPr>
    </w:p>
    <w:p w14:paraId="46AAD801">
      <w:pPr>
        <w:pStyle w:val="11"/>
        <w:rPr>
          <w:rFonts w:cs="宋体"/>
          <w:b/>
          <w:color w:val="auto"/>
          <w:kern w:val="1"/>
          <w:sz w:val="24"/>
          <w:highlight w:val="none"/>
        </w:rPr>
      </w:pPr>
    </w:p>
    <w:p w14:paraId="77BF0E77">
      <w:pPr>
        <w:pStyle w:val="11"/>
        <w:rPr>
          <w:rFonts w:cs="宋体"/>
          <w:b/>
          <w:color w:val="auto"/>
          <w:kern w:val="1"/>
          <w:sz w:val="24"/>
          <w:highlight w:val="none"/>
        </w:rPr>
      </w:pPr>
    </w:p>
    <w:p w14:paraId="7E868F1A">
      <w:pPr>
        <w:pStyle w:val="11"/>
        <w:rPr>
          <w:rFonts w:cs="宋体"/>
          <w:b/>
          <w:color w:val="auto"/>
          <w:kern w:val="1"/>
          <w:sz w:val="24"/>
          <w:highlight w:val="none"/>
        </w:rPr>
      </w:pPr>
    </w:p>
    <w:p w14:paraId="145AEE59">
      <w:pPr>
        <w:pStyle w:val="11"/>
        <w:rPr>
          <w:rFonts w:cs="宋体"/>
          <w:b/>
          <w:color w:val="auto"/>
          <w:kern w:val="1"/>
          <w:sz w:val="24"/>
          <w:highlight w:val="none"/>
        </w:rPr>
      </w:pPr>
    </w:p>
    <w:p w14:paraId="346363DF">
      <w:pPr>
        <w:pStyle w:val="11"/>
        <w:rPr>
          <w:rFonts w:cs="宋体"/>
          <w:b/>
          <w:color w:val="auto"/>
          <w:kern w:val="1"/>
          <w:sz w:val="24"/>
          <w:highlight w:val="none"/>
        </w:rPr>
      </w:pPr>
    </w:p>
    <w:p w14:paraId="711BB044">
      <w:pPr>
        <w:pStyle w:val="11"/>
        <w:rPr>
          <w:rFonts w:cs="宋体"/>
          <w:b/>
          <w:color w:val="auto"/>
          <w:kern w:val="1"/>
          <w:sz w:val="24"/>
          <w:highlight w:val="none"/>
        </w:rPr>
      </w:pPr>
    </w:p>
    <w:p w14:paraId="562FA672">
      <w:pPr>
        <w:pStyle w:val="11"/>
        <w:rPr>
          <w:rFonts w:cs="宋体"/>
          <w:b/>
          <w:color w:val="auto"/>
          <w:kern w:val="1"/>
          <w:sz w:val="24"/>
          <w:highlight w:val="none"/>
        </w:rPr>
      </w:pPr>
    </w:p>
    <w:p w14:paraId="43B8A5AF">
      <w:pPr>
        <w:pStyle w:val="11"/>
        <w:rPr>
          <w:rFonts w:cs="宋体"/>
          <w:b/>
          <w:color w:val="auto"/>
          <w:kern w:val="1"/>
          <w:sz w:val="24"/>
          <w:highlight w:val="none"/>
        </w:rPr>
      </w:pPr>
    </w:p>
    <w:p w14:paraId="7394A798">
      <w:pPr>
        <w:rPr>
          <w:rFonts w:ascii="宋体" w:hAnsi="宋体" w:cs="宋体"/>
          <w:b/>
          <w:color w:val="auto"/>
          <w:kern w:val="1"/>
          <w:sz w:val="24"/>
          <w:highlight w:val="none"/>
        </w:rPr>
      </w:pPr>
    </w:p>
    <w:p w14:paraId="506A144F">
      <w:pPr>
        <w:rPr>
          <w:rFonts w:ascii="宋体" w:hAnsi="宋体" w:cs="宋体"/>
          <w:b/>
          <w:color w:val="auto"/>
          <w:kern w:val="1"/>
          <w:sz w:val="24"/>
          <w:highlight w:val="none"/>
        </w:rPr>
      </w:pPr>
    </w:p>
    <w:p w14:paraId="3AD295F3">
      <w:pPr>
        <w:pStyle w:val="11"/>
        <w:rPr>
          <w:rFonts w:cs="宋体"/>
          <w:b/>
          <w:color w:val="auto"/>
          <w:kern w:val="1"/>
          <w:sz w:val="24"/>
          <w:highlight w:val="none"/>
        </w:rPr>
      </w:pPr>
    </w:p>
    <w:p w14:paraId="5F1C67C5">
      <w:pPr>
        <w:pStyle w:val="11"/>
        <w:rPr>
          <w:rFonts w:cs="宋体"/>
          <w:b/>
          <w:color w:val="auto"/>
          <w:kern w:val="1"/>
          <w:sz w:val="24"/>
          <w:highlight w:val="none"/>
        </w:rPr>
      </w:pPr>
    </w:p>
    <w:p w14:paraId="288EB6ED">
      <w:pPr>
        <w:pStyle w:val="11"/>
        <w:rPr>
          <w:rFonts w:cs="宋体"/>
          <w:b/>
          <w:color w:val="auto"/>
          <w:kern w:val="1"/>
          <w:sz w:val="24"/>
          <w:highlight w:val="none"/>
        </w:rPr>
      </w:pPr>
    </w:p>
    <w:p w14:paraId="06906CED">
      <w:pPr>
        <w:pStyle w:val="11"/>
        <w:rPr>
          <w:rFonts w:cs="宋体"/>
          <w:b/>
          <w:color w:val="auto"/>
          <w:kern w:val="1"/>
          <w:sz w:val="24"/>
          <w:highlight w:val="none"/>
        </w:rPr>
      </w:pPr>
    </w:p>
    <w:p w14:paraId="41EF4F92">
      <w:pPr>
        <w:pStyle w:val="11"/>
        <w:rPr>
          <w:rFonts w:cs="宋体"/>
          <w:b/>
          <w:color w:val="auto"/>
          <w:kern w:val="1"/>
          <w:sz w:val="24"/>
          <w:highlight w:val="none"/>
        </w:rPr>
      </w:pPr>
    </w:p>
    <w:p w14:paraId="22ED3BD7">
      <w:pPr>
        <w:pStyle w:val="11"/>
        <w:rPr>
          <w:rFonts w:cs="宋体"/>
          <w:b/>
          <w:color w:val="auto"/>
          <w:kern w:val="1"/>
          <w:sz w:val="24"/>
          <w:highlight w:val="none"/>
        </w:rPr>
      </w:pPr>
    </w:p>
    <w:p w14:paraId="43A90854">
      <w:pPr>
        <w:pStyle w:val="11"/>
        <w:rPr>
          <w:rFonts w:cs="宋体"/>
          <w:b/>
          <w:color w:val="auto"/>
          <w:kern w:val="1"/>
          <w:sz w:val="24"/>
          <w:highlight w:val="none"/>
        </w:rPr>
      </w:pPr>
    </w:p>
    <w:p w14:paraId="04E1389C">
      <w:pPr>
        <w:widowControl/>
        <w:rPr>
          <w:rFonts w:ascii="宋体" w:hAnsi="宋体" w:cs="宋体"/>
          <w:b/>
          <w:color w:val="auto"/>
          <w:kern w:val="1"/>
          <w:sz w:val="24"/>
          <w:highlight w:val="none"/>
        </w:rPr>
      </w:pPr>
    </w:p>
    <w:p w14:paraId="1C2C218F">
      <w:pPr>
        <w:widowControl/>
        <w:numPr>
          <w:ilvl w:val="0"/>
          <w:numId w:val="4"/>
        </w:numPr>
        <w:ind w:left="0"/>
        <w:jc w:val="left"/>
        <w:rPr>
          <w:rFonts w:ascii="宋体" w:hAnsi="宋体" w:cs="宋体"/>
          <w:b/>
          <w:bCs/>
          <w:color w:val="auto"/>
          <w:kern w:val="1"/>
          <w:sz w:val="44"/>
          <w:szCs w:val="44"/>
          <w:highlight w:val="none"/>
          <w:lang w:val="zh-CN"/>
        </w:rPr>
      </w:pPr>
    </w:p>
    <w:p w14:paraId="71290CAE">
      <w:pPr>
        <w:widowControl/>
        <w:adjustRightInd w:val="0"/>
        <w:snapToGrid w:val="0"/>
        <w:ind w:right="102"/>
        <w:jc w:val="center"/>
        <w:rPr>
          <w:rFonts w:ascii="宋体" w:hAnsi="宋体" w:cs="宋体"/>
          <w:b/>
          <w:bCs/>
          <w:color w:val="auto"/>
          <w:kern w:val="1"/>
          <w:sz w:val="44"/>
          <w:szCs w:val="44"/>
          <w:highlight w:val="none"/>
          <w:lang w:val="zh-CN"/>
        </w:rPr>
      </w:pPr>
      <w:r>
        <w:rPr>
          <w:rFonts w:hint="eastAsia" w:ascii="宋体" w:hAnsi="宋体" w:cs="宋体"/>
          <w:b/>
          <w:bCs/>
          <w:color w:val="auto"/>
          <w:kern w:val="1"/>
          <w:sz w:val="44"/>
          <w:szCs w:val="44"/>
          <w:highlight w:val="none"/>
          <w:lang w:val="zh-CN"/>
        </w:rPr>
        <w:t>投标函</w:t>
      </w:r>
    </w:p>
    <w:p w14:paraId="6D29450B">
      <w:pPr>
        <w:widowControl/>
        <w:adjustRightInd w:val="0"/>
        <w:snapToGrid w:val="0"/>
        <w:spacing w:line="288" w:lineRule="auto"/>
        <w:ind w:right="102"/>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致：</w:t>
      </w:r>
      <w:r>
        <w:rPr>
          <w:rFonts w:hint="eastAsia" w:ascii="宋体" w:hAnsi="宋体" w:cs="宋体"/>
          <w:color w:val="auto"/>
          <w:szCs w:val="21"/>
          <w:highlight w:val="none"/>
        </w:rPr>
        <w:t>（招标人名称）</w:t>
      </w:r>
    </w:p>
    <w:p w14:paraId="3A647A6D">
      <w:pPr>
        <w:pStyle w:val="11"/>
        <w:adjustRightInd w:val="0"/>
        <w:snapToGrid w:val="0"/>
        <w:spacing w:line="288" w:lineRule="auto"/>
        <w:ind w:firstLine="420"/>
        <w:rPr>
          <w:rFonts w:cs="宋体"/>
          <w:color w:val="auto"/>
          <w:sz w:val="21"/>
          <w:szCs w:val="21"/>
          <w:highlight w:val="none"/>
        </w:rPr>
      </w:pPr>
      <w:r>
        <w:rPr>
          <w:rFonts w:hint="eastAsia" w:cs="宋体"/>
          <w:color w:val="auto"/>
          <w:sz w:val="21"/>
          <w:szCs w:val="21"/>
          <w:highlight w:val="none"/>
        </w:rPr>
        <w:t>我方确认收到贵方提供的</w:t>
      </w:r>
      <w:r>
        <w:rPr>
          <w:rFonts w:hint="eastAsia" w:cs="宋体"/>
          <w:color w:val="auto"/>
          <w:sz w:val="21"/>
          <w:szCs w:val="21"/>
          <w:highlight w:val="none"/>
          <w:u w:val="single"/>
        </w:rPr>
        <w:t xml:space="preserve">       （项目名称）</w:t>
      </w:r>
      <w:r>
        <w:rPr>
          <w:rFonts w:hint="eastAsia" w:cs="宋体"/>
          <w:color w:val="auto"/>
          <w:sz w:val="21"/>
          <w:szCs w:val="21"/>
          <w:highlight w:val="none"/>
        </w:rPr>
        <w:t>招标文件的全部内容，我方：</w:t>
      </w:r>
      <w:r>
        <w:rPr>
          <w:rFonts w:hint="eastAsia" w:cs="宋体"/>
          <w:color w:val="auto"/>
          <w:sz w:val="21"/>
          <w:szCs w:val="21"/>
          <w:highlight w:val="none"/>
          <w:u w:val="single"/>
        </w:rPr>
        <w:t xml:space="preserve">        （投标人名称）</w:t>
      </w:r>
      <w:r>
        <w:rPr>
          <w:rFonts w:hint="eastAsia" w:cs="宋体"/>
          <w:color w:val="auto"/>
          <w:sz w:val="21"/>
          <w:szCs w:val="21"/>
          <w:highlight w:val="none"/>
        </w:rPr>
        <w:t>已理解招标文件的全部内容，我方作为投标人正式授权</w:t>
      </w:r>
      <w:r>
        <w:rPr>
          <w:rFonts w:hint="eastAsia" w:cs="宋体"/>
          <w:color w:val="auto"/>
          <w:sz w:val="21"/>
          <w:szCs w:val="21"/>
          <w:highlight w:val="none"/>
          <w:u w:val="single"/>
        </w:rPr>
        <w:t xml:space="preserve">        （授权代表全名, 职务</w:t>
      </w:r>
      <w:r>
        <w:rPr>
          <w:rFonts w:hint="eastAsia" w:cs="宋体"/>
          <w:color w:val="auto"/>
          <w:sz w:val="21"/>
          <w:szCs w:val="21"/>
          <w:highlight w:val="none"/>
        </w:rPr>
        <w:t>）代表我方进行有关本投标活动的一切事宜，考虑本企业自身的实力及特点，做出如下承诺：</w:t>
      </w:r>
    </w:p>
    <w:p w14:paraId="0630D233">
      <w:pPr>
        <w:widowControl/>
        <w:adjustRightInd w:val="0"/>
        <w:snapToGrid w:val="0"/>
        <w:spacing w:line="288"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1、我方已详细研究了本项目招标文件的所有内容包括修正文（如果有）和所有已提供的参考资料以及合同条款和有关附件，并完全明白, 我方放弃在此方面提出含糊意见或误解的一切权力。</w:t>
      </w:r>
    </w:p>
    <w:p w14:paraId="642F0EAC">
      <w:pPr>
        <w:widowControl/>
        <w:adjustRightInd w:val="0"/>
        <w:snapToGrid w:val="0"/>
        <w:spacing w:line="288"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517FB1A4">
      <w:pPr>
        <w:widowControl/>
        <w:adjustRightInd w:val="0"/>
        <w:snapToGrid w:val="0"/>
        <w:spacing w:line="288"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3、我方同意按照贵方可能提出的要求，提供与我方投标有关的任何其它数据或信息。</w:t>
      </w:r>
    </w:p>
    <w:p w14:paraId="1B7891B2">
      <w:pPr>
        <w:widowControl/>
        <w:adjustRightInd w:val="0"/>
        <w:snapToGrid w:val="0"/>
        <w:spacing w:line="288"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4、本投标文件的有效期至投标截止日后</w:t>
      </w:r>
      <w:r>
        <w:rPr>
          <w:rFonts w:hint="eastAsia" w:ascii="宋体" w:hAnsi="宋体" w:cs="宋体"/>
          <w:color w:val="auto"/>
          <w:kern w:val="1"/>
          <w:szCs w:val="21"/>
          <w:highlight w:val="none"/>
          <w:u w:val="single"/>
          <w:lang w:val="zh-CN"/>
        </w:rPr>
        <w:t>120</w:t>
      </w:r>
      <w:r>
        <w:rPr>
          <w:rFonts w:hint="eastAsia" w:ascii="宋体" w:hAnsi="宋体" w:cs="宋体"/>
          <w:color w:val="auto"/>
          <w:kern w:val="1"/>
          <w:szCs w:val="21"/>
          <w:highlight w:val="none"/>
          <w:lang w:val="zh-CN"/>
        </w:rPr>
        <w:t>日历天有效，如中标，有效期将自动延至合同终止日为止。</w:t>
      </w:r>
    </w:p>
    <w:p w14:paraId="41DE49B5">
      <w:pPr>
        <w:widowControl/>
        <w:adjustRightInd w:val="0"/>
        <w:snapToGrid w:val="0"/>
        <w:spacing w:line="288" w:lineRule="auto"/>
        <w:ind w:right="102" w:firstLine="420"/>
        <w:jc w:val="lef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5、我方的</w:t>
      </w:r>
      <w:r>
        <w:rPr>
          <w:rFonts w:hint="eastAsia" w:ascii="宋体" w:hAnsi="宋体" w:cs="宋体"/>
          <w:b/>
          <w:bCs/>
          <w:color w:val="auto"/>
          <w:kern w:val="1"/>
          <w:szCs w:val="21"/>
          <w:highlight w:val="none"/>
        </w:rPr>
        <w:t>总</w:t>
      </w:r>
      <w:r>
        <w:rPr>
          <w:rFonts w:hint="eastAsia" w:ascii="宋体" w:hAnsi="宋体" w:cs="宋体"/>
          <w:b/>
          <w:color w:val="auto"/>
          <w:kern w:val="1"/>
          <w:szCs w:val="21"/>
          <w:highlight w:val="none"/>
        </w:rPr>
        <w:t>投标报价为人民币</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），其中：总勘察费为人民币</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），投标下浮率为</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%，总设计费为人民币</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），投标下浮率为</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%，总建安工程费为人民币</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），投标下浮率为</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u w:val="single"/>
          <w:lang w:val="zh-CN"/>
        </w:rPr>
        <w:t>我方承诺以上报价不低于我方成本价，</w:t>
      </w:r>
      <w:r>
        <w:rPr>
          <w:rFonts w:hint="eastAsia" w:ascii="宋体" w:hAnsi="宋体" w:cs="宋体"/>
          <w:color w:val="auto"/>
          <w:kern w:val="1"/>
          <w:szCs w:val="21"/>
          <w:highlight w:val="none"/>
          <w:lang w:val="zh-CN"/>
        </w:rPr>
        <w:t>并且以包括完成本项目招标内容和服务范围所包含全部工作的费用。</w:t>
      </w:r>
      <w:r>
        <w:rPr>
          <w:rFonts w:hint="eastAsia" w:ascii="宋体" w:hAnsi="宋体" w:cs="宋体"/>
          <w:b/>
          <w:bCs/>
          <w:color w:val="auto"/>
          <w:kern w:val="1"/>
          <w:szCs w:val="21"/>
          <w:highlight w:val="none"/>
          <w:lang w:val="zh-CN"/>
        </w:rPr>
        <w:t>（注：报价以元为单位，小数点后保留</w:t>
      </w:r>
      <w:r>
        <w:rPr>
          <w:rFonts w:hint="eastAsia" w:ascii="宋体" w:hAnsi="宋体" w:cs="宋体"/>
          <w:b/>
          <w:bCs/>
          <w:color w:val="auto"/>
          <w:kern w:val="1"/>
          <w:szCs w:val="21"/>
          <w:highlight w:val="none"/>
        </w:rPr>
        <w:t>两</w:t>
      </w:r>
      <w:r>
        <w:rPr>
          <w:rFonts w:hint="eastAsia" w:ascii="宋体" w:hAnsi="宋体" w:cs="宋体"/>
          <w:b/>
          <w:bCs/>
          <w:color w:val="auto"/>
          <w:kern w:val="1"/>
          <w:szCs w:val="21"/>
          <w:highlight w:val="none"/>
          <w:lang w:val="zh-CN"/>
        </w:rPr>
        <w:t>位小数，第</w:t>
      </w:r>
      <w:r>
        <w:rPr>
          <w:rFonts w:hint="eastAsia" w:ascii="宋体" w:hAnsi="宋体" w:cs="宋体"/>
          <w:b/>
          <w:bCs/>
          <w:color w:val="auto"/>
          <w:kern w:val="1"/>
          <w:szCs w:val="21"/>
          <w:highlight w:val="none"/>
        </w:rPr>
        <w:t>三</w:t>
      </w:r>
      <w:r>
        <w:rPr>
          <w:rFonts w:hint="eastAsia" w:ascii="宋体" w:hAnsi="宋体" w:cs="宋体"/>
          <w:b/>
          <w:bCs/>
          <w:color w:val="auto"/>
          <w:kern w:val="1"/>
          <w:szCs w:val="21"/>
          <w:highlight w:val="none"/>
          <w:lang w:val="zh-CN"/>
        </w:rPr>
        <w:t>位小数四舍五入。）</w:t>
      </w:r>
    </w:p>
    <w:p w14:paraId="283B818C">
      <w:pPr>
        <w:widowControl/>
        <w:adjustRightInd w:val="0"/>
        <w:snapToGrid w:val="0"/>
        <w:spacing w:line="288"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6、我方如果中标，将按招标文件合同条款以及我方在投标文件中的承诺签订合同。</w:t>
      </w:r>
    </w:p>
    <w:p w14:paraId="41A3B46E">
      <w:pPr>
        <w:widowControl/>
        <w:adjustRightInd w:val="0"/>
        <w:snapToGrid w:val="0"/>
        <w:spacing w:line="288"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7、我方完全接受招标人对本项目功能需求和相关建设标准的要求。如果中标，我方保证本工程的投资、工期、质量、安全等控制目标按照招标文件要求完成。</w:t>
      </w:r>
    </w:p>
    <w:p w14:paraId="7A9E1CD8">
      <w:pPr>
        <w:widowControl/>
        <w:adjustRightInd w:val="0"/>
        <w:snapToGrid w:val="0"/>
        <w:spacing w:line="288"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8、我方拟委派</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）为项目负责人（</w:t>
      </w:r>
      <w:r>
        <w:rPr>
          <w:rFonts w:hint="eastAsia" w:ascii="宋体" w:hAnsi="宋体" w:cs="宋体"/>
          <w:color w:val="auto"/>
          <w:kern w:val="1"/>
          <w:szCs w:val="21"/>
          <w:highlight w:val="none"/>
        </w:rPr>
        <w:t>兼</w:t>
      </w:r>
      <w:r>
        <w:rPr>
          <w:rFonts w:hint="eastAsia" w:ascii="宋体" w:hAnsi="宋体" w:cs="宋体"/>
          <w:color w:val="auto"/>
          <w:kern w:val="1"/>
          <w:szCs w:val="21"/>
          <w:highlight w:val="none"/>
          <w:lang w:val="en-US" w:eastAsia="zh-CN"/>
        </w:rPr>
        <w:t>施工</w:t>
      </w:r>
      <w:r>
        <w:rPr>
          <w:rFonts w:hint="eastAsia" w:ascii="宋体" w:hAnsi="宋体" w:cs="宋体"/>
          <w:color w:val="auto"/>
          <w:kern w:val="1"/>
          <w:szCs w:val="21"/>
          <w:highlight w:val="none"/>
        </w:rPr>
        <w:t>负责人</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）为设计负责人、</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en-US" w:eastAsia="zh-CN"/>
        </w:rPr>
        <w:t xml:space="preserve">          </w:t>
      </w:r>
      <w:r>
        <w:rPr>
          <w:rFonts w:hint="eastAsia" w:ascii="宋体" w:hAnsi="宋体" w:cs="宋体"/>
          <w:color w:val="auto"/>
          <w:kern w:val="1"/>
          <w:szCs w:val="21"/>
          <w:highlight w:val="none"/>
          <w:lang w:val="zh-CN"/>
        </w:rPr>
        <w:t>）为技术负责人。我方承诺中标后上述人员及其他我方投标文件中提供的主要项目管理人员，未经招标人同意，不得更换。否则，我方愿意按招标文件合同条款中的有关规定给予违约赔偿。</w:t>
      </w:r>
    </w:p>
    <w:p w14:paraId="5FA45FF5">
      <w:pPr>
        <w:widowControl/>
        <w:adjustRightInd w:val="0"/>
        <w:snapToGrid w:val="0"/>
        <w:spacing w:line="288"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9、我方如果中标，承诺在中标通知书发出后</w:t>
      </w:r>
      <w:r>
        <w:rPr>
          <w:rFonts w:hint="eastAsia" w:ascii="宋体" w:hAnsi="宋体" w:cs="宋体"/>
          <w:color w:val="auto"/>
          <w:kern w:val="1"/>
          <w:szCs w:val="21"/>
          <w:highlight w:val="none"/>
        </w:rPr>
        <w:t>3</w:t>
      </w:r>
      <w:r>
        <w:rPr>
          <w:rFonts w:hint="eastAsia" w:ascii="宋体" w:hAnsi="宋体" w:cs="宋体"/>
          <w:color w:val="auto"/>
          <w:kern w:val="1"/>
          <w:szCs w:val="21"/>
          <w:highlight w:val="none"/>
          <w:lang w:val="zh-CN"/>
        </w:rPr>
        <w:t>0个日历天内按招标文件的规定向贵方提交银行履约保函，承诺在中标通知书发出后30个日历天内与贵方签署项目合同。</w:t>
      </w:r>
    </w:p>
    <w:p w14:paraId="727D7B79">
      <w:pPr>
        <w:widowControl/>
        <w:adjustRightInd w:val="0"/>
        <w:snapToGrid w:val="0"/>
        <w:spacing w:line="288" w:lineRule="auto"/>
        <w:ind w:right="102" w:firstLine="420"/>
        <w:jc w:val="lef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如我方违背上述承诺，我方愿意接受公开通报，放弃中标资格，承担由此带来的法律后果。</w:t>
      </w:r>
    </w:p>
    <w:p w14:paraId="19AAA532">
      <w:pPr>
        <w:widowControl/>
        <w:wordWrap w:val="0"/>
        <w:adjustRightInd w:val="0"/>
        <w:snapToGrid w:val="0"/>
        <w:spacing w:line="288"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投标人（公章）：</w:t>
      </w:r>
    </w:p>
    <w:p w14:paraId="580597B6">
      <w:pPr>
        <w:widowControl/>
        <w:wordWrap w:val="0"/>
        <w:adjustRightInd w:val="0"/>
        <w:snapToGrid w:val="0"/>
        <w:spacing w:line="288"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法定代表人或授权代表（签字或盖章）：</w:t>
      </w:r>
    </w:p>
    <w:p w14:paraId="282C77AD">
      <w:pPr>
        <w:widowControl/>
        <w:wordWrap w:val="0"/>
        <w:adjustRightInd w:val="0"/>
        <w:snapToGrid w:val="0"/>
        <w:spacing w:line="288"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项目负责人</w:t>
      </w:r>
      <w:r>
        <w:rPr>
          <w:rFonts w:hint="eastAsia" w:ascii="宋体" w:hAnsi="宋体" w:cs="宋体"/>
          <w:color w:val="auto"/>
          <w:kern w:val="1"/>
          <w:szCs w:val="21"/>
          <w:highlight w:val="none"/>
          <w:lang w:eastAsia="zh-CN"/>
        </w:rPr>
        <w:t>（</w:t>
      </w:r>
      <w:r>
        <w:rPr>
          <w:rFonts w:hint="eastAsia" w:ascii="宋体" w:hAnsi="宋体" w:cs="宋体"/>
          <w:color w:val="auto"/>
          <w:kern w:val="1"/>
          <w:szCs w:val="21"/>
          <w:highlight w:val="none"/>
          <w:lang w:val="en-US" w:eastAsia="zh-CN"/>
        </w:rPr>
        <w:t>兼施工负责人）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p>
    <w:p w14:paraId="471FC366">
      <w:pPr>
        <w:widowControl/>
        <w:wordWrap/>
        <w:adjustRightInd w:val="0"/>
        <w:snapToGrid w:val="0"/>
        <w:spacing w:line="288" w:lineRule="auto"/>
        <w:ind w:right="102"/>
        <w:jc w:val="right"/>
        <w:rPr>
          <w:rFonts w:hint="default" w:ascii="宋体" w:hAnsi="宋体" w:eastAsia="宋体" w:cs="宋体"/>
          <w:color w:val="auto"/>
          <w:kern w:val="1"/>
          <w:szCs w:val="21"/>
          <w:highlight w:val="none"/>
          <w:lang w:val="en-US" w:eastAsia="zh-CN"/>
        </w:rPr>
      </w:pPr>
      <w:r>
        <w:rPr>
          <w:rFonts w:hint="eastAsia" w:ascii="宋体" w:hAnsi="宋体" w:cs="宋体"/>
          <w:color w:val="auto"/>
          <w:kern w:val="1"/>
          <w:szCs w:val="21"/>
          <w:highlight w:val="none"/>
          <w:lang w:val="en-US" w:eastAsia="zh-CN"/>
        </w:rPr>
        <w:t>勘察负责人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p>
    <w:p w14:paraId="41AB2334">
      <w:pPr>
        <w:widowControl/>
        <w:wordWrap w:val="0"/>
        <w:adjustRightInd w:val="0"/>
        <w:snapToGrid w:val="0"/>
        <w:spacing w:line="288" w:lineRule="auto"/>
        <w:ind w:right="102"/>
        <w:jc w:val="right"/>
        <w:rPr>
          <w:rFonts w:ascii="宋体" w:hAnsi="宋体" w:cs="宋体"/>
          <w:color w:val="auto"/>
          <w:kern w:val="1"/>
          <w:szCs w:val="21"/>
          <w:highlight w:val="none"/>
          <w:u w:val="single"/>
        </w:rPr>
      </w:pPr>
      <w:r>
        <w:rPr>
          <w:rFonts w:hint="eastAsia" w:ascii="宋体" w:hAnsi="宋体" w:cs="宋体"/>
          <w:color w:val="auto"/>
          <w:kern w:val="1"/>
          <w:szCs w:val="21"/>
          <w:highlight w:val="none"/>
        </w:rPr>
        <w:t>设计负责人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p>
    <w:p w14:paraId="14902A1A">
      <w:pPr>
        <w:widowControl/>
        <w:wordWrap w:val="0"/>
        <w:adjustRightInd w:val="0"/>
        <w:snapToGrid w:val="0"/>
        <w:spacing w:line="288"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技术负责人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p>
    <w:p w14:paraId="28BCAB54">
      <w:pPr>
        <w:widowControl/>
        <w:wordWrap w:val="0"/>
        <w:adjustRightInd w:val="0"/>
        <w:snapToGrid w:val="0"/>
        <w:spacing w:line="288"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地址</w:t>
      </w:r>
      <w:r>
        <w:rPr>
          <w:rFonts w:hint="eastAsia" w:ascii="宋体" w:hAnsi="宋体" w:cs="宋体"/>
          <w:color w:val="auto"/>
          <w:kern w:val="1"/>
          <w:szCs w:val="21"/>
          <w:highlight w:val="none"/>
        </w:rPr>
        <w:t xml:space="preserve">    </w:t>
      </w:r>
      <w:r>
        <w:rPr>
          <w:rFonts w:hint="eastAsia" w:ascii="宋体" w:hAnsi="宋体" w:cs="宋体"/>
          <w:color w:val="auto"/>
          <w:kern w:val="1"/>
          <w:szCs w:val="21"/>
          <w:highlight w:val="none"/>
          <w:lang w:val="zh-CN"/>
        </w:rPr>
        <w:t>：邮政编码：</w:t>
      </w:r>
    </w:p>
    <w:p w14:paraId="3AFBF6BA">
      <w:pPr>
        <w:widowControl/>
        <w:wordWrap w:val="0"/>
        <w:adjustRightInd w:val="0"/>
        <w:snapToGrid w:val="0"/>
        <w:spacing w:line="288"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电话：</w:t>
      </w:r>
      <w:r>
        <w:rPr>
          <w:rFonts w:hint="eastAsia" w:ascii="宋体" w:hAnsi="宋体" w:cs="宋体"/>
          <w:color w:val="auto"/>
          <w:kern w:val="1"/>
          <w:szCs w:val="21"/>
          <w:highlight w:val="none"/>
        </w:rPr>
        <w:t xml:space="preserve">       </w:t>
      </w:r>
      <w:r>
        <w:rPr>
          <w:rFonts w:hint="eastAsia" w:ascii="宋体" w:hAnsi="宋体" w:cs="宋体"/>
          <w:color w:val="auto"/>
          <w:kern w:val="1"/>
          <w:szCs w:val="21"/>
          <w:highlight w:val="none"/>
          <w:lang w:val="zh-CN"/>
        </w:rPr>
        <w:t>传真：</w:t>
      </w:r>
    </w:p>
    <w:p w14:paraId="1982F6C2">
      <w:pPr>
        <w:widowControl/>
        <w:wordWrap w:val="0"/>
        <w:adjustRightInd w:val="0"/>
        <w:snapToGrid w:val="0"/>
        <w:spacing w:line="288" w:lineRule="auto"/>
        <w:ind w:right="102"/>
        <w:jc w:val="righ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日期：_______年_______月______日</w:t>
      </w:r>
    </w:p>
    <w:p w14:paraId="7E20D709">
      <w:pPr>
        <w:pStyle w:val="11"/>
        <w:rPr>
          <w:rFonts w:cs="宋体"/>
          <w:color w:val="auto"/>
          <w:kern w:val="1"/>
          <w:szCs w:val="21"/>
          <w:highlight w:val="none"/>
        </w:rPr>
      </w:pPr>
    </w:p>
    <w:p w14:paraId="2F9B6A60">
      <w:pPr>
        <w:pStyle w:val="11"/>
        <w:rPr>
          <w:rFonts w:cs="宋体"/>
          <w:color w:val="auto"/>
          <w:kern w:val="1"/>
          <w:szCs w:val="21"/>
          <w:highlight w:val="none"/>
        </w:rPr>
      </w:pPr>
      <w:r>
        <w:rPr>
          <w:rFonts w:hint="eastAsia"/>
          <w:b/>
          <w:color w:val="auto"/>
          <w:szCs w:val="21"/>
          <w:highlight w:val="none"/>
        </w:rPr>
        <w:t>注：联合体投标的，“投标人”一栏需书写所有联合体成员的单位全称，可由牵头方签字、盖章即可。</w:t>
      </w:r>
    </w:p>
    <w:p w14:paraId="1ED1FDF9">
      <w:pPr>
        <w:pStyle w:val="11"/>
        <w:jc w:val="center"/>
        <w:rPr>
          <w:rFonts w:cs="宋体"/>
          <w:b/>
          <w:color w:val="auto"/>
          <w:kern w:val="1"/>
          <w:sz w:val="36"/>
          <w:szCs w:val="36"/>
          <w:highlight w:val="none"/>
        </w:rPr>
      </w:pPr>
    </w:p>
    <w:p w14:paraId="66A22607">
      <w:pPr>
        <w:rPr>
          <w:rFonts w:ascii="宋体" w:hAnsi="宋体" w:cs="宋体"/>
          <w:b/>
          <w:color w:val="auto"/>
          <w:kern w:val="1"/>
          <w:sz w:val="36"/>
          <w:szCs w:val="36"/>
          <w:highlight w:val="none"/>
        </w:rPr>
      </w:pPr>
    </w:p>
    <w:p w14:paraId="263A4E31">
      <w:pPr>
        <w:rPr>
          <w:rFonts w:ascii="宋体" w:hAnsi="宋体" w:cs="宋体"/>
          <w:b/>
          <w:color w:val="auto"/>
          <w:kern w:val="1"/>
          <w:sz w:val="36"/>
          <w:szCs w:val="36"/>
          <w:highlight w:val="none"/>
        </w:rPr>
      </w:pPr>
    </w:p>
    <w:p w14:paraId="69C8E73D">
      <w:pPr>
        <w:rPr>
          <w:rFonts w:ascii="宋体" w:hAnsi="宋体" w:cs="宋体"/>
          <w:b/>
          <w:color w:val="auto"/>
          <w:kern w:val="1"/>
          <w:sz w:val="36"/>
          <w:szCs w:val="36"/>
          <w:highlight w:val="none"/>
        </w:rPr>
      </w:pPr>
    </w:p>
    <w:p w14:paraId="1D7ACAD9">
      <w:pPr>
        <w:rPr>
          <w:rFonts w:ascii="宋体" w:hAnsi="宋体" w:cs="宋体"/>
          <w:b/>
          <w:color w:val="auto"/>
          <w:kern w:val="1"/>
          <w:sz w:val="36"/>
          <w:szCs w:val="36"/>
          <w:highlight w:val="none"/>
        </w:rPr>
      </w:pPr>
    </w:p>
    <w:p w14:paraId="7A7DE14B">
      <w:pPr>
        <w:pStyle w:val="11"/>
        <w:jc w:val="center"/>
        <w:rPr>
          <w:rFonts w:cs="宋体"/>
          <w:b/>
          <w:color w:val="auto"/>
          <w:kern w:val="1"/>
          <w:sz w:val="36"/>
          <w:szCs w:val="36"/>
          <w:highlight w:val="none"/>
        </w:rPr>
      </w:pPr>
    </w:p>
    <w:p w14:paraId="2DDC5DEC">
      <w:pPr>
        <w:pStyle w:val="11"/>
        <w:jc w:val="center"/>
        <w:rPr>
          <w:rFonts w:cs="宋体"/>
          <w:b/>
          <w:color w:val="auto"/>
          <w:kern w:val="1"/>
          <w:sz w:val="36"/>
          <w:szCs w:val="36"/>
          <w:highlight w:val="none"/>
        </w:rPr>
      </w:pPr>
    </w:p>
    <w:p w14:paraId="1CC80179">
      <w:pPr>
        <w:pStyle w:val="11"/>
        <w:jc w:val="center"/>
        <w:rPr>
          <w:rFonts w:cs="宋体"/>
          <w:b/>
          <w:color w:val="auto"/>
          <w:kern w:val="1"/>
          <w:sz w:val="36"/>
          <w:szCs w:val="36"/>
          <w:highlight w:val="none"/>
        </w:rPr>
      </w:pPr>
    </w:p>
    <w:p w14:paraId="53477A43">
      <w:pPr>
        <w:pStyle w:val="11"/>
        <w:jc w:val="center"/>
        <w:rPr>
          <w:rFonts w:cs="宋体"/>
          <w:b/>
          <w:color w:val="auto"/>
          <w:kern w:val="1"/>
          <w:sz w:val="36"/>
          <w:szCs w:val="36"/>
          <w:highlight w:val="none"/>
        </w:rPr>
      </w:pPr>
    </w:p>
    <w:p w14:paraId="3A45BD7C">
      <w:pPr>
        <w:pStyle w:val="11"/>
        <w:jc w:val="center"/>
        <w:rPr>
          <w:rFonts w:cs="宋体"/>
          <w:b/>
          <w:color w:val="auto"/>
          <w:kern w:val="1"/>
          <w:sz w:val="36"/>
          <w:szCs w:val="36"/>
          <w:highlight w:val="none"/>
        </w:rPr>
      </w:pPr>
      <w:r>
        <w:rPr>
          <w:rFonts w:hint="eastAsia" w:cs="宋体"/>
          <w:b/>
          <w:color w:val="auto"/>
          <w:kern w:val="1"/>
          <w:sz w:val="36"/>
          <w:szCs w:val="36"/>
          <w:highlight w:val="none"/>
        </w:rPr>
        <w:t>第一部分 工程总承包实施及运营管理方案技术投标文件格式</w:t>
      </w:r>
    </w:p>
    <w:p w14:paraId="2B8D60F4">
      <w:pPr>
        <w:spacing w:line="360" w:lineRule="auto"/>
        <w:rPr>
          <w:rFonts w:ascii="宋体" w:hAnsi="宋体" w:cs="宋体"/>
          <w:b/>
          <w:color w:val="auto"/>
          <w:kern w:val="1"/>
          <w:sz w:val="24"/>
          <w:highlight w:val="none"/>
        </w:rPr>
      </w:pPr>
    </w:p>
    <w:p w14:paraId="69A29E4A">
      <w:pPr>
        <w:spacing w:line="360" w:lineRule="auto"/>
        <w:rPr>
          <w:rFonts w:ascii="宋体" w:hAnsi="宋体" w:cs="宋体"/>
          <w:b/>
          <w:color w:val="auto"/>
          <w:kern w:val="1"/>
          <w:sz w:val="24"/>
          <w:highlight w:val="none"/>
        </w:rPr>
      </w:pPr>
    </w:p>
    <w:p w14:paraId="6ADC0C46">
      <w:pPr>
        <w:pStyle w:val="11"/>
        <w:rPr>
          <w:rFonts w:cs="宋体"/>
          <w:b/>
          <w:color w:val="auto"/>
          <w:kern w:val="1"/>
          <w:sz w:val="24"/>
          <w:highlight w:val="none"/>
        </w:rPr>
      </w:pPr>
    </w:p>
    <w:p w14:paraId="6AB382EB">
      <w:pPr>
        <w:pStyle w:val="11"/>
        <w:rPr>
          <w:rFonts w:cs="宋体"/>
          <w:b/>
          <w:color w:val="auto"/>
          <w:kern w:val="1"/>
          <w:sz w:val="24"/>
          <w:highlight w:val="none"/>
        </w:rPr>
      </w:pPr>
    </w:p>
    <w:p w14:paraId="5D95B52E">
      <w:pPr>
        <w:spacing w:line="360" w:lineRule="auto"/>
        <w:rPr>
          <w:rFonts w:ascii="宋体" w:hAnsi="宋体" w:cs="宋体"/>
          <w:b/>
          <w:color w:val="auto"/>
          <w:kern w:val="1"/>
          <w:sz w:val="24"/>
          <w:highlight w:val="none"/>
        </w:rPr>
      </w:pPr>
    </w:p>
    <w:p w14:paraId="6A3D23C8">
      <w:pPr>
        <w:spacing w:line="360" w:lineRule="auto"/>
        <w:rPr>
          <w:rFonts w:ascii="宋体" w:hAnsi="宋体" w:cs="宋体"/>
          <w:b/>
          <w:color w:val="auto"/>
          <w:kern w:val="1"/>
          <w:sz w:val="24"/>
          <w:highlight w:val="none"/>
        </w:rPr>
      </w:pPr>
    </w:p>
    <w:p w14:paraId="1BCA58AC">
      <w:pPr>
        <w:spacing w:line="360" w:lineRule="auto"/>
        <w:rPr>
          <w:rFonts w:ascii="宋体" w:hAnsi="宋体" w:cs="宋体"/>
          <w:b/>
          <w:color w:val="auto"/>
          <w:kern w:val="1"/>
          <w:sz w:val="24"/>
          <w:highlight w:val="none"/>
        </w:rPr>
      </w:pPr>
    </w:p>
    <w:p w14:paraId="007B65BD">
      <w:pPr>
        <w:spacing w:line="360" w:lineRule="auto"/>
        <w:rPr>
          <w:rFonts w:ascii="宋体" w:hAnsi="宋体" w:cs="宋体"/>
          <w:b/>
          <w:color w:val="auto"/>
          <w:kern w:val="1"/>
          <w:sz w:val="24"/>
          <w:highlight w:val="none"/>
        </w:rPr>
      </w:pPr>
    </w:p>
    <w:p w14:paraId="0814CE17">
      <w:pPr>
        <w:spacing w:line="360" w:lineRule="auto"/>
        <w:rPr>
          <w:rFonts w:ascii="宋体" w:hAnsi="宋体" w:cs="宋体"/>
          <w:b/>
          <w:color w:val="auto"/>
          <w:kern w:val="1"/>
          <w:sz w:val="24"/>
          <w:highlight w:val="none"/>
        </w:rPr>
      </w:pPr>
    </w:p>
    <w:p w14:paraId="72A1CEA2">
      <w:pPr>
        <w:spacing w:line="360" w:lineRule="auto"/>
        <w:rPr>
          <w:rFonts w:ascii="宋体" w:hAnsi="宋体" w:cs="宋体"/>
          <w:b/>
          <w:color w:val="auto"/>
          <w:kern w:val="1"/>
          <w:sz w:val="24"/>
          <w:highlight w:val="none"/>
        </w:rPr>
      </w:pPr>
    </w:p>
    <w:p w14:paraId="4926454A">
      <w:pPr>
        <w:pStyle w:val="11"/>
        <w:rPr>
          <w:color w:val="auto"/>
          <w:highlight w:val="none"/>
        </w:rPr>
      </w:pPr>
    </w:p>
    <w:p w14:paraId="3904A43D">
      <w:pPr>
        <w:pStyle w:val="11"/>
        <w:rPr>
          <w:color w:val="auto"/>
          <w:highlight w:val="none"/>
        </w:rPr>
      </w:pPr>
    </w:p>
    <w:p w14:paraId="39C71AA8">
      <w:pPr>
        <w:pStyle w:val="11"/>
        <w:rPr>
          <w:b/>
          <w:color w:val="auto"/>
          <w:highlight w:val="none"/>
        </w:rPr>
      </w:pPr>
    </w:p>
    <w:p w14:paraId="54AE8EC8">
      <w:pPr>
        <w:pStyle w:val="11"/>
        <w:rPr>
          <w:color w:val="auto"/>
          <w:highlight w:val="none"/>
        </w:rPr>
      </w:pPr>
    </w:p>
    <w:p w14:paraId="3ED9CAFF">
      <w:pPr>
        <w:spacing w:line="360" w:lineRule="auto"/>
        <w:rPr>
          <w:rFonts w:ascii="宋体" w:hAnsi="宋体" w:cs="宋体"/>
          <w:b/>
          <w:color w:val="auto"/>
          <w:kern w:val="1"/>
          <w:sz w:val="24"/>
          <w:highlight w:val="none"/>
        </w:rPr>
      </w:pPr>
    </w:p>
    <w:p w14:paraId="4A761192">
      <w:pPr>
        <w:spacing w:line="360" w:lineRule="auto"/>
        <w:rPr>
          <w:rFonts w:ascii="宋体" w:hAnsi="宋体" w:cs="宋体"/>
          <w:b/>
          <w:color w:val="auto"/>
          <w:kern w:val="1"/>
          <w:sz w:val="24"/>
          <w:highlight w:val="none"/>
        </w:rPr>
      </w:pPr>
    </w:p>
    <w:p w14:paraId="732EF037">
      <w:pPr>
        <w:pStyle w:val="11"/>
        <w:rPr>
          <w:rFonts w:cs="宋体"/>
          <w:b/>
          <w:color w:val="auto"/>
          <w:kern w:val="1"/>
          <w:sz w:val="24"/>
          <w:highlight w:val="none"/>
        </w:rPr>
      </w:pPr>
    </w:p>
    <w:p w14:paraId="337ACCD3">
      <w:pPr>
        <w:pStyle w:val="11"/>
        <w:rPr>
          <w:rFonts w:cs="宋体"/>
          <w:b/>
          <w:color w:val="auto"/>
          <w:kern w:val="1"/>
          <w:sz w:val="24"/>
          <w:highlight w:val="none"/>
        </w:rPr>
      </w:pPr>
    </w:p>
    <w:p w14:paraId="22D74B3E">
      <w:pPr>
        <w:pStyle w:val="11"/>
        <w:rPr>
          <w:rFonts w:cs="宋体"/>
          <w:b/>
          <w:color w:val="auto"/>
          <w:kern w:val="1"/>
          <w:sz w:val="24"/>
          <w:highlight w:val="none"/>
        </w:rPr>
      </w:pPr>
    </w:p>
    <w:p w14:paraId="2FAF2C70">
      <w:pPr>
        <w:pStyle w:val="11"/>
        <w:rPr>
          <w:rFonts w:cs="宋体"/>
          <w:b/>
          <w:color w:val="auto"/>
          <w:kern w:val="1"/>
          <w:sz w:val="24"/>
          <w:highlight w:val="none"/>
        </w:rPr>
      </w:pPr>
    </w:p>
    <w:p w14:paraId="0535E35C">
      <w:pPr>
        <w:pStyle w:val="11"/>
        <w:rPr>
          <w:rFonts w:cs="宋体"/>
          <w:b/>
          <w:color w:val="auto"/>
          <w:kern w:val="1"/>
          <w:sz w:val="24"/>
          <w:highlight w:val="none"/>
        </w:rPr>
      </w:pPr>
    </w:p>
    <w:p w14:paraId="7A6D55AF">
      <w:pPr>
        <w:widowControl/>
        <w:numPr>
          <w:ilvl w:val="0"/>
          <w:numId w:val="4"/>
        </w:numPr>
        <w:ind w:left="0"/>
        <w:jc w:val="left"/>
        <w:rPr>
          <w:rFonts w:ascii="宋体" w:hAnsi="宋体" w:cs="宋体"/>
          <w:b/>
          <w:color w:val="auto"/>
          <w:kern w:val="1"/>
          <w:sz w:val="24"/>
          <w:highlight w:val="none"/>
        </w:rPr>
      </w:pPr>
      <w:r>
        <w:rPr>
          <w:rFonts w:ascii="宋体" w:hAnsi="宋体" w:cs="宋体"/>
          <w:b/>
          <w:color w:val="auto"/>
          <w:kern w:val="1"/>
          <w:sz w:val="24"/>
          <w:highlight w:val="none"/>
        </w:rPr>
        <w:br w:type="page"/>
      </w:r>
    </w:p>
    <w:p w14:paraId="7F56FEE1">
      <w:pPr>
        <w:spacing w:line="480" w:lineRule="auto"/>
        <w:jc w:val="center"/>
        <w:rPr>
          <w:rFonts w:ascii="宋体" w:hAnsi="宋体" w:cs="宋体"/>
          <w:b/>
          <w:color w:val="auto"/>
          <w:kern w:val="1"/>
          <w:sz w:val="28"/>
          <w:szCs w:val="28"/>
          <w:highlight w:val="none"/>
          <w:lang w:val="zh-CN"/>
        </w:rPr>
      </w:pPr>
      <w:r>
        <w:rPr>
          <w:rFonts w:hint="eastAsia" w:ascii="宋体" w:hAnsi="宋体" w:cs="宋体"/>
          <w:b/>
          <w:color w:val="auto"/>
          <w:kern w:val="1"/>
          <w:sz w:val="28"/>
          <w:szCs w:val="28"/>
          <w:highlight w:val="none"/>
        </w:rPr>
        <w:t>勘察</w:t>
      </w:r>
      <w:r>
        <w:rPr>
          <w:rFonts w:hint="eastAsia" w:ascii="宋体" w:hAnsi="宋体" w:cs="宋体"/>
          <w:b/>
          <w:color w:val="auto"/>
          <w:kern w:val="1"/>
          <w:sz w:val="28"/>
          <w:szCs w:val="28"/>
          <w:highlight w:val="none"/>
          <w:lang w:val="zh-CN"/>
        </w:rPr>
        <w:t>设计投标书</w:t>
      </w:r>
    </w:p>
    <w:p w14:paraId="6394A807">
      <w:pPr>
        <w:spacing w:line="360" w:lineRule="auto"/>
        <w:jc w:val="left"/>
        <w:rPr>
          <w:rFonts w:ascii="宋体" w:hAnsi="宋体" w:cs="宋体"/>
          <w:color w:val="auto"/>
          <w:kern w:val="1"/>
          <w:sz w:val="24"/>
          <w:szCs w:val="24"/>
          <w:highlight w:val="none"/>
        </w:rPr>
      </w:pPr>
      <w:r>
        <w:rPr>
          <w:rFonts w:hint="eastAsia" w:ascii="宋体" w:hAnsi="宋体" w:cs="宋体"/>
          <w:color w:val="auto"/>
          <w:kern w:val="1"/>
          <w:sz w:val="24"/>
          <w:szCs w:val="24"/>
          <w:highlight w:val="none"/>
        </w:rPr>
        <w:t>项目名称：</w:t>
      </w:r>
      <w:r>
        <w:rPr>
          <w:rFonts w:hint="eastAsia" w:ascii="宋体" w:hAnsi="宋体" w:cs="宋体"/>
          <w:color w:val="auto"/>
          <w:kern w:val="1"/>
          <w:sz w:val="24"/>
          <w:szCs w:val="24"/>
          <w:highlight w:val="none"/>
          <w:u w:val="single"/>
        </w:rPr>
        <w:t xml:space="preserve">                    </w:t>
      </w:r>
    </w:p>
    <w:p w14:paraId="75395265">
      <w:pPr>
        <w:pStyle w:val="11"/>
        <w:spacing w:line="360" w:lineRule="auto"/>
        <w:rPr>
          <w:rFonts w:cs="宋体"/>
          <w:color w:val="auto"/>
          <w:sz w:val="24"/>
          <w:szCs w:val="24"/>
          <w:highlight w:val="none"/>
        </w:rPr>
      </w:pPr>
    </w:p>
    <w:p w14:paraId="3DEBE04C">
      <w:pPr>
        <w:pStyle w:val="11"/>
        <w:spacing w:line="360" w:lineRule="auto"/>
        <w:rPr>
          <w:rFonts w:cs="宋体"/>
          <w:color w:val="auto"/>
          <w:sz w:val="24"/>
          <w:szCs w:val="24"/>
          <w:highlight w:val="none"/>
        </w:rPr>
      </w:pPr>
      <w:r>
        <w:rPr>
          <w:rFonts w:hint="eastAsia" w:cs="宋体"/>
          <w:color w:val="auto"/>
          <w:sz w:val="24"/>
          <w:szCs w:val="24"/>
          <w:highlight w:val="none"/>
        </w:rPr>
        <w:t>致：</w:t>
      </w:r>
      <w:r>
        <w:rPr>
          <w:rFonts w:hint="eastAsia" w:cs="宋体"/>
          <w:color w:val="auto"/>
          <w:sz w:val="24"/>
          <w:szCs w:val="24"/>
          <w:highlight w:val="none"/>
          <w:u w:val="single"/>
          <w:lang w:val="en-US"/>
        </w:rPr>
        <w:t xml:space="preserve">            </w:t>
      </w:r>
      <w:r>
        <w:rPr>
          <w:rFonts w:hint="eastAsia" w:cs="宋体"/>
          <w:color w:val="auto"/>
          <w:sz w:val="24"/>
          <w:szCs w:val="24"/>
          <w:highlight w:val="none"/>
        </w:rPr>
        <w:t>（招标人名称）</w:t>
      </w:r>
    </w:p>
    <w:p w14:paraId="564A066F">
      <w:pPr>
        <w:spacing w:line="360" w:lineRule="auto"/>
        <w:jc w:val="left"/>
        <w:rPr>
          <w:rFonts w:ascii="宋体" w:hAnsi="宋体" w:cs="宋体"/>
          <w:color w:val="auto"/>
          <w:kern w:val="1"/>
          <w:sz w:val="24"/>
          <w:szCs w:val="24"/>
          <w:highlight w:val="none"/>
        </w:rPr>
      </w:pPr>
    </w:p>
    <w:p w14:paraId="383067FC">
      <w:pPr>
        <w:pStyle w:val="11"/>
        <w:spacing w:line="360" w:lineRule="auto"/>
        <w:ind w:firstLine="480"/>
        <w:rPr>
          <w:rFonts w:cs="宋体"/>
          <w:color w:val="auto"/>
          <w:sz w:val="24"/>
          <w:szCs w:val="24"/>
          <w:highlight w:val="none"/>
        </w:rPr>
      </w:pPr>
      <w:r>
        <w:rPr>
          <w:rFonts w:hint="eastAsia" w:cs="宋体"/>
          <w:color w:val="auto"/>
          <w:sz w:val="24"/>
          <w:szCs w:val="24"/>
          <w:highlight w:val="none"/>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5D378318">
      <w:pPr>
        <w:pStyle w:val="11"/>
        <w:spacing w:line="360" w:lineRule="auto"/>
        <w:ind w:firstLine="480"/>
        <w:rPr>
          <w:rFonts w:cs="宋体"/>
          <w:color w:val="auto"/>
          <w:sz w:val="24"/>
          <w:szCs w:val="24"/>
          <w:highlight w:val="none"/>
        </w:rPr>
      </w:pPr>
      <w:r>
        <w:rPr>
          <w:rFonts w:hint="eastAsia" w:cs="宋体"/>
          <w:color w:val="auto"/>
          <w:sz w:val="24"/>
          <w:szCs w:val="24"/>
          <w:highlight w:val="none"/>
        </w:rPr>
        <w:t>我方遵守本投标书直至投标有效期满，在该日期前，本投标书对我方一直具有约束力，随时可接受中标。我方承认所附勘察设计文件资料为本投标书的一部分。如果我方投标书含有不符合招标文件规定的内容，我方同意按招标文件规定予以修正。我方接受你方关于任命争端裁决委员会的建议。</w:t>
      </w:r>
    </w:p>
    <w:p w14:paraId="4ECBAF2E">
      <w:pPr>
        <w:pStyle w:val="11"/>
        <w:spacing w:line="360" w:lineRule="auto"/>
        <w:ind w:firstLine="480"/>
        <w:rPr>
          <w:rFonts w:cs="宋体"/>
          <w:color w:val="auto"/>
          <w:sz w:val="24"/>
          <w:szCs w:val="24"/>
          <w:highlight w:val="none"/>
        </w:rPr>
      </w:pPr>
      <w:r>
        <w:rPr>
          <w:rFonts w:hint="eastAsia" w:cs="宋体"/>
          <w:color w:val="auto"/>
          <w:sz w:val="24"/>
          <w:szCs w:val="24"/>
          <w:highlight w:val="none"/>
        </w:rPr>
        <w:t>我方认同招标文件规定的评审规则，遵守评标委员会的裁决结果，并且不会采取妨碍项目进展的行为。</w:t>
      </w:r>
    </w:p>
    <w:p w14:paraId="7F79B018">
      <w:pPr>
        <w:pStyle w:val="11"/>
        <w:spacing w:line="360" w:lineRule="auto"/>
        <w:ind w:firstLine="480"/>
        <w:rPr>
          <w:rFonts w:cs="宋体"/>
          <w:color w:val="auto"/>
          <w:sz w:val="24"/>
          <w:szCs w:val="24"/>
          <w:highlight w:val="none"/>
        </w:rPr>
      </w:pPr>
      <w:r>
        <w:rPr>
          <w:rFonts w:hint="eastAsia" w:cs="宋体"/>
          <w:color w:val="auto"/>
          <w:sz w:val="24"/>
          <w:szCs w:val="24"/>
          <w:highlight w:val="none"/>
        </w:rPr>
        <w:t>除非制订正式合同协议书并生效，本投标书以及你方中标通知书，应构成你我双方间具有约束力的合同。</w:t>
      </w:r>
    </w:p>
    <w:p w14:paraId="35532C5E">
      <w:pPr>
        <w:spacing w:line="360" w:lineRule="auto"/>
        <w:ind w:firstLine="480"/>
        <w:rPr>
          <w:rFonts w:ascii="宋体" w:hAnsi="宋体" w:cs="宋体"/>
          <w:color w:val="auto"/>
          <w:kern w:val="1"/>
          <w:sz w:val="24"/>
          <w:szCs w:val="24"/>
          <w:highlight w:val="none"/>
        </w:rPr>
      </w:pPr>
      <w:r>
        <w:rPr>
          <w:rFonts w:hint="eastAsia" w:ascii="宋体" w:hAnsi="宋体" w:cs="宋体"/>
          <w:color w:val="auto"/>
          <w:kern w:val="1"/>
          <w:sz w:val="24"/>
          <w:szCs w:val="24"/>
          <w:highlight w:val="none"/>
        </w:rPr>
        <w:t>本投标书同时作为法人证明书或法人授权委托书。</w:t>
      </w:r>
    </w:p>
    <w:p w14:paraId="1304A1A0">
      <w:pPr>
        <w:spacing w:line="360" w:lineRule="auto"/>
        <w:rPr>
          <w:rFonts w:ascii="宋体" w:hAnsi="宋体" w:cs="宋体"/>
          <w:color w:val="auto"/>
          <w:kern w:val="1"/>
          <w:szCs w:val="21"/>
          <w:highlight w:val="none"/>
        </w:rPr>
      </w:pPr>
    </w:p>
    <w:p w14:paraId="4E2E495C">
      <w:pP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投标人： （盖章</w:t>
      </w:r>
      <w:bookmarkStart w:id="654" w:name="_Hlk61429714"/>
      <w:r>
        <w:rPr>
          <w:rFonts w:hint="eastAsia" w:ascii="宋体" w:hAnsi="宋体" w:cs="宋体"/>
          <w:color w:val="auto"/>
          <w:kern w:val="1"/>
          <w:szCs w:val="21"/>
          <w:highlight w:val="none"/>
        </w:rPr>
        <w:t>）</w:t>
      </w:r>
    </w:p>
    <w:bookmarkEnd w:id="654"/>
    <w:p w14:paraId="4F57909F">
      <w:pP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p>
    <w:p w14:paraId="179DE327">
      <w:pP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日期：    年    月    日</w:t>
      </w:r>
    </w:p>
    <w:p w14:paraId="756FC665">
      <w:pPr>
        <w:spacing w:line="360" w:lineRule="auto"/>
        <w:ind w:firstLine="3840"/>
        <w:rPr>
          <w:rFonts w:ascii="宋体" w:hAnsi="宋体" w:cs="宋体"/>
          <w:color w:val="auto"/>
          <w:kern w:val="1"/>
          <w:szCs w:val="21"/>
          <w:highlight w:val="none"/>
        </w:rPr>
      </w:pPr>
    </w:p>
    <w:p w14:paraId="387A2637">
      <w:pPr>
        <w:spacing w:line="360" w:lineRule="auto"/>
        <w:rPr>
          <w:rFonts w:ascii="宋体" w:hAnsi="宋体" w:cs="宋体"/>
          <w:color w:val="auto"/>
          <w:kern w:val="1"/>
          <w:szCs w:val="21"/>
          <w:highlight w:val="none"/>
        </w:rPr>
      </w:pPr>
      <w:r>
        <w:rPr>
          <w:rFonts w:hint="eastAsia" w:hAnsi="宋体"/>
          <w:b/>
          <w:color w:val="auto"/>
          <w:szCs w:val="21"/>
          <w:highlight w:val="none"/>
        </w:rPr>
        <w:t>注：联合体投标的，“投标人”一栏需书写所有联合体成员的单位全称，可由牵头方签字、盖章。</w:t>
      </w:r>
    </w:p>
    <w:p w14:paraId="43327F86">
      <w:pPr>
        <w:pStyle w:val="11"/>
        <w:rPr>
          <w:rFonts w:cs="宋体"/>
          <w:color w:val="auto"/>
          <w:kern w:val="1"/>
          <w:szCs w:val="21"/>
          <w:highlight w:val="none"/>
        </w:rPr>
      </w:pPr>
    </w:p>
    <w:p w14:paraId="091CDA7E">
      <w:pPr>
        <w:pStyle w:val="11"/>
        <w:rPr>
          <w:rFonts w:cs="宋体"/>
          <w:color w:val="auto"/>
          <w:kern w:val="1"/>
          <w:szCs w:val="21"/>
          <w:highlight w:val="none"/>
        </w:rPr>
      </w:pPr>
    </w:p>
    <w:p w14:paraId="5175E0FA">
      <w:pPr>
        <w:pStyle w:val="11"/>
        <w:rPr>
          <w:rFonts w:cs="宋体"/>
          <w:color w:val="auto"/>
          <w:kern w:val="1"/>
          <w:szCs w:val="21"/>
          <w:highlight w:val="none"/>
        </w:rPr>
      </w:pPr>
    </w:p>
    <w:p w14:paraId="0840B32D">
      <w:pPr>
        <w:pStyle w:val="11"/>
        <w:rPr>
          <w:rFonts w:cs="宋体"/>
          <w:color w:val="auto"/>
          <w:kern w:val="1"/>
          <w:szCs w:val="21"/>
          <w:highlight w:val="none"/>
        </w:rPr>
      </w:pPr>
    </w:p>
    <w:p w14:paraId="011E59F3">
      <w:pPr>
        <w:pStyle w:val="11"/>
        <w:rPr>
          <w:rFonts w:cs="宋体"/>
          <w:color w:val="auto"/>
          <w:kern w:val="1"/>
          <w:szCs w:val="21"/>
          <w:highlight w:val="none"/>
        </w:rPr>
      </w:pPr>
    </w:p>
    <w:p w14:paraId="6D2A42AD">
      <w:pPr>
        <w:pStyle w:val="11"/>
        <w:rPr>
          <w:rFonts w:cs="宋体"/>
          <w:color w:val="auto"/>
          <w:kern w:val="1"/>
          <w:szCs w:val="21"/>
          <w:highlight w:val="none"/>
        </w:rPr>
      </w:pPr>
    </w:p>
    <w:p w14:paraId="27047325">
      <w:pPr>
        <w:rPr>
          <w:color w:val="auto"/>
          <w:highlight w:val="none"/>
        </w:rPr>
      </w:pPr>
    </w:p>
    <w:p w14:paraId="46CC96DB">
      <w:pPr>
        <w:pStyle w:val="11"/>
        <w:rPr>
          <w:rFonts w:cs="宋体"/>
          <w:color w:val="auto"/>
          <w:kern w:val="1"/>
          <w:szCs w:val="21"/>
          <w:highlight w:val="none"/>
        </w:rPr>
      </w:pPr>
    </w:p>
    <w:p w14:paraId="42F09047">
      <w:pPr>
        <w:pStyle w:val="11"/>
        <w:rPr>
          <w:rFonts w:cs="宋体"/>
          <w:color w:val="auto"/>
          <w:kern w:val="1"/>
          <w:szCs w:val="21"/>
          <w:highlight w:val="none"/>
        </w:rPr>
      </w:pPr>
    </w:p>
    <w:p w14:paraId="412D88F6">
      <w:pPr>
        <w:rPr>
          <w:rFonts w:cs="宋体"/>
          <w:color w:val="auto"/>
          <w:kern w:val="1"/>
          <w:szCs w:val="21"/>
          <w:highlight w:val="none"/>
        </w:rPr>
      </w:pPr>
      <w:r>
        <w:rPr>
          <w:rFonts w:cs="宋体"/>
          <w:color w:val="auto"/>
          <w:kern w:val="1"/>
          <w:szCs w:val="21"/>
          <w:highlight w:val="none"/>
        </w:rPr>
        <w:br w:type="page"/>
      </w:r>
    </w:p>
    <w:p w14:paraId="675E903C">
      <w:pPr>
        <w:widowControl/>
        <w:numPr>
          <w:ilvl w:val="0"/>
          <w:numId w:val="4"/>
        </w:numPr>
        <w:ind w:left="0"/>
        <w:jc w:val="left"/>
        <w:rPr>
          <w:rFonts w:ascii="宋体" w:hAnsi="宋体" w:cs="宋体"/>
          <w:b/>
          <w:color w:val="auto"/>
          <w:kern w:val="1"/>
          <w:sz w:val="24"/>
          <w:highlight w:val="none"/>
          <w:lang w:val="zh-CN"/>
        </w:rPr>
      </w:pPr>
    </w:p>
    <w:p w14:paraId="6FA189E4">
      <w:pPr>
        <w:spacing w:line="360" w:lineRule="auto"/>
        <w:jc w:val="center"/>
        <w:rPr>
          <w:rFonts w:ascii="宋体" w:hAnsi="宋体" w:cs="宋体"/>
          <w:b/>
          <w:color w:val="auto"/>
          <w:kern w:val="1"/>
          <w:sz w:val="36"/>
          <w:szCs w:val="36"/>
          <w:highlight w:val="none"/>
          <w:lang w:val="zh-CN"/>
        </w:rPr>
      </w:pPr>
    </w:p>
    <w:p w14:paraId="7550EF7D">
      <w:pPr>
        <w:spacing w:line="360" w:lineRule="auto"/>
        <w:jc w:val="center"/>
        <w:rPr>
          <w:rFonts w:ascii="宋体" w:hAnsi="宋体" w:cs="宋体"/>
          <w:b/>
          <w:color w:val="auto"/>
          <w:kern w:val="1"/>
          <w:sz w:val="36"/>
          <w:szCs w:val="36"/>
          <w:highlight w:val="none"/>
          <w:lang w:val="zh-CN"/>
        </w:rPr>
      </w:pPr>
      <w:r>
        <w:rPr>
          <w:rFonts w:hint="eastAsia" w:ascii="宋体" w:hAnsi="宋体" w:cs="宋体"/>
          <w:b/>
          <w:color w:val="auto"/>
          <w:kern w:val="1"/>
          <w:sz w:val="36"/>
          <w:szCs w:val="36"/>
          <w:highlight w:val="none"/>
          <w:lang w:val="zh-CN"/>
        </w:rPr>
        <w:t>技术投标书</w:t>
      </w:r>
    </w:p>
    <w:p w14:paraId="3AF3B84E">
      <w:pPr>
        <w:spacing w:line="360" w:lineRule="auto"/>
        <w:jc w:val="center"/>
        <w:rPr>
          <w:rFonts w:ascii="宋体" w:hAnsi="宋体" w:cs="宋体"/>
          <w:b/>
          <w:color w:val="auto"/>
          <w:kern w:val="1"/>
          <w:sz w:val="32"/>
          <w:szCs w:val="32"/>
          <w:highlight w:val="none"/>
          <w:lang w:val="zh-CN"/>
        </w:rPr>
      </w:pPr>
    </w:p>
    <w:p w14:paraId="5EADDBA3">
      <w:pPr>
        <w:spacing w:line="360" w:lineRule="auto"/>
        <w:jc w:val="right"/>
        <w:rPr>
          <w:rFonts w:ascii="宋体" w:hAnsi="宋体" w:cs="宋体"/>
          <w:b/>
          <w:color w:val="auto"/>
          <w:kern w:val="1"/>
          <w:sz w:val="32"/>
          <w:szCs w:val="32"/>
          <w:highlight w:val="none"/>
          <w:lang w:val="zh-CN"/>
        </w:rPr>
      </w:pPr>
      <w:r>
        <w:rPr>
          <w:rFonts w:hint="eastAsia" w:ascii="宋体" w:hAnsi="宋体" w:cs="宋体"/>
          <w:b/>
          <w:color w:val="auto"/>
          <w:kern w:val="1"/>
          <w:sz w:val="24"/>
          <w:highlight w:val="none"/>
          <w:lang w:val="zh-CN"/>
        </w:rPr>
        <w:t>投标日期：   年  月  日</w:t>
      </w:r>
    </w:p>
    <w:tbl>
      <w:tblPr>
        <w:tblStyle w:val="20"/>
        <w:tblW w:w="9275" w:type="dxa"/>
        <w:tblInd w:w="0" w:type="dxa"/>
        <w:tblLayout w:type="fixed"/>
        <w:tblCellMar>
          <w:top w:w="0" w:type="dxa"/>
          <w:left w:w="108" w:type="dxa"/>
          <w:bottom w:w="0" w:type="dxa"/>
          <w:right w:w="108" w:type="dxa"/>
        </w:tblCellMar>
      </w:tblPr>
      <w:tblGrid>
        <w:gridCol w:w="3048"/>
        <w:gridCol w:w="2294"/>
        <w:gridCol w:w="3933"/>
      </w:tblGrid>
      <w:tr w14:paraId="6EC026E9">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1C112210">
            <w:pPr>
              <w:jc w:val="center"/>
              <w:rPr>
                <w:rFonts w:ascii="宋体" w:hAnsi="宋体" w:cs="宋体"/>
                <w:b/>
                <w:color w:val="auto"/>
                <w:kern w:val="1"/>
                <w:sz w:val="24"/>
                <w:highlight w:val="none"/>
                <w:lang w:val="zh-CN"/>
              </w:rPr>
            </w:pPr>
            <w:r>
              <w:rPr>
                <w:rFonts w:ascii="宋体" w:hAnsi="宋体" w:cs="宋体"/>
                <w:b/>
                <w:color w:val="auto"/>
                <w:kern w:val="1"/>
                <w:sz w:val="24"/>
                <w:highlight w:val="none"/>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153F9289">
            <w:pPr>
              <w:rPr>
                <w:rFonts w:ascii="宋体" w:hAnsi="宋体" w:cs="宋体"/>
                <w:b/>
                <w:color w:val="auto"/>
                <w:kern w:val="1"/>
                <w:sz w:val="24"/>
                <w:highlight w:val="none"/>
                <w:lang w:val="zh-CN"/>
              </w:rPr>
            </w:pPr>
          </w:p>
        </w:tc>
      </w:tr>
      <w:tr w14:paraId="07CC835B">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1B18D261">
            <w:pPr>
              <w:jc w:val="center"/>
              <w:rPr>
                <w:rFonts w:ascii="宋体" w:hAnsi="宋体" w:cs="宋体"/>
                <w:b/>
                <w:color w:val="auto"/>
                <w:kern w:val="1"/>
                <w:sz w:val="24"/>
                <w:highlight w:val="none"/>
                <w:lang w:val="zh-CN"/>
              </w:rPr>
            </w:pPr>
            <w:r>
              <w:rPr>
                <w:rFonts w:ascii="宋体" w:hAnsi="宋体" w:cs="宋体"/>
                <w:b/>
                <w:color w:val="auto"/>
                <w:kern w:val="1"/>
                <w:sz w:val="24"/>
                <w:highlight w:val="none"/>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4AAAAD8">
            <w:pPr>
              <w:ind w:left="236" w:hanging="236"/>
              <w:rPr>
                <w:rFonts w:ascii="宋体" w:hAnsi="宋体" w:cs="宋体"/>
                <w:b/>
                <w:color w:val="auto"/>
                <w:kern w:val="1"/>
                <w:sz w:val="24"/>
                <w:highlight w:val="none"/>
                <w:lang w:val="zh-CN"/>
              </w:rPr>
            </w:pPr>
          </w:p>
        </w:tc>
      </w:tr>
      <w:tr w14:paraId="783F99C2">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7B54847">
            <w:pPr>
              <w:jc w:val="center"/>
              <w:rPr>
                <w:rFonts w:ascii="宋体" w:hAnsi="宋体" w:cs="宋体"/>
                <w:b/>
                <w:color w:val="auto"/>
                <w:kern w:val="1"/>
                <w:sz w:val="24"/>
                <w:highlight w:val="none"/>
                <w:lang w:val="zh-CN"/>
              </w:rPr>
            </w:pPr>
            <w:r>
              <w:rPr>
                <w:rFonts w:ascii="宋体" w:hAnsi="宋体" w:cs="宋体"/>
                <w:b/>
                <w:bCs/>
                <w:color w:val="auto"/>
                <w:kern w:val="1"/>
                <w:sz w:val="24"/>
                <w:highlight w:val="none"/>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788A0E0">
            <w:pPr>
              <w:jc w:val="center"/>
              <w:rPr>
                <w:rFonts w:ascii="宋体" w:hAnsi="宋体" w:cs="宋体"/>
                <w:b/>
                <w:color w:val="auto"/>
                <w:kern w:val="1"/>
                <w:sz w:val="24"/>
                <w:highlight w:val="none"/>
                <w:lang w:val="zh-CN"/>
              </w:rPr>
            </w:pPr>
            <w:r>
              <w:rPr>
                <w:rFonts w:ascii="宋体" w:hAnsi="宋体" w:cs="宋体"/>
                <w:b/>
                <w:color w:val="auto"/>
                <w:kern w:val="1"/>
                <w:sz w:val="24"/>
                <w:highlight w:val="none"/>
                <w:lang w:val="zh-CN"/>
              </w:rPr>
              <w:t>完全响应招标文件及合同条款要求</w:t>
            </w:r>
          </w:p>
        </w:tc>
      </w:tr>
      <w:tr w14:paraId="37E28B03">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316BC81">
            <w:pPr>
              <w:jc w:val="center"/>
              <w:rPr>
                <w:rFonts w:ascii="宋体" w:hAnsi="宋体" w:cs="宋体"/>
                <w:b/>
                <w:color w:val="auto"/>
                <w:kern w:val="1"/>
                <w:sz w:val="24"/>
                <w:highlight w:val="none"/>
                <w:lang w:val="zh-CN"/>
              </w:rPr>
            </w:pPr>
            <w:r>
              <w:rPr>
                <w:rFonts w:ascii="宋体" w:hAnsi="宋体" w:cs="宋体"/>
                <w:b/>
                <w:color w:val="auto"/>
                <w:kern w:val="1"/>
                <w:sz w:val="24"/>
                <w:highlight w:val="none"/>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4C4C3117">
            <w:pPr>
              <w:jc w:val="center"/>
              <w:rPr>
                <w:rFonts w:ascii="宋体" w:hAnsi="宋体" w:cs="宋体"/>
                <w:b/>
                <w:color w:val="auto"/>
                <w:kern w:val="1"/>
                <w:sz w:val="24"/>
                <w:highlight w:val="none"/>
                <w:lang w:val="zh-CN"/>
              </w:rPr>
            </w:pPr>
            <w:r>
              <w:rPr>
                <w:rFonts w:ascii="宋体" w:hAnsi="宋体" w:cs="宋体"/>
                <w:b/>
                <w:color w:val="auto"/>
                <w:kern w:val="1"/>
                <w:sz w:val="24"/>
                <w:highlight w:val="none"/>
                <w:lang w:val="zh-CN"/>
              </w:rPr>
              <w:t>完全响应招标文件及合同条款要求</w:t>
            </w:r>
          </w:p>
        </w:tc>
      </w:tr>
      <w:tr w14:paraId="716FA3E4">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833B009">
            <w:pPr>
              <w:jc w:val="center"/>
              <w:rPr>
                <w:rFonts w:hint="default" w:ascii="宋体" w:hAnsi="宋体" w:eastAsia="宋体" w:cs="宋体"/>
                <w:b/>
                <w:color w:val="auto"/>
                <w:kern w:val="1"/>
                <w:sz w:val="24"/>
                <w:highlight w:val="none"/>
                <w:lang w:val="en-US" w:eastAsia="zh-CN"/>
              </w:rPr>
            </w:pPr>
            <w:r>
              <w:rPr>
                <w:rFonts w:ascii="宋体" w:hAnsi="宋体" w:cs="宋体"/>
                <w:b/>
                <w:color w:val="auto"/>
                <w:kern w:val="1"/>
                <w:sz w:val="24"/>
                <w:highlight w:val="none"/>
                <w:lang w:val="zh-CN"/>
              </w:rPr>
              <w:t>委派的</w:t>
            </w:r>
            <w:r>
              <w:rPr>
                <w:rFonts w:hint="eastAsia" w:ascii="宋体" w:hAnsi="宋体" w:cs="宋体"/>
                <w:b/>
                <w:color w:val="auto"/>
                <w:kern w:val="1"/>
                <w:sz w:val="24"/>
                <w:highlight w:val="none"/>
                <w:lang w:val="zh-CN"/>
              </w:rPr>
              <w:t>项目负责人（</w:t>
            </w:r>
            <w:r>
              <w:rPr>
                <w:rFonts w:hint="eastAsia" w:ascii="宋体" w:hAnsi="宋体" w:cs="宋体"/>
                <w:b/>
                <w:color w:val="auto"/>
                <w:kern w:val="1"/>
                <w:sz w:val="24"/>
                <w:highlight w:val="none"/>
                <w:lang w:val="en-US" w:eastAsia="zh-CN"/>
              </w:rPr>
              <w:t>兼施工负责人）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4FD80EBE">
            <w:pPr>
              <w:jc w:val="center"/>
              <w:rPr>
                <w:rFonts w:ascii="宋体" w:hAnsi="宋体" w:cs="宋体"/>
                <w:b/>
                <w:color w:val="auto"/>
                <w:kern w:val="1"/>
                <w:sz w:val="24"/>
                <w:highlight w:val="none"/>
              </w:rPr>
            </w:pPr>
            <w:r>
              <w:rPr>
                <w:rFonts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131B985C">
            <w:pPr>
              <w:rPr>
                <w:rFonts w:ascii="宋体" w:hAnsi="宋体" w:cs="宋体"/>
                <w:b/>
                <w:color w:val="auto"/>
                <w:kern w:val="1"/>
                <w:sz w:val="24"/>
                <w:highlight w:val="none"/>
                <w:lang w:val="zh-CN"/>
              </w:rPr>
            </w:pPr>
          </w:p>
        </w:tc>
      </w:tr>
      <w:tr w14:paraId="7F4D1653">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41ECBEB9">
            <w:pPr>
              <w:jc w:val="center"/>
              <w:rPr>
                <w:rFonts w:hint="eastAsia" w:ascii="宋体" w:hAnsi="宋体" w:eastAsia="宋体" w:cs="宋体"/>
                <w:b/>
                <w:color w:val="auto"/>
                <w:kern w:val="1"/>
                <w:sz w:val="24"/>
                <w:highlight w:val="none"/>
                <w:lang w:val="en-US" w:eastAsia="zh-CN"/>
              </w:rPr>
            </w:pPr>
            <w:r>
              <w:rPr>
                <w:rFonts w:ascii="宋体" w:hAnsi="宋体" w:cs="宋体"/>
                <w:b/>
                <w:color w:val="auto"/>
                <w:kern w:val="1"/>
                <w:sz w:val="24"/>
                <w:highlight w:val="none"/>
                <w:lang w:val="zh-CN"/>
              </w:rPr>
              <w:t>委派的</w:t>
            </w:r>
            <w:r>
              <w:rPr>
                <w:rFonts w:hint="eastAsia" w:ascii="宋体" w:hAnsi="宋体" w:cs="宋体"/>
                <w:b/>
                <w:color w:val="auto"/>
                <w:kern w:val="1"/>
                <w:sz w:val="24"/>
                <w:highlight w:val="none"/>
                <w:lang w:val="en-US" w:eastAsia="zh-CN"/>
              </w:rPr>
              <w:t>勘察</w:t>
            </w:r>
            <w:r>
              <w:rPr>
                <w:rFonts w:ascii="宋体" w:hAnsi="宋体" w:cs="宋体"/>
                <w:b/>
                <w:color w:val="auto"/>
                <w:kern w:val="1"/>
                <w:sz w:val="24"/>
                <w:highlight w:val="none"/>
                <w:lang w:val="zh-CN"/>
              </w:rPr>
              <w:t>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13C8FF9C">
            <w:pPr>
              <w:jc w:val="center"/>
              <w:rPr>
                <w:rFonts w:ascii="宋体" w:hAnsi="宋体" w:cs="宋体"/>
                <w:b/>
                <w:color w:val="auto"/>
                <w:kern w:val="1"/>
                <w:sz w:val="24"/>
                <w:highlight w:val="none"/>
              </w:rPr>
            </w:pPr>
            <w:r>
              <w:rPr>
                <w:rFonts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49A47A9E">
            <w:pPr>
              <w:rPr>
                <w:rFonts w:ascii="宋体" w:hAnsi="宋体" w:cs="宋体"/>
                <w:b/>
                <w:color w:val="auto"/>
                <w:kern w:val="1"/>
                <w:sz w:val="24"/>
                <w:highlight w:val="none"/>
                <w:lang w:val="zh-CN"/>
              </w:rPr>
            </w:pPr>
          </w:p>
        </w:tc>
      </w:tr>
      <w:tr w14:paraId="4D4CB48A">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4222381A">
            <w:pPr>
              <w:jc w:val="center"/>
              <w:rPr>
                <w:rFonts w:ascii="宋体" w:hAnsi="宋体" w:cs="宋体"/>
                <w:b/>
                <w:color w:val="auto"/>
                <w:kern w:val="1"/>
                <w:sz w:val="24"/>
                <w:highlight w:val="none"/>
                <w:lang w:val="zh-CN"/>
              </w:rPr>
            </w:pPr>
            <w:r>
              <w:rPr>
                <w:rFonts w:ascii="宋体" w:hAnsi="宋体" w:cs="宋体"/>
                <w:b/>
                <w:color w:val="auto"/>
                <w:kern w:val="1"/>
                <w:sz w:val="24"/>
                <w:highlight w:val="none"/>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2A89340F">
            <w:pPr>
              <w:jc w:val="center"/>
              <w:rPr>
                <w:rFonts w:ascii="宋体" w:hAnsi="宋体" w:cs="宋体"/>
                <w:color w:val="auto"/>
                <w:sz w:val="24"/>
                <w:highlight w:val="none"/>
              </w:rPr>
            </w:pPr>
            <w:r>
              <w:rPr>
                <w:rFonts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13BFF19">
            <w:pPr>
              <w:rPr>
                <w:rFonts w:ascii="宋体" w:hAnsi="宋体" w:cs="宋体"/>
                <w:b/>
                <w:color w:val="auto"/>
                <w:kern w:val="1"/>
                <w:sz w:val="24"/>
                <w:highlight w:val="none"/>
                <w:lang w:val="zh-CN"/>
              </w:rPr>
            </w:pPr>
          </w:p>
        </w:tc>
      </w:tr>
      <w:tr w14:paraId="4C2BB5DD">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A648F56">
            <w:pPr>
              <w:jc w:val="center"/>
              <w:rPr>
                <w:rFonts w:ascii="宋体" w:hAnsi="宋体" w:cs="宋体"/>
                <w:b/>
                <w:color w:val="auto"/>
                <w:kern w:val="1"/>
                <w:sz w:val="24"/>
                <w:highlight w:val="none"/>
                <w:lang w:val="zh-CN"/>
              </w:rPr>
            </w:pPr>
            <w:r>
              <w:rPr>
                <w:rFonts w:ascii="宋体" w:hAnsi="宋体" w:cs="宋体"/>
                <w:b/>
                <w:color w:val="auto"/>
                <w:kern w:val="1"/>
                <w:sz w:val="24"/>
                <w:highlight w:val="none"/>
                <w:lang w:val="zh-CN"/>
              </w:rPr>
              <w:t>委派的</w:t>
            </w:r>
            <w:r>
              <w:rPr>
                <w:rFonts w:ascii="宋体" w:hAnsi="宋体" w:cs="宋体"/>
                <w:b/>
                <w:color w:val="auto"/>
                <w:kern w:val="1"/>
                <w:sz w:val="24"/>
                <w:highlight w:val="none"/>
              </w:rPr>
              <w:t>专职</w:t>
            </w:r>
            <w:r>
              <w:rPr>
                <w:rFonts w:ascii="宋体" w:hAnsi="宋体" w:cs="宋体"/>
                <w:b/>
                <w:color w:val="auto"/>
                <w:kern w:val="1"/>
                <w:sz w:val="24"/>
                <w:highlight w:val="none"/>
                <w:lang w:val="zh-CN"/>
              </w:rPr>
              <w:t>安全员</w:t>
            </w:r>
          </w:p>
        </w:tc>
        <w:tc>
          <w:tcPr>
            <w:tcW w:w="2294" w:type="dxa"/>
            <w:tcBorders>
              <w:top w:val="single" w:color="000000" w:sz="4" w:space="0"/>
              <w:left w:val="single" w:color="000000" w:sz="4" w:space="0"/>
              <w:bottom w:val="single" w:color="000000" w:sz="4" w:space="0"/>
              <w:right w:val="single" w:color="000000" w:sz="4" w:space="0"/>
            </w:tcBorders>
            <w:vAlign w:val="center"/>
          </w:tcPr>
          <w:p w14:paraId="687BEA3A">
            <w:pPr>
              <w:jc w:val="center"/>
              <w:rPr>
                <w:rFonts w:ascii="宋体" w:hAnsi="宋体" w:cs="宋体"/>
                <w:b/>
                <w:color w:val="auto"/>
                <w:kern w:val="1"/>
                <w:sz w:val="24"/>
                <w:highlight w:val="none"/>
                <w:lang w:val="zh-CN"/>
              </w:rPr>
            </w:pPr>
            <w:r>
              <w:rPr>
                <w:rFonts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3B4A3B8D">
            <w:pPr>
              <w:rPr>
                <w:rFonts w:ascii="宋体" w:hAnsi="宋体" w:cs="宋体"/>
                <w:b/>
                <w:color w:val="auto"/>
                <w:kern w:val="1"/>
                <w:sz w:val="24"/>
                <w:highlight w:val="none"/>
                <w:lang w:val="zh-CN"/>
              </w:rPr>
            </w:pPr>
          </w:p>
        </w:tc>
      </w:tr>
      <w:tr w14:paraId="6AF795FF">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B284C6C">
            <w:pPr>
              <w:jc w:val="center"/>
              <w:rPr>
                <w:rFonts w:ascii="宋体" w:hAnsi="宋体" w:cs="宋体"/>
                <w:b/>
                <w:color w:val="auto"/>
                <w:kern w:val="1"/>
                <w:sz w:val="24"/>
                <w:highlight w:val="none"/>
                <w:lang w:val="zh-CN"/>
              </w:rPr>
            </w:pPr>
            <w:r>
              <w:rPr>
                <w:rFonts w:ascii="宋体" w:hAnsi="宋体" w:cs="宋体"/>
                <w:b/>
                <w:color w:val="auto"/>
                <w:kern w:val="1"/>
                <w:sz w:val="24"/>
                <w:highlight w:val="none"/>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34D79442">
            <w:pPr>
              <w:jc w:val="center"/>
              <w:rPr>
                <w:rFonts w:ascii="宋体" w:hAnsi="宋体" w:cs="宋体"/>
                <w:b/>
                <w:color w:val="auto"/>
                <w:kern w:val="1"/>
                <w:sz w:val="24"/>
                <w:highlight w:val="none"/>
                <w:lang w:val="zh-CN"/>
              </w:rPr>
            </w:pPr>
            <w:r>
              <w:rPr>
                <w:rFonts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7B783D31">
            <w:pPr>
              <w:rPr>
                <w:rFonts w:ascii="宋体" w:hAnsi="宋体" w:cs="宋体"/>
                <w:b/>
                <w:color w:val="auto"/>
                <w:kern w:val="1"/>
                <w:sz w:val="24"/>
                <w:highlight w:val="none"/>
                <w:lang w:val="zh-CN"/>
              </w:rPr>
            </w:pPr>
          </w:p>
        </w:tc>
      </w:tr>
      <w:tr w14:paraId="0BD50B16">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6854C5E">
            <w:pPr>
              <w:jc w:val="center"/>
              <w:rPr>
                <w:rFonts w:ascii="宋体" w:hAnsi="宋体" w:cs="宋体"/>
                <w:b/>
                <w:color w:val="auto"/>
                <w:kern w:val="1"/>
                <w:sz w:val="24"/>
                <w:highlight w:val="none"/>
                <w:lang w:val="zh-CN"/>
              </w:rPr>
            </w:pPr>
            <w:r>
              <w:rPr>
                <w:rFonts w:ascii="宋体" w:hAnsi="宋体" w:cs="宋体"/>
                <w:b/>
                <w:color w:val="auto"/>
                <w:kern w:val="1"/>
                <w:sz w:val="24"/>
                <w:highlight w:val="none"/>
                <w:lang w:val="zh-CN"/>
              </w:rPr>
              <w:t>法 定 代 表 人</w:t>
            </w:r>
          </w:p>
          <w:p w14:paraId="202DCE24">
            <w:pPr>
              <w:jc w:val="center"/>
              <w:rPr>
                <w:rFonts w:ascii="宋体" w:hAnsi="宋体" w:cs="宋体"/>
                <w:b/>
                <w:color w:val="auto"/>
                <w:kern w:val="1"/>
                <w:sz w:val="24"/>
                <w:highlight w:val="none"/>
                <w:lang w:val="zh-CN"/>
              </w:rPr>
            </w:pPr>
            <w:r>
              <w:rPr>
                <w:rFonts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40C2F38A">
            <w:pPr>
              <w:rPr>
                <w:rFonts w:ascii="宋体" w:hAnsi="宋体" w:cs="宋体"/>
                <w:b/>
                <w:color w:val="auto"/>
                <w:kern w:val="1"/>
                <w:sz w:val="24"/>
                <w:highlight w:val="none"/>
                <w:lang w:val="zh-CN"/>
              </w:rPr>
            </w:pPr>
          </w:p>
        </w:tc>
      </w:tr>
      <w:tr w14:paraId="008819BE">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44BFA5F8">
            <w:pPr>
              <w:jc w:val="center"/>
              <w:rPr>
                <w:rFonts w:ascii="宋体" w:hAnsi="宋体" w:cs="宋体"/>
                <w:b/>
                <w:color w:val="auto"/>
                <w:kern w:val="1"/>
                <w:sz w:val="24"/>
                <w:highlight w:val="none"/>
                <w:lang w:val="zh-CN"/>
              </w:rPr>
            </w:pPr>
            <w:r>
              <w:rPr>
                <w:rFonts w:ascii="宋体" w:hAnsi="宋体" w:cs="宋体"/>
                <w:b/>
                <w:color w:val="auto"/>
                <w:kern w:val="1"/>
                <w:sz w:val="24"/>
                <w:highlight w:val="none"/>
                <w:lang w:val="zh-CN"/>
              </w:rPr>
              <w:t>授 权 委 托 人</w:t>
            </w:r>
          </w:p>
          <w:p w14:paraId="142432B7">
            <w:pPr>
              <w:jc w:val="center"/>
              <w:rPr>
                <w:rFonts w:ascii="宋体" w:hAnsi="宋体" w:cs="宋体"/>
                <w:b/>
                <w:color w:val="auto"/>
                <w:kern w:val="1"/>
                <w:sz w:val="24"/>
                <w:highlight w:val="none"/>
                <w:lang w:val="zh-CN"/>
              </w:rPr>
            </w:pPr>
            <w:r>
              <w:rPr>
                <w:rFonts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8F25326">
            <w:pPr>
              <w:rPr>
                <w:rFonts w:ascii="宋体" w:hAnsi="宋体" w:cs="宋体"/>
                <w:b/>
                <w:color w:val="auto"/>
                <w:kern w:val="1"/>
                <w:sz w:val="24"/>
                <w:highlight w:val="none"/>
                <w:lang w:val="zh-CN"/>
              </w:rPr>
            </w:pPr>
          </w:p>
        </w:tc>
      </w:tr>
      <w:tr w14:paraId="4D8B47D6">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A8A0922">
            <w:pPr>
              <w:jc w:val="center"/>
              <w:rPr>
                <w:rFonts w:ascii="宋体" w:hAnsi="宋体" w:cs="宋体"/>
                <w:b/>
                <w:color w:val="auto"/>
                <w:kern w:val="1"/>
                <w:sz w:val="24"/>
                <w:highlight w:val="none"/>
                <w:lang w:val="zh-CN"/>
              </w:rPr>
            </w:pPr>
            <w:r>
              <w:rPr>
                <w:rFonts w:ascii="宋体" w:hAnsi="宋体" w:cs="宋体"/>
                <w:b/>
                <w:color w:val="auto"/>
                <w:kern w:val="1"/>
                <w:sz w:val="24"/>
                <w:highlight w:val="none"/>
                <w:lang w:val="zh-CN"/>
              </w:rPr>
              <w:t>投  标  单  位</w:t>
            </w:r>
          </w:p>
          <w:p w14:paraId="4F60F858">
            <w:pPr>
              <w:ind w:firstLine="239"/>
              <w:jc w:val="center"/>
              <w:rPr>
                <w:rFonts w:ascii="宋体" w:hAnsi="宋体" w:cs="宋体"/>
                <w:b/>
                <w:color w:val="auto"/>
                <w:kern w:val="1"/>
                <w:sz w:val="24"/>
                <w:highlight w:val="none"/>
                <w:lang w:val="zh-CN"/>
              </w:rPr>
            </w:pPr>
            <w:r>
              <w:rPr>
                <w:rFonts w:ascii="宋体" w:hAnsi="宋体" w:cs="宋体"/>
                <w:b/>
                <w:color w:val="auto"/>
                <w:kern w:val="1"/>
                <w:sz w:val="24"/>
                <w:highlight w:val="none"/>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3226D358">
            <w:pPr>
              <w:rPr>
                <w:rFonts w:ascii="宋体" w:hAnsi="宋体" w:cs="宋体"/>
                <w:b/>
                <w:color w:val="auto"/>
                <w:kern w:val="1"/>
                <w:sz w:val="24"/>
                <w:highlight w:val="none"/>
                <w:lang w:val="zh-CN"/>
              </w:rPr>
            </w:pPr>
          </w:p>
        </w:tc>
      </w:tr>
    </w:tbl>
    <w:p w14:paraId="7FEE0D36">
      <w:pPr>
        <w:pStyle w:val="11"/>
        <w:rPr>
          <w:rFonts w:cs="宋体"/>
          <w:b/>
          <w:color w:val="auto"/>
          <w:kern w:val="1"/>
          <w:szCs w:val="21"/>
          <w:highlight w:val="none"/>
        </w:rPr>
      </w:pPr>
      <w:r>
        <w:rPr>
          <w:rFonts w:hint="eastAsia" w:cs="宋体"/>
          <w:b/>
          <w:color w:val="auto"/>
          <w:kern w:val="1"/>
          <w:szCs w:val="21"/>
          <w:highlight w:val="none"/>
        </w:rPr>
        <w:t>注：联合体投标</w:t>
      </w:r>
      <w:bookmarkStart w:id="655" w:name="_Hlk61431754"/>
      <w:r>
        <w:rPr>
          <w:rFonts w:hint="eastAsia" w:cs="宋体"/>
          <w:b/>
          <w:color w:val="auto"/>
          <w:kern w:val="1"/>
          <w:szCs w:val="21"/>
          <w:highlight w:val="none"/>
        </w:rPr>
        <w:t>的，“投标单位”一栏需书写所有联</w:t>
      </w:r>
      <w:bookmarkEnd w:id="655"/>
      <w:r>
        <w:rPr>
          <w:rFonts w:hint="eastAsia" w:cs="宋体"/>
          <w:b/>
          <w:color w:val="auto"/>
          <w:kern w:val="1"/>
          <w:szCs w:val="21"/>
          <w:highlight w:val="none"/>
        </w:rPr>
        <w:t>合体成员的单位全称，可由牵头单位签署、盖章。</w:t>
      </w:r>
    </w:p>
    <w:p w14:paraId="430A5FDB">
      <w:pPr>
        <w:rPr>
          <w:rFonts w:ascii="宋体" w:hAnsi="宋体" w:cs="宋体"/>
          <w:b/>
          <w:color w:val="auto"/>
          <w:kern w:val="1"/>
          <w:szCs w:val="21"/>
          <w:highlight w:val="none"/>
        </w:rPr>
      </w:pPr>
    </w:p>
    <w:p w14:paraId="2177AD93">
      <w:pPr>
        <w:jc w:val="right"/>
        <w:rPr>
          <w:rFonts w:ascii="宋体" w:hAnsi="宋体" w:cs="宋体"/>
          <w:b/>
          <w:color w:val="auto"/>
          <w:kern w:val="1"/>
          <w:szCs w:val="21"/>
          <w:highlight w:val="none"/>
        </w:rPr>
      </w:pPr>
    </w:p>
    <w:p w14:paraId="7F56C186">
      <w:pPr>
        <w:snapToGrid w:val="0"/>
        <w:ind w:firstLine="420" w:firstLineChars="200"/>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技术投标书附表：</w:t>
      </w:r>
    </w:p>
    <w:tbl>
      <w:tblPr>
        <w:tblStyle w:val="20"/>
        <w:tblW w:w="9668" w:type="dxa"/>
        <w:tblInd w:w="0" w:type="dxa"/>
        <w:tblLayout w:type="fixed"/>
        <w:tblCellMar>
          <w:top w:w="0" w:type="dxa"/>
          <w:left w:w="0" w:type="dxa"/>
          <w:bottom w:w="0" w:type="dxa"/>
          <w:right w:w="0" w:type="dxa"/>
        </w:tblCellMar>
      </w:tblPr>
      <w:tblGrid>
        <w:gridCol w:w="597"/>
        <w:gridCol w:w="1110"/>
        <w:gridCol w:w="2694"/>
        <w:gridCol w:w="1692"/>
        <w:gridCol w:w="3575"/>
      </w:tblGrid>
      <w:tr w14:paraId="34D88709">
        <w:tblPrEx>
          <w:tblCellMar>
            <w:top w:w="0" w:type="dxa"/>
            <w:left w:w="0" w:type="dxa"/>
            <w:bottom w:w="0" w:type="dxa"/>
            <w:right w:w="0" w:type="dxa"/>
          </w:tblCellMar>
        </w:tblPrEx>
        <w:trPr>
          <w:trHeight w:val="1160" w:hRule="atLeast"/>
        </w:trPr>
        <w:tc>
          <w:tcPr>
            <w:tcW w:w="9668" w:type="dxa"/>
            <w:gridSpan w:val="5"/>
            <w:tcBorders>
              <w:top w:val="nil"/>
              <w:left w:val="nil"/>
              <w:bottom w:val="single" w:color="000000" w:sz="4" w:space="0"/>
              <w:right w:val="nil"/>
            </w:tcBorders>
            <w:noWrap/>
            <w:tcMar>
              <w:top w:w="15" w:type="dxa"/>
              <w:left w:w="15" w:type="dxa"/>
              <w:right w:w="15" w:type="dxa"/>
            </w:tcMar>
            <w:vAlign w:val="center"/>
          </w:tcPr>
          <w:p w14:paraId="7201CEA8">
            <w:pPr>
              <w:widowControl/>
              <w:jc w:val="center"/>
              <w:textAlignment w:val="center"/>
              <w:rPr>
                <w:rFonts w:ascii="宋体" w:hAnsi="宋体" w:cs="宋体"/>
                <w:b/>
                <w:color w:val="auto"/>
                <w:sz w:val="32"/>
                <w:szCs w:val="32"/>
                <w:highlight w:val="none"/>
              </w:rPr>
            </w:pPr>
            <w:r>
              <w:rPr>
                <w:rFonts w:ascii="宋体" w:hAnsi="宋体" w:cs="宋体"/>
                <w:b/>
                <w:color w:val="auto"/>
                <w:sz w:val="32"/>
                <w:szCs w:val="32"/>
                <w:highlight w:val="none"/>
              </w:rPr>
              <w:t>工程总承包项目管理团队人员信息表</w:t>
            </w:r>
          </w:p>
        </w:tc>
      </w:tr>
      <w:tr w14:paraId="34D7A339">
        <w:tblPrEx>
          <w:tblCellMar>
            <w:top w:w="0" w:type="dxa"/>
            <w:left w:w="0" w:type="dxa"/>
            <w:bottom w:w="0" w:type="dxa"/>
            <w:right w:w="0" w:type="dxa"/>
          </w:tblCellMar>
        </w:tblPrEx>
        <w:trPr>
          <w:trHeight w:val="975" w:hRule="atLeast"/>
        </w:trPr>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678BF">
            <w:pPr>
              <w:widowControl/>
              <w:jc w:val="center"/>
              <w:textAlignment w:val="center"/>
              <w:rPr>
                <w:rFonts w:ascii="宋体" w:hAnsi="宋体" w:cs="宋体"/>
                <w:b/>
                <w:color w:val="auto"/>
                <w:sz w:val="28"/>
                <w:szCs w:val="28"/>
                <w:highlight w:val="none"/>
              </w:rPr>
            </w:pPr>
            <w:r>
              <w:rPr>
                <w:rFonts w:ascii="宋体" w:hAnsi="宋体" w:cs="宋体"/>
                <w:b/>
                <w:color w:val="auto"/>
                <w:sz w:val="28"/>
                <w:szCs w:val="28"/>
                <w:highlight w:val="none"/>
              </w:rPr>
              <w:t>序号</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E44EF">
            <w:pPr>
              <w:widowControl/>
              <w:jc w:val="center"/>
              <w:textAlignment w:val="center"/>
              <w:rPr>
                <w:rFonts w:ascii="宋体" w:hAnsi="宋体" w:cs="宋体"/>
                <w:b/>
                <w:color w:val="auto"/>
                <w:sz w:val="28"/>
                <w:szCs w:val="28"/>
                <w:highlight w:val="none"/>
              </w:rPr>
            </w:pPr>
            <w:r>
              <w:rPr>
                <w:rFonts w:ascii="宋体" w:hAnsi="宋体" w:cs="宋体"/>
                <w:b/>
                <w:color w:val="auto"/>
                <w:sz w:val="28"/>
                <w:szCs w:val="28"/>
                <w:highlight w:val="none"/>
              </w:rPr>
              <w:t>姓名</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008D8">
            <w:pPr>
              <w:widowControl/>
              <w:jc w:val="center"/>
              <w:textAlignment w:val="center"/>
              <w:rPr>
                <w:rFonts w:ascii="宋体" w:hAnsi="宋体" w:cs="宋体"/>
                <w:b/>
                <w:color w:val="auto"/>
                <w:sz w:val="28"/>
                <w:szCs w:val="28"/>
                <w:highlight w:val="none"/>
              </w:rPr>
            </w:pPr>
            <w:r>
              <w:rPr>
                <w:rFonts w:ascii="宋体" w:hAnsi="宋体" w:cs="宋体"/>
                <w:b/>
                <w:color w:val="auto"/>
                <w:sz w:val="28"/>
                <w:szCs w:val="28"/>
                <w:highlight w:val="none"/>
              </w:rPr>
              <w:t>岗位</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5DC39">
            <w:pPr>
              <w:widowControl/>
              <w:jc w:val="center"/>
              <w:textAlignment w:val="center"/>
              <w:rPr>
                <w:rFonts w:ascii="宋体" w:hAnsi="宋体" w:cs="宋体"/>
                <w:b/>
                <w:color w:val="auto"/>
                <w:sz w:val="28"/>
                <w:szCs w:val="28"/>
                <w:highlight w:val="none"/>
              </w:rPr>
            </w:pPr>
            <w:r>
              <w:rPr>
                <w:rFonts w:ascii="宋体" w:hAnsi="宋体" w:cs="宋体"/>
                <w:b/>
                <w:color w:val="auto"/>
                <w:sz w:val="28"/>
                <w:szCs w:val="28"/>
                <w:highlight w:val="none"/>
              </w:rPr>
              <w:t>职称</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664A1">
            <w:pPr>
              <w:widowControl/>
              <w:jc w:val="center"/>
              <w:textAlignment w:val="center"/>
              <w:rPr>
                <w:rFonts w:ascii="宋体" w:hAnsi="宋体" w:cs="宋体"/>
                <w:b/>
                <w:color w:val="auto"/>
                <w:sz w:val="28"/>
                <w:szCs w:val="28"/>
                <w:highlight w:val="none"/>
              </w:rPr>
            </w:pPr>
            <w:r>
              <w:rPr>
                <w:rFonts w:ascii="宋体" w:hAnsi="宋体" w:cs="宋体"/>
                <w:b/>
                <w:color w:val="auto"/>
                <w:sz w:val="28"/>
                <w:szCs w:val="28"/>
                <w:highlight w:val="none"/>
              </w:rPr>
              <w:t>职称证书或资格证书编号</w:t>
            </w:r>
          </w:p>
        </w:tc>
      </w:tr>
      <w:tr w14:paraId="6A1B297F">
        <w:tblPrEx>
          <w:tblCellMar>
            <w:top w:w="0" w:type="dxa"/>
            <w:left w:w="0" w:type="dxa"/>
            <w:bottom w:w="0" w:type="dxa"/>
            <w:right w:w="0" w:type="dxa"/>
          </w:tblCellMar>
        </w:tblPrEx>
        <w:trPr>
          <w:trHeight w:val="357"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BC5B75">
            <w:pPr>
              <w:widowControl/>
              <w:numPr>
                <w:ilvl w:val="0"/>
                <w:numId w:val="5"/>
              </w:numPr>
              <w:jc w:val="center"/>
              <w:textAlignment w:val="center"/>
              <w:rPr>
                <w:rFonts w:ascii="宋体" w:hAnsi="宋体" w:cs="宋体"/>
                <w:color w:val="auto"/>
                <w:sz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01D1D">
            <w:pPr>
              <w:jc w:val="center"/>
              <w:rPr>
                <w:rFonts w:ascii="宋体" w:hAnsi="宋体" w:cs="宋体"/>
                <w:color w:val="auto"/>
                <w:sz w:val="24"/>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5E649">
            <w:pPr>
              <w:jc w:val="center"/>
              <w:rPr>
                <w:rFonts w:ascii="宋体" w:hAnsi="宋体" w:cs="宋体"/>
                <w:color w:val="auto"/>
                <w:sz w:val="24"/>
                <w:highlight w:val="none"/>
              </w:rPr>
            </w:pP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21819">
            <w:pPr>
              <w:jc w:val="center"/>
              <w:rPr>
                <w:rFonts w:ascii="宋体" w:hAnsi="宋体" w:cs="宋体"/>
                <w:color w:val="auto"/>
                <w:sz w:val="24"/>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6DC6C">
            <w:pPr>
              <w:jc w:val="center"/>
              <w:rPr>
                <w:rFonts w:ascii="宋体" w:hAnsi="宋体" w:cs="宋体"/>
                <w:color w:val="auto"/>
                <w:sz w:val="24"/>
                <w:highlight w:val="none"/>
              </w:rPr>
            </w:pPr>
          </w:p>
        </w:tc>
      </w:tr>
      <w:tr w14:paraId="1E56DE58">
        <w:tblPrEx>
          <w:tblCellMar>
            <w:top w:w="0" w:type="dxa"/>
            <w:left w:w="0" w:type="dxa"/>
            <w:bottom w:w="0" w:type="dxa"/>
            <w:right w:w="0" w:type="dxa"/>
          </w:tblCellMar>
        </w:tblPrEx>
        <w:trPr>
          <w:trHeight w:val="357"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9AF91">
            <w:pPr>
              <w:widowControl/>
              <w:numPr>
                <w:ilvl w:val="0"/>
                <w:numId w:val="5"/>
              </w:numPr>
              <w:jc w:val="center"/>
              <w:textAlignment w:val="center"/>
              <w:rPr>
                <w:rFonts w:ascii="宋体" w:hAnsi="宋体" w:cs="宋体"/>
                <w:color w:val="auto"/>
                <w:sz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B8D72">
            <w:pPr>
              <w:jc w:val="center"/>
              <w:rPr>
                <w:rFonts w:ascii="宋体" w:hAnsi="宋体" w:cs="宋体"/>
                <w:color w:val="auto"/>
                <w:sz w:val="24"/>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5212B">
            <w:pPr>
              <w:jc w:val="center"/>
              <w:rPr>
                <w:rFonts w:ascii="宋体" w:hAnsi="宋体" w:cs="宋体"/>
                <w:color w:val="auto"/>
                <w:sz w:val="24"/>
                <w:highlight w:val="none"/>
              </w:rPr>
            </w:pP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F2902">
            <w:pPr>
              <w:jc w:val="center"/>
              <w:rPr>
                <w:rFonts w:ascii="宋体" w:hAnsi="宋体" w:cs="宋体"/>
                <w:color w:val="auto"/>
                <w:sz w:val="24"/>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BD094">
            <w:pPr>
              <w:jc w:val="center"/>
              <w:rPr>
                <w:rFonts w:ascii="宋体" w:hAnsi="宋体" w:cs="宋体"/>
                <w:color w:val="auto"/>
                <w:sz w:val="24"/>
                <w:highlight w:val="none"/>
              </w:rPr>
            </w:pPr>
          </w:p>
        </w:tc>
      </w:tr>
      <w:tr w14:paraId="30EA102F">
        <w:tblPrEx>
          <w:tblCellMar>
            <w:top w:w="0" w:type="dxa"/>
            <w:left w:w="0" w:type="dxa"/>
            <w:bottom w:w="0" w:type="dxa"/>
            <w:right w:w="0" w:type="dxa"/>
          </w:tblCellMar>
        </w:tblPrEx>
        <w:trPr>
          <w:trHeight w:val="406"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54169B">
            <w:pPr>
              <w:widowControl/>
              <w:numPr>
                <w:ilvl w:val="0"/>
                <w:numId w:val="5"/>
              </w:numPr>
              <w:jc w:val="center"/>
              <w:textAlignment w:val="center"/>
              <w:rPr>
                <w:rFonts w:ascii="宋体" w:hAnsi="宋体" w:cs="宋体"/>
                <w:color w:val="auto"/>
                <w:sz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D746A">
            <w:pPr>
              <w:jc w:val="center"/>
              <w:rPr>
                <w:rFonts w:ascii="宋体" w:hAnsi="宋体" w:cs="宋体"/>
                <w:color w:val="auto"/>
                <w:sz w:val="24"/>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46AE9">
            <w:pPr>
              <w:jc w:val="center"/>
              <w:rPr>
                <w:rStyle w:val="27"/>
                <w:rFonts w:hint="default" w:ascii="宋体" w:hAnsi="宋体" w:eastAsia="宋体" w:cs="宋体"/>
                <w:color w:val="auto"/>
                <w:sz w:val="24"/>
                <w:szCs w:val="24"/>
                <w:highlight w:val="none"/>
              </w:rPr>
            </w:pP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33D84">
            <w:pPr>
              <w:jc w:val="center"/>
              <w:rPr>
                <w:rFonts w:ascii="宋体" w:hAnsi="宋体" w:cs="宋体"/>
                <w:color w:val="auto"/>
                <w:sz w:val="24"/>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E616E">
            <w:pPr>
              <w:jc w:val="center"/>
              <w:rPr>
                <w:rFonts w:ascii="宋体" w:hAnsi="宋体" w:cs="宋体"/>
                <w:color w:val="auto"/>
                <w:sz w:val="24"/>
                <w:highlight w:val="none"/>
              </w:rPr>
            </w:pPr>
          </w:p>
        </w:tc>
      </w:tr>
      <w:tr w14:paraId="645E3ABE">
        <w:tblPrEx>
          <w:tblCellMar>
            <w:top w:w="0" w:type="dxa"/>
            <w:left w:w="0" w:type="dxa"/>
            <w:bottom w:w="0" w:type="dxa"/>
            <w:right w:w="0" w:type="dxa"/>
          </w:tblCellMar>
        </w:tblPrEx>
        <w:trPr>
          <w:trHeight w:val="406"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6A91AF">
            <w:pPr>
              <w:widowControl/>
              <w:numPr>
                <w:ilvl w:val="0"/>
                <w:numId w:val="5"/>
              </w:numPr>
              <w:jc w:val="center"/>
              <w:textAlignment w:val="center"/>
              <w:rPr>
                <w:rFonts w:ascii="宋体" w:hAnsi="宋体" w:cs="宋体"/>
                <w:color w:val="auto"/>
                <w:sz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45C68">
            <w:pPr>
              <w:jc w:val="center"/>
              <w:rPr>
                <w:rFonts w:ascii="宋体" w:hAnsi="宋体" w:cs="宋体"/>
                <w:color w:val="auto"/>
                <w:sz w:val="24"/>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86495">
            <w:pPr>
              <w:jc w:val="center"/>
              <w:rPr>
                <w:rFonts w:ascii="宋体" w:hAnsi="宋体" w:cs="宋体"/>
                <w:color w:val="auto"/>
                <w:sz w:val="24"/>
                <w:highlight w:val="none"/>
              </w:rPr>
            </w:pP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6709F">
            <w:pPr>
              <w:jc w:val="center"/>
              <w:rPr>
                <w:rFonts w:ascii="宋体" w:hAnsi="宋体" w:cs="宋体"/>
                <w:color w:val="auto"/>
                <w:sz w:val="24"/>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C9862">
            <w:pPr>
              <w:jc w:val="center"/>
              <w:rPr>
                <w:rFonts w:ascii="宋体" w:hAnsi="宋体" w:cs="宋体"/>
                <w:color w:val="auto"/>
                <w:sz w:val="24"/>
                <w:highlight w:val="none"/>
              </w:rPr>
            </w:pPr>
          </w:p>
        </w:tc>
      </w:tr>
      <w:tr w14:paraId="7C1695E9">
        <w:tblPrEx>
          <w:tblCellMar>
            <w:top w:w="0" w:type="dxa"/>
            <w:left w:w="0" w:type="dxa"/>
            <w:bottom w:w="0" w:type="dxa"/>
            <w:right w:w="0" w:type="dxa"/>
          </w:tblCellMar>
        </w:tblPrEx>
        <w:trPr>
          <w:trHeight w:val="398"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147B0">
            <w:pPr>
              <w:widowControl/>
              <w:numPr>
                <w:ilvl w:val="0"/>
                <w:numId w:val="5"/>
              </w:numPr>
              <w:jc w:val="center"/>
              <w:textAlignment w:val="center"/>
              <w:rPr>
                <w:rFonts w:ascii="宋体" w:hAnsi="宋体" w:cs="宋体"/>
                <w:color w:val="auto"/>
                <w:sz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AAB45">
            <w:pPr>
              <w:jc w:val="center"/>
              <w:rPr>
                <w:rFonts w:ascii="宋体" w:hAnsi="宋体" w:cs="宋体"/>
                <w:color w:val="auto"/>
                <w:sz w:val="24"/>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87581">
            <w:pPr>
              <w:jc w:val="center"/>
              <w:rPr>
                <w:rFonts w:ascii="宋体" w:hAnsi="宋体" w:cs="宋体"/>
                <w:color w:val="auto"/>
                <w:sz w:val="24"/>
                <w:highlight w:val="none"/>
              </w:rPr>
            </w:pP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45A1B">
            <w:pPr>
              <w:jc w:val="center"/>
              <w:rPr>
                <w:rFonts w:ascii="宋体" w:hAnsi="宋体" w:cs="宋体"/>
                <w:color w:val="auto"/>
                <w:sz w:val="24"/>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66D7AC">
            <w:pPr>
              <w:jc w:val="center"/>
              <w:rPr>
                <w:rFonts w:ascii="宋体" w:hAnsi="宋体" w:cs="宋体"/>
                <w:color w:val="auto"/>
                <w:sz w:val="24"/>
                <w:highlight w:val="none"/>
              </w:rPr>
            </w:pPr>
          </w:p>
        </w:tc>
      </w:tr>
      <w:tr w14:paraId="24866219">
        <w:tblPrEx>
          <w:tblCellMar>
            <w:top w:w="0" w:type="dxa"/>
            <w:left w:w="0" w:type="dxa"/>
            <w:bottom w:w="0" w:type="dxa"/>
            <w:right w:w="0" w:type="dxa"/>
          </w:tblCellMar>
        </w:tblPrEx>
        <w:trPr>
          <w:trHeight w:val="403"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381AD">
            <w:pPr>
              <w:widowControl/>
              <w:numPr>
                <w:ilvl w:val="0"/>
                <w:numId w:val="5"/>
              </w:numPr>
              <w:jc w:val="center"/>
              <w:textAlignment w:val="center"/>
              <w:rPr>
                <w:rFonts w:ascii="宋体" w:hAnsi="宋体" w:cs="宋体"/>
                <w:color w:val="auto"/>
                <w:sz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50DC6">
            <w:pPr>
              <w:jc w:val="center"/>
              <w:rPr>
                <w:rFonts w:ascii="宋体" w:hAnsi="宋体" w:cs="宋体"/>
                <w:color w:val="auto"/>
                <w:sz w:val="24"/>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F29C7">
            <w:pPr>
              <w:jc w:val="center"/>
              <w:rPr>
                <w:rFonts w:ascii="宋体" w:hAnsi="宋体" w:cs="宋体"/>
                <w:color w:val="auto"/>
                <w:sz w:val="24"/>
                <w:highlight w:val="none"/>
              </w:rPr>
            </w:pP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9DCE2">
            <w:pPr>
              <w:jc w:val="center"/>
              <w:rPr>
                <w:rFonts w:ascii="宋体" w:hAnsi="宋体" w:cs="宋体"/>
                <w:color w:val="auto"/>
                <w:sz w:val="24"/>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76022">
            <w:pPr>
              <w:jc w:val="center"/>
              <w:rPr>
                <w:rFonts w:ascii="宋体" w:hAnsi="宋体" w:cs="宋体"/>
                <w:color w:val="auto"/>
                <w:sz w:val="24"/>
                <w:highlight w:val="none"/>
              </w:rPr>
            </w:pPr>
          </w:p>
        </w:tc>
      </w:tr>
      <w:tr w14:paraId="5017C030">
        <w:tblPrEx>
          <w:tblCellMar>
            <w:top w:w="0" w:type="dxa"/>
            <w:left w:w="0" w:type="dxa"/>
            <w:bottom w:w="0" w:type="dxa"/>
            <w:right w:w="0" w:type="dxa"/>
          </w:tblCellMar>
        </w:tblPrEx>
        <w:trPr>
          <w:trHeight w:val="394"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382BF">
            <w:pPr>
              <w:jc w:val="center"/>
              <w:rPr>
                <w:rFonts w:ascii="宋体" w:hAnsi="宋体" w:cs="宋体"/>
                <w:color w:val="auto"/>
                <w:sz w:val="24"/>
                <w:highlight w:val="none"/>
              </w:rPr>
            </w:pPr>
            <w:r>
              <w:rPr>
                <w:rFonts w:ascii="宋体" w:hAnsi="宋体" w:cs="宋体"/>
                <w:color w:val="auto"/>
                <w:sz w:val="24"/>
                <w:highlight w:val="none"/>
              </w:rPr>
              <w:t>……</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343D9">
            <w:pPr>
              <w:jc w:val="center"/>
              <w:rPr>
                <w:rFonts w:ascii="宋体" w:hAnsi="宋体" w:cs="宋体"/>
                <w:color w:val="auto"/>
                <w:sz w:val="24"/>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C01D1">
            <w:pPr>
              <w:jc w:val="center"/>
              <w:rPr>
                <w:rFonts w:ascii="宋体" w:hAnsi="宋体" w:cs="宋体"/>
                <w:color w:val="auto"/>
                <w:sz w:val="24"/>
                <w:highlight w:val="none"/>
              </w:rPr>
            </w:pPr>
            <w:r>
              <w:rPr>
                <w:rFonts w:ascii="宋体" w:hAnsi="宋体" w:cs="宋体"/>
                <w:color w:val="auto"/>
                <w:sz w:val="24"/>
                <w:highlight w:val="none"/>
              </w:rPr>
              <w:t>……</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21CD2">
            <w:pPr>
              <w:jc w:val="center"/>
              <w:rPr>
                <w:rFonts w:ascii="宋体" w:hAnsi="宋体" w:cs="宋体"/>
                <w:color w:val="auto"/>
                <w:sz w:val="24"/>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719EA">
            <w:pPr>
              <w:jc w:val="center"/>
              <w:rPr>
                <w:rFonts w:ascii="宋体" w:hAnsi="宋体" w:cs="宋体"/>
                <w:color w:val="auto"/>
                <w:sz w:val="24"/>
                <w:highlight w:val="none"/>
              </w:rPr>
            </w:pPr>
            <w:r>
              <w:rPr>
                <w:rFonts w:ascii="宋体" w:hAnsi="宋体" w:cs="宋体"/>
                <w:color w:val="auto"/>
                <w:sz w:val="24"/>
                <w:highlight w:val="none"/>
              </w:rPr>
              <w:t>…</w:t>
            </w:r>
          </w:p>
        </w:tc>
      </w:tr>
      <w:tr w14:paraId="5286BE4A">
        <w:tblPrEx>
          <w:tblCellMar>
            <w:top w:w="0" w:type="dxa"/>
            <w:left w:w="0" w:type="dxa"/>
            <w:bottom w:w="0" w:type="dxa"/>
            <w:right w:w="0" w:type="dxa"/>
          </w:tblCellMar>
        </w:tblPrEx>
        <w:trPr>
          <w:trHeight w:val="3939" w:hRule="atLeast"/>
        </w:trPr>
        <w:tc>
          <w:tcPr>
            <w:tcW w:w="966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6539D">
            <w:pPr>
              <w:widowControl/>
              <w:jc w:val="left"/>
              <w:textAlignment w:val="center"/>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备注：</w:t>
            </w:r>
          </w:p>
          <w:p w14:paraId="46D9800A">
            <w:pPr>
              <w:widowControl/>
              <w:jc w:val="left"/>
              <w:textAlignment w:val="center"/>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1、“岗位”要求</w:t>
            </w:r>
            <w:r>
              <w:rPr>
                <w:rStyle w:val="28"/>
                <w:rFonts w:hint="eastAsia" w:ascii="宋体" w:hAnsi="宋体" w:eastAsia="宋体" w:cs="宋体"/>
                <w:bCs/>
                <w:color w:val="auto"/>
                <w:highlight w:val="none"/>
              </w:rPr>
              <w:t>[除项目负责人</w:t>
            </w:r>
            <w:r>
              <w:rPr>
                <w:rStyle w:val="28"/>
                <w:rFonts w:hint="eastAsia" w:ascii="宋体" w:hAnsi="宋体" w:eastAsia="宋体" w:cs="宋体"/>
                <w:bCs/>
                <w:color w:val="auto"/>
                <w:highlight w:val="none"/>
                <w:lang w:eastAsia="zh-CN"/>
              </w:rPr>
              <w:t>（</w:t>
            </w:r>
            <w:r>
              <w:rPr>
                <w:rStyle w:val="28"/>
                <w:rFonts w:hint="eastAsia" w:ascii="宋体" w:hAnsi="宋体" w:eastAsia="宋体" w:cs="宋体"/>
                <w:bCs/>
                <w:color w:val="auto"/>
                <w:highlight w:val="none"/>
                <w:lang w:val="en-US" w:eastAsia="zh-CN"/>
              </w:rPr>
              <w:t>兼</w:t>
            </w:r>
            <w:r>
              <w:rPr>
                <w:rStyle w:val="28"/>
                <w:rFonts w:hint="eastAsia" w:ascii="宋体" w:hAnsi="宋体" w:eastAsia="宋体" w:cs="宋体"/>
                <w:bCs/>
                <w:color w:val="auto"/>
                <w:highlight w:val="none"/>
              </w:rPr>
              <w:t>施工负责人</w:t>
            </w:r>
            <w:r>
              <w:rPr>
                <w:rStyle w:val="28"/>
                <w:rFonts w:hint="eastAsia" w:ascii="宋体" w:hAnsi="宋体" w:eastAsia="宋体" w:cs="宋体"/>
                <w:bCs/>
                <w:color w:val="auto"/>
                <w:highlight w:val="none"/>
                <w:lang w:eastAsia="zh-CN"/>
              </w:rPr>
              <w:t>）</w:t>
            </w:r>
            <w:r>
              <w:rPr>
                <w:rStyle w:val="28"/>
                <w:rFonts w:hint="eastAsia" w:ascii="宋体" w:hAnsi="宋体" w:eastAsia="宋体" w:cs="宋体"/>
                <w:bCs/>
                <w:color w:val="auto"/>
                <w:highlight w:val="none"/>
              </w:rPr>
              <w:t>、设计负责人、技术负责人和专职安全员外]</w:t>
            </w:r>
            <w:r>
              <w:rPr>
                <w:rStyle w:val="27"/>
                <w:rFonts w:hint="eastAsia" w:ascii="宋体" w:hAnsi="宋体" w:eastAsia="宋体" w:cs="宋体"/>
                <w:color w:val="auto"/>
                <w:sz w:val="24"/>
                <w:szCs w:val="24"/>
                <w:highlight w:val="none"/>
              </w:rPr>
              <w:t>：投标人可根据自身情况，拟派质量负责人、安全负责人、造价负责人、各专业设计负责人、施工员、质量员、资料员等。本信息表只作为评标时的参考，以上项目管理团队人员信息将供各相关单位在履约时比对、查核。</w:t>
            </w:r>
          </w:p>
          <w:p w14:paraId="06990F75">
            <w:pPr>
              <w:widowControl/>
              <w:jc w:val="left"/>
              <w:textAlignment w:val="center"/>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2、投标人应根据本表中的“岗位”要求，填写本表“岗位”栏和相关人员“姓名”、“职称”和“职称证书编号”栏。“职称”栏填“高级”、“中级”、“初级”或“无”；无职称证书或资格证书的，“职称证书或资格证书编号”栏填“无”；同时具备职称证书和资格证书的，“</w:t>
            </w:r>
            <w:bookmarkStart w:id="656" w:name="_Hlk61431742"/>
            <w:r>
              <w:rPr>
                <w:rStyle w:val="27"/>
                <w:rFonts w:hint="eastAsia" w:ascii="宋体" w:hAnsi="宋体" w:eastAsia="宋体" w:cs="宋体"/>
                <w:color w:val="auto"/>
                <w:sz w:val="24"/>
                <w:szCs w:val="24"/>
                <w:highlight w:val="none"/>
              </w:rPr>
              <w:t>职称证书或资格证书编号”栏填职称证书编号。</w:t>
            </w:r>
          </w:p>
          <w:p w14:paraId="408761F1">
            <w:pPr>
              <w:widowControl/>
              <w:jc w:val="left"/>
              <w:textAlignment w:val="center"/>
              <w:rPr>
                <w:rFonts w:ascii="宋体" w:hAnsi="宋体" w:cs="宋体"/>
                <w:color w:val="auto"/>
                <w:sz w:val="24"/>
                <w:highlight w:val="none"/>
              </w:rPr>
            </w:pPr>
            <w:r>
              <w:rPr>
                <w:rStyle w:val="27"/>
                <w:rFonts w:hint="eastAsia" w:ascii="宋体" w:hAnsi="宋体" w:eastAsia="宋体" w:cs="宋体"/>
                <w:color w:val="auto"/>
                <w:sz w:val="24"/>
                <w:szCs w:val="24"/>
                <w:highlight w:val="none"/>
              </w:rPr>
              <w:t>3、如评标办法对投标人拟投入的项目管理团队进行评审的，如相同岗位投入人员姓名与本表不一致的，以本表中姓名为准</w:t>
            </w:r>
            <w:bookmarkEnd w:id="656"/>
            <w:r>
              <w:rPr>
                <w:rStyle w:val="27"/>
                <w:rFonts w:hint="eastAsia" w:ascii="宋体" w:hAnsi="宋体" w:eastAsia="宋体" w:cs="宋体"/>
                <w:color w:val="auto"/>
                <w:sz w:val="24"/>
                <w:szCs w:val="24"/>
                <w:highlight w:val="none"/>
              </w:rPr>
              <w:t>；投标人提供的团队人员职称或资格（含证书编号）情况与本表不一致的，以投标人提供的相关证明材料为准。相关证明材料详见《</w:t>
            </w:r>
            <w:r>
              <w:rPr>
                <w:rStyle w:val="27"/>
                <w:rFonts w:hint="eastAsia" w:ascii="宋体" w:hAnsi="宋体" w:eastAsia="宋体" w:cs="宋体"/>
                <w:color w:val="auto"/>
                <w:sz w:val="24"/>
                <w:szCs w:val="24"/>
                <w:highlight w:val="none"/>
                <w:lang w:val="zh-CN"/>
              </w:rPr>
              <w:t>拟投入本项目人员一览表</w:t>
            </w:r>
            <w:r>
              <w:rPr>
                <w:rStyle w:val="27"/>
                <w:rFonts w:hint="eastAsia" w:ascii="宋体" w:hAnsi="宋体" w:eastAsia="宋体" w:cs="宋体"/>
                <w:color w:val="auto"/>
                <w:sz w:val="24"/>
                <w:szCs w:val="24"/>
                <w:highlight w:val="none"/>
              </w:rPr>
              <w:t>》附件。</w:t>
            </w:r>
          </w:p>
        </w:tc>
      </w:tr>
    </w:tbl>
    <w:p w14:paraId="6F553E31">
      <w:pPr>
        <w:pStyle w:val="11"/>
        <w:rPr>
          <w:rFonts w:cs="宋体"/>
          <w:color w:val="auto"/>
          <w:sz w:val="24"/>
          <w:highlight w:val="none"/>
        </w:rPr>
      </w:pPr>
    </w:p>
    <w:p w14:paraId="4FE852B5">
      <w:pPr>
        <w:pStyle w:val="11"/>
        <w:rPr>
          <w:rFonts w:cs="宋体"/>
          <w:color w:val="auto"/>
          <w:sz w:val="24"/>
          <w:highlight w:val="none"/>
        </w:rPr>
      </w:pPr>
    </w:p>
    <w:p w14:paraId="695218D3">
      <w:pPr>
        <w:pStyle w:val="11"/>
        <w:rPr>
          <w:rFonts w:cs="宋体"/>
          <w:color w:val="auto"/>
          <w:sz w:val="24"/>
          <w:highlight w:val="none"/>
        </w:rPr>
      </w:pPr>
    </w:p>
    <w:p w14:paraId="551043F9">
      <w:pPr>
        <w:pStyle w:val="11"/>
        <w:rPr>
          <w:rFonts w:cs="宋体"/>
          <w:color w:val="auto"/>
          <w:sz w:val="24"/>
          <w:highlight w:val="none"/>
        </w:rPr>
      </w:pPr>
    </w:p>
    <w:p w14:paraId="1F109461">
      <w:pPr>
        <w:pStyle w:val="11"/>
        <w:rPr>
          <w:rFonts w:cs="宋体"/>
          <w:color w:val="auto"/>
          <w:sz w:val="24"/>
          <w:highlight w:val="none"/>
        </w:rPr>
      </w:pPr>
    </w:p>
    <w:p w14:paraId="31B6CF92">
      <w:pPr>
        <w:pStyle w:val="11"/>
        <w:rPr>
          <w:rFonts w:cs="宋体"/>
          <w:color w:val="auto"/>
          <w:sz w:val="24"/>
          <w:highlight w:val="none"/>
        </w:rPr>
      </w:pPr>
    </w:p>
    <w:p w14:paraId="34B6A627">
      <w:pPr>
        <w:pStyle w:val="11"/>
        <w:rPr>
          <w:rFonts w:cs="宋体"/>
          <w:color w:val="auto"/>
          <w:sz w:val="24"/>
          <w:highlight w:val="none"/>
        </w:rPr>
      </w:pPr>
    </w:p>
    <w:p w14:paraId="16C52933">
      <w:pPr>
        <w:pStyle w:val="11"/>
        <w:rPr>
          <w:rFonts w:cs="宋体"/>
          <w:color w:val="auto"/>
          <w:sz w:val="24"/>
          <w:highlight w:val="none"/>
        </w:rPr>
      </w:pPr>
    </w:p>
    <w:p w14:paraId="5AE4F5FF">
      <w:pPr>
        <w:pStyle w:val="11"/>
        <w:rPr>
          <w:rFonts w:cs="宋体"/>
          <w:color w:val="auto"/>
          <w:sz w:val="24"/>
          <w:highlight w:val="none"/>
        </w:rPr>
      </w:pPr>
    </w:p>
    <w:p w14:paraId="3B09EAFC">
      <w:pPr>
        <w:rPr>
          <w:color w:val="auto"/>
          <w:highlight w:val="none"/>
        </w:rPr>
      </w:pPr>
    </w:p>
    <w:p w14:paraId="6D032653">
      <w:pPr>
        <w:pStyle w:val="11"/>
        <w:rPr>
          <w:rFonts w:cs="宋体"/>
          <w:color w:val="auto"/>
          <w:sz w:val="24"/>
          <w:highlight w:val="none"/>
        </w:rPr>
      </w:pPr>
    </w:p>
    <w:p w14:paraId="40D6FC21">
      <w:pPr>
        <w:pStyle w:val="11"/>
        <w:rPr>
          <w:rFonts w:cs="宋体"/>
          <w:color w:val="auto"/>
          <w:sz w:val="24"/>
          <w:highlight w:val="none"/>
        </w:rPr>
      </w:pPr>
    </w:p>
    <w:p w14:paraId="24832850">
      <w:pPr>
        <w:pStyle w:val="11"/>
        <w:rPr>
          <w:rFonts w:cs="宋体"/>
          <w:color w:val="auto"/>
          <w:sz w:val="24"/>
          <w:highlight w:val="none"/>
        </w:rPr>
      </w:pPr>
    </w:p>
    <w:p w14:paraId="516E15B7">
      <w:pPr>
        <w:pStyle w:val="11"/>
        <w:rPr>
          <w:rFonts w:cs="宋体"/>
          <w:color w:val="auto"/>
          <w:sz w:val="24"/>
          <w:highlight w:val="none"/>
        </w:rPr>
      </w:pPr>
    </w:p>
    <w:p w14:paraId="56F0F83B">
      <w:pPr>
        <w:pStyle w:val="11"/>
        <w:rPr>
          <w:rFonts w:cs="宋体"/>
          <w:color w:val="auto"/>
          <w:sz w:val="24"/>
          <w:highlight w:val="none"/>
        </w:rPr>
      </w:pPr>
    </w:p>
    <w:p w14:paraId="212A1A42">
      <w:pPr>
        <w:widowControl/>
        <w:numPr>
          <w:ilvl w:val="0"/>
          <w:numId w:val="4"/>
        </w:numPr>
        <w:ind w:left="0"/>
        <w:jc w:val="left"/>
        <w:rPr>
          <w:rFonts w:ascii="宋体" w:hAnsi="宋体" w:cs="宋体"/>
          <w:b/>
          <w:color w:val="auto"/>
          <w:kern w:val="1"/>
          <w:sz w:val="24"/>
          <w:highlight w:val="none"/>
          <w:lang w:val="zh-CN"/>
        </w:rPr>
      </w:pPr>
    </w:p>
    <w:p w14:paraId="43556F79">
      <w:pPr>
        <w:pStyle w:val="18"/>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14:paraId="48A198BA">
      <w:pPr>
        <w:spacing w:line="360" w:lineRule="auto"/>
        <w:jc w:val="center"/>
        <w:rPr>
          <w:rFonts w:ascii="宋体" w:hAnsi="宋体" w:cs="宋体"/>
          <w:b/>
          <w:color w:val="auto"/>
          <w:kern w:val="1"/>
          <w:sz w:val="24"/>
          <w:highlight w:val="none"/>
        </w:rPr>
      </w:pPr>
    </w:p>
    <w:p w14:paraId="1DE5E8C9">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致：</w:t>
      </w:r>
      <w:r>
        <w:rPr>
          <w:rFonts w:hint="eastAsia" w:ascii="宋体" w:hAnsi="宋体" w:cs="宋体"/>
          <w:color w:val="auto"/>
          <w:kern w:val="1"/>
          <w:szCs w:val="21"/>
          <w:highlight w:val="none"/>
          <w:u w:val="single"/>
        </w:rPr>
        <w:t xml:space="preserve">     （招标人名称）       </w:t>
      </w:r>
    </w:p>
    <w:p w14:paraId="0448BBA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我司确认收到贵司提供的</w:t>
      </w:r>
      <w:r>
        <w:rPr>
          <w:rFonts w:hint="eastAsia" w:ascii="宋体" w:hAnsi="宋体" w:cs="宋体"/>
          <w:color w:val="auto"/>
          <w:kern w:val="1"/>
          <w:szCs w:val="21"/>
          <w:highlight w:val="none"/>
          <w:u w:val="single"/>
        </w:rPr>
        <w:t xml:space="preserve">      （项目名称）      </w:t>
      </w:r>
      <w:r>
        <w:rPr>
          <w:rFonts w:hint="eastAsia" w:ascii="宋体" w:hAnsi="宋体" w:cs="宋体"/>
          <w:color w:val="auto"/>
          <w:kern w:val="1"/>
          <w:szCs w:val="21"/>
          <w:highlight w:val="none"/>
        </w:rPr>
        <w:t>招标文件的全部内容，我司：</w:t>
      </w:r>
      <w:r>
        <w:rPr>
          <w:rFonts w:hint="eastAsia" w:ascii="宋体" w:hAnsi="宋体" w:cs="宋体"/>
          <w:color w:val="auto"/>
          <w:kern w:val="1"/>
          <w:szCs w:val="21"/>
          <w:highlight w:val="none"/>
          <w:u w:val="single"/>
        </w:rPr>
        <w:t xml:space="preserve">       (投标人名称)      </w:t>
      </w:r>
      <w:r>
        <w:rPr>
          <w:rFonts w:hint="eastAsia" w:ascii="宋体" w:hAnsi="宋体" w:cs="宋体"/>
          <w:color w:val="auto"/>
          <w:kern w:val="1"/>
          <w:szCs w:val="21"/>
          <w:highlight w:val="none"/>
        </w:rPr>
        <w:t>已作为投标人正式授权</w:t>
      </w:r>
      <w:r>
        <w:rPr>
          <w:rFonts w:hint="eastAsia" w:ascii="宋体" w:hAnsi="宋体" w:cs="宋体"/>
          <w:color w:val="auto"/>
          <w:kern w:val="1"/>
          <w:szCs w:val="21"/>
          <w:highlight w:val="none"/>
          <w:u w:val="single"/>
        </w:rPr>
        <w:t xml:space="preserve">         (授权代表全名，职务)    </w:t>
      </w:r>
      <w:r>
        <w:rPr>
          <w:rFonts w:hint="eastAsia" w:ascii="宋体" w:hAnsi="宋体" w:cs="宋体"/>
          <w:color w:val="auto"/>
          <w:kern w:val="1"/>
          <w:szCs w:val="21"/>
          <w:highlight w:val="none"/>
        </w:rPr>
        <w:t>代表我司进行有关本投标的一切事宜。</w:t>
      </w:r>
    </w:p>
    <w:p w14:paraId="5F8B98D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我司已完全明白和接受招标文件的所有条款要求，并重申以下几点：</w:t>
      </w:r>
    </w:p>
    <w:p w14:paraId="3ECDD38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57E52660">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 我司已充分阅读了本项目招标文件并充分了解有关报价方式及变更、结算方式，我司完全响应招标文件的规定。</w:t>
      </w:r>
    </w:p>
    <w:p w14:paraId="57233A5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3．本投标文件的有效期为投标截止日后120天内有效；</w:t>
      </w:r>
    </w:p>
    <w:p w14:paraId="62E3B78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4．我司承诺投标文件中的一切资料、数据是真实的，并承担由此引起的一切责任。</w:t>
      </w:r>
    </w:p>
    <w:p w14:paraId="0416E56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5．我司明白并愿意若在规定的投标截止时间之后至投标有效期之内撤回投标，则招标人有权就其撤回行为报告政府主管部门载入不良信用记录。</w:t>
      </w:r>
    </w:p>
    <w:p w14:paraId="2D66CC7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6．我司同意按照贵司可能提出的要求而提供与投标有关的任何其它数据或信息。</w:t>
      </w:r>
    </w:p>
    <w:p w14:paraId="009CBFD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7．我司如果中标，我司保证：</w:t>
      </w:r>
    </w:p>
    <w:p w14:paraId="150DD2C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14:paraId="67293A2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2DB16404">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7.3保证所完成的勘察设计将完全符合国家相关规范要求，符合或优于招标文件、技术条件、合同条款的要求。若我司完成的勘察设计方案未能达到招标人（或相关政府部门）的要求，我司将无条件根据要求进行修改勘察设计方案，直至得到招标人（及相关政府部门）的认可为止。</w:t>
      </w:r>
    </w:p>
    <w:p w14:paraId="69E4035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1DFFF6C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7.5保证投标所报的项目负责人</w:t>
      </w:r>
      <w:r>
        <w:rPr>
          <w:rFonts w:hint="eastAsia" w:ascii="宋体" w:hAnsi="宋体" w:cs="宋体"/>
          <w:color w:val="auto"/>
          <w:kern w:val="1"/>
          <w:szCs w:val="21"/>
          <w:highlight w:val="none"/>
          <w:lang w:eastAsia="zh-CN"/>
        </w:rPr>
        <w:t>（</w:t>
      </w:r>
      <w:r>
        <w:rPr>
          <w:rFonts w:hint="eastAsia" w:ascii="宋体" w:hAnsi="宋体" w:cs="宋体"/>
          <w:color w:val="auto"/>
          <w:kern w:val="1"/>
          <w:szCs w:val="21"/>
          <w:highlight w:val="none"/>
          <w:lang w:val="en-US" w:eastAsia="zh-CN"/>
        </w:rPr>
        <w:t>兼</w:t>
      </w:r>
      <w:r>
        <w:rPr>
          <w:rFonts w:hint="eastAsia" w:ascii="宋体" w:hAnsi="宋体" w:cs="宋体"/>
          <w:color w:val="auto"/>
          <w:kern w:val="1"/>
          <w:szCs w:val="21"/>
          <w:highlight w:val="none"/>
        </w:rPr>
        <w:t>施工负责人</w:t>
      </w:r>
      <w:r>
        <w:rPr>
          <w:rFonts w:hint="eastAsia" w:ascii="宋体" w:hAnsi="宋体" w:cs="宋体"/>
          <w:color w:val="auto"/>
          <w:kern w:val="1"/>
          <w:szCs w:val="21"/>
          <w:highlight w:val="none"/>
          <w:lang w:eastAsia="zh-CN"/>
        </w:rPr>
        <w:t>）</w:t>
      </w:r>
      <w:r>
        <w:rPr>
          <w:rFonts w:hint="eastAsia" w:ascii="宋体" w:hAnsi="宋体" w:cs="宋体"/>
          <w:color w:val="auto"/>
          <w:kern w:val="1"/>
          <w:szCs w:val="21"/>
          <w:highlight w:val="none"/>
        </w:rPr>
        <w:t>、设计负责人在本项目合同签订后7日内到职，全过程服务于本项目，在过程中非不可抗力或招标人要求不得更换。我司违反以上承诺的，同意按合同条款的规定承担违约责任。</w:t>
      </w:r>
    </w:p>
    <w:p w14:paraId="57F7C09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7.6保证所投入本项目的主要材料、设备质量符合或优于招标文件要求，所投入本项目的辅助设备、材料与主主要材料、设备质量一致并有良好的配套性。</w:t>
      </w:r>
    </w:p>
    <w:p w14:paraId="1CACCCF6">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7.7保证按照招标文件的要求确保安全生产及文明施工，如有违反，我司愿意按合同约定承担违约责任，并为此负相关的法律责任。</w:t>
      </w:r>
    </w:p>
    <w:p w14:paraId="5FCFF52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7.8保证按国家的有关规定制订保证民工工资支付的方案及保证措施，否则，我司愿按合同条款规定承担违约责任并赔偿招标人的全部损失。</w:t>
      </w:r>
    </w:p>
    <w:p w14:paraId="035DF08A">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7.9保证按施工期间做好安全文明和交通保证措施，施工区全封闭围挡，根据工程进度计划分段施工分期围挡。最大限度满足交通和市民出行方便，施工行为做到便民，不扰民。</w:t>
      </w:r>
    </w:p>
    <w:p w14:paraId="3B5D4073">
      <w:pPr>
        <w:spacing w:line="360" w:lineRule="auto"/>
        <w:ind w:firstLine="420" w:firstLineChars="200"/>
        <w:rPr>
          <w:rFonts w:ascii="宋体" w:hAnsi="宋体" w:cs="宋体"/>
          <w:color w:val="auto"/>
          <w:kern w:val="1"/>
          <w:szCs w:val="21"/>
          <w:highlight w:val="none"/>
        </w:rPr>
      </w:pPr>
      <w:r>
        <w:rPr>
          <w:rFonts w:hint="eastAsia" w:ascii="宋体" w:hAnsi="宋体" w:cs="宋体"/>
          <w:color w:val="auto"/>
          <w:kern w:val="1"/>
          <w:szCs w:val="21"/>
          <w:highlight w:val="none"/>
        </w:rPr>
        <w:t>7.10保证按发包方工期要求编制施工进度计划，计划内用全面详实，根据项目特点合理组织分段施工，分段逐步移交。</w:t>
      </w:r>
    </w:p>
    <w:p w14:paraId="063684F9">
      <w:pPr>
        <w:spacing w:line="360" w:lineRule="auto"/>
        <w:ind w:firstLine="3360"/>
        <w:jc w:val="right"/>
        <w:rPr>
          <w:rFonts w:ascii="宋体" w:hAnsi="宋体" w:cs="宋体"/>
          <w:color w:val="auto"/>
          <w:kern w:val="1"/>
          <w:szCs w:val="21"/>
          <w:highlight w:val="none"/>
        </w:rPr>
      </w:pPr>
    </w:p>
    <w:p w14:paraId="59BF56B5">
      <w:pPr>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（盖章）</w:t>
      </w:r>
    </w:p>
    <w:p w14:paraId="3654DDD9">
      <w:pPr>
        <w:wordWrap w:val="0"/>
        <w:spacing w:line="360" w:lineRule="auto"/>
        <w:ind w:firstLine="3360"/>
        <w:jc w:val="right"/>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项目负责人</w:t>
      </w:r>
      <w:r>
        <w:rPr>
          <w:rFonts w:hint="eastAsia" w:ascii="宋体" w:hAnsi="宋体" w:cs="宋体"/>
          <w:color w:val="auto"/>
          <w:kern w:val="1"/>
          <w:szCs w:val="21"/>
          <w:highlight w:val="none"/>
          <w:lang w:eastAsia="zh-CN"/>
        </w:rPr>
        <w:t>（</w:t>
      </w:r>
      <w:r>
        <w:rPr>
          <w:rFonts w:hint="eastAsia" w:ascii="宋体" w:hAnsi="宋体" w:cs="宋体"/>
          <w:color w:val="auto"/>
          <w:kern w:val="1"/>
          <w:szCs w:val="21"/>
          <w:highlight w:val="none"/>
          <w:lang w:val="en-US" w:eastAsia="zh-CN"/>
        </w:rPr>
        <w:t>兼施工负责人）</w:t>
      </w:r>
      <w:r>
        <w:rPr>
          <w:rFonts w:hint="eastAsia" w:ascii="宋体" w:hAnsi="宋体" w:cs="宋体"/>
          <w:color w:val="auto"/>
          <w:kern w:val="1"/>
          <w:szCs w:val="21"/>
          <w:highlight w:val="none"/>
        </w:rPr>
        <w:t>（签名或盖章）：</w:t>
      </w:r>
      <w:r>
        <w:rPr>
          <w:rFonts w:hint="eastAsia" w:ascii="宋体" w:hAnsi="宋体" w:cs="宋体"/>
          <w:color w:val="auto"/>
          <w:kern w:val="1"/>
          <w:szCs w:val="21"/>
          <w:highlight w:val="none"/>
          <w:u w:val="single"/>
        </w:rPr>
        <w:t xml:space="preserve">                 </w:t>
      </w:r>
    </w:p>
    <w:p w14:paraId="0ACE5305">
      <w:pPr>
        <w:wordWrap w:val="0"/>
        <w:spacing w:line="360" w:lineRule="auto"/>
        <w:ind w:firstLine="3360" w:firstLineChars="0"/>
        <w:jc w:val="right"/>
        <w:rPr>
          <w:rFonts w:ascii="宋体" w:hAnsi="宋体" w:cs="宋体"/>
          <w:color w:val="auto"/>
          <w:kern w:val="1"/>
          <w:szCs w:val="21"/>
          <w:highlight w:val="none"/>
        </w:rPr>
      </w:pPr>
      <w:r>
        <w:rPr>
          <w:rFonts w:hint="eastAsia" w:ascii="宋体" w:hAnsi="宋体" w:cs="宋体"/>
          <w:color w:val="auto"/>
          <w:kern w:val="1"/>
          <w:szCs w:val="21"/>
          <w:highlight w:val="none"/>
          <w:lang w:val="en-US" w:eastAsia="zh-CN"/>
        </w:rPr>
        <w:t>勘察</w:t>
      </w:r>
      <w:r>
        <w:rPr>
          <w:rFonts w:hint="eastAsia" w:ascii="宋体" w:hAnsi="宋体" w:cs="宋体"/>
          <w:color w:val="auto"/>
          <w:kern w:val="1"/>
          <w:szCs w:val="21"/>
          <w:highlight w:val="none"/>
        </w:rPr>
        <w:t>负责人（签名或盖章）：</w:t>
      </w:r>
      <w:r>
        <w:rPr>
          <w:rFonts w:hint="eastAsia" w:ascii="宋体" w:hAnsi="宋体" w:cs="宋体"/>
          <w:color w:val="auto"/>
          <w:kern w:val="1"/>
          <w:szCs w:val="21"/>
          <w:highlight w:val="none"/>
          <w:u w:val="single"/>
        </w:rPr>
        <w:t xml:space="preserve">                </w:t>
      </w:r>
    </w:p>
    <w:p w14:paraId="73459AD7">
      <w:pPr>
        <w:spacing w:line="360" w:lineRule="auto"/>
        <w:ind w:firstLine="4830" w:firstLineChars="2300"/>
        <w:rPr>
          <w:rFonts w:ascii="宋体" w:hAnsi="宋体" w:cs="宋体"/>
          <w:color w:val="auto"/>
          <w:kern w:val="1"/>
          <w:szCs w:val="21"/>
          <w:highlight w:val="none"/>
          <w:u w:val="single"/>
        </w:rPr>
      </w:pPr>
      <w:r>
        <w:rPr>
          <w:rFonts w:hint="eastAsia" w:ascii="宋体" w:hAnsi="宋体" w:cs="宋体"/>
          <w:color w:val="auto"/>
          <w:kern w:val="1"/>
          <w:szCs w:val="21"/>
          <w:highlight w:val="none"/>
        </w:rPr>
        <w:t>设计负责人（签名或盖章）：</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w:t>
      </w:r>
    </w:p>
    <w:p w14:paraId="5F9B0D67">
      <w:pPr>
        <w:spacing w:line="360" w:lineRule="auto"/>
        <w:ind w:firstLine="4410" w:firstLineChars="2100"/>
        <w:rPr>
          <w:rFonts w:hint="eastAsia" w:ascii="宋体" w:hAnsi="宋体" w:cs="宋体"/>
          <w:color w:val="auto"/>
          <w:kern w:val="1"/>
          <w:szCs w:val="21"/>
          <w:highlight w:val="none"/>
        </w:rPr>
      </w:pPr>
      <w:r>
        <w:rPr>
          <w:rFonts w:hint="eastAsia" w:ascii="宋体" w:hAnsi="宋体" w:cs="宋体"/>
          <w:color w:val="auto"/>
          <w:kern w:val="1"/>
          <w:szCs w:val="21"/>
          <w:highlight w:val="none"/>
        </w:rPr>
        <w:t>项目技术负责人（签名或盖章）：</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w:t>
      </w:r>
    </w:p>
    <w:p w14:paraId="44958528">
      <w:pPr>
        <w:spacing w:line="440" w:lineRule="exact"/>
        <w:ind w:firstLine="4725" w:firstLineChars="2250"/>
        <w:jc w:val="right"/>
        <w:rPr>
          <w:rFonts w:ascii="宋体" w:hAnsi="宋体" w:cs="宋体"/>
          <w:color w:val="auto"/>
          <w:kern w:val="1"/>
          <w:szCs w:val="21"/>
          <w:highlight w:val="none"/>
          <w:u w:val="single"/>
        </w:rPr>
      </w:pPr>
      <w:r>
        <w:rPr>
          <w:rFonts w:hint="eastAsia" w:ascii="宋体" w:hAnsi="宋体" w:cs="宋体"/>
          <w:color w:val="auto"/>
          <w:kern w:val="1"/>
          <w:szCs w:val="21"/>
          <w:highlight w:val="none"/>
        </w:rPr>
        <w:t>日   期：</w:t>
      </w:r>
      <w:r>
        <w:rPr>
          <w:rFonts w:hint="eastAsia" w:ascii="宋体" w:hAnsi="宋体" w:cs="宋体"/>
          <w:color w:val="auto"/>
          <w:kern w:val="1"/>
          <w:szCs w:val="21"/>
          <w:highlight w:val="none"/>
          <w:u w:val="single"/>
        </w:rPr>
        <w:t xml:space="preserve">    年    月    日</w:t>
      </w:r>
    </w:p>
    <w:p w14:paraId="7E59ECB3">
      <w:pPr>
        <w:spacing w:line="440" w:lineRule="exact"/>
        <w:ind w:firstLine="4725" w:firstLineChars="2250"/>
        <w:jc w:val="right"/>
        <w:rPr>
          <w:rFonts w:ascii="宋体" w:hAnsi="宋体" w:cs="宋体"/>
          <w:color w:val="auto"/>
          <w:kern w:val="1"/>
          <w:szCs w:val="21"/>
          <w:highlight w:val="none"/>
          <w:u w:val="single"/>
        </w:rPr>
      </w:pPr>
    </w:p>
    <w:p w14:paraId="3D3D39AB">
      <w:pPr>
        <w:spacing w:line="440" w:lineRule="exact"/>
        <w:ind w:firstLine="4725" w:firstLineChars="2250"/>
        <w:jc w:val="right"/>
        <w:rPr>
          <w:rFonts w:ascii="宋体" w:hAnsi="宋体" w:cs="宋体"/>
          <w:color w:val="auto"/>
          <w:kern w:val="1"/>
          <w:szCs w:val="21"/>
          <w:highlight w:val="none"/>
          <w:u w:val="single"/>
        </w:rPr>
      </w:pPr>
    </w:p>
    <w:p w14:paraId="5D1CE175">
      <w:pPr>
        <w:pStyle w:val="11"/>
        <w:spacing w:line="360" w:lineRule="auto"/>
        <w:rPr>
          <w:b/>
          <w:color w:val="auto"/>
          <w:szCs w:val="21"/>
          <w:highlight w:val="none"/>
        </w:rPr>
      </w:pPr>
      <w:r>
        <w:rPr>
          <w:rFonts w:hint="eastAsia"/>
          <w:b/>
          <w:color w:val="auto"/>
          <w:szCs w:val="21"/>
          <w:highlight w:val="none"/>
        </w:rPr>
        <w:t>注：联合体投标的，“投标人”一栏需书写所有联合体成员的单位全称，可由牵头方签字、盖章。</w:t>
      </w:r>
    </w:p>
    <w:p w14:paraId="4AE265AF">
      <w:pPr>
        <w:spacing w:line="440" w:lineRule="exact"/>
        <w:rPr>
          <w:rFonts w:ascii="宋体" w:hAnsi="宋体" w:cs="宋体"/>
          <w:color w:val="auto"/>
          <w:kern w:val="1"/>
          <w:szCs w:val="21"/>
          <w:highlight w:val="none"/>
          <w:u w:val="single"/>
        </w:rPr>
      </w:pPr>
    </w:p>
    <w:p w14:paraId="71E7A065">
      <w:pPr>
        <w:spacing w:line="440" w:lineRule="exact"/>
        <w:ind w:firstLine="4725" w:firstLineChars="2250"/>
        <w:rPr>
          <w:rFonts w:ascii="宋体" w:hAnsi="宋体" w:cs="宋体"/>
          <w:color w:val="auto"/>
          <w:szCs w:val="21"/>
          <w:highlight w:val="none"/>
        </w:rPr>
      </w:pPr>
    </w:p>
    <w:p w14:paraId="00C5BC04">
      <w:pPr>
        <w:widowControl/>
        <w:jc w:val="left"/>
        <w:rPr>
          <w:rFonts w:ascii="宋体" w:hAnsi="宋体" w:cs="宋体"/>
          <w:b/>
          <w:color w:val="auto"/>
          <w:kern w:val="1"/>
          <w:sz w:val="24"/>
          <w:highlight w:val="none"/>
          <w:lang w:val="zh-CN"/>
        </w:rPr>
      </w:pPr>
    </w:p>
    <w:p w14:paraId="7A22E03C">
      <w:pPr>
        <w:widowControl/>
        <w:numPr>
          <w:ilvl w:val="0"/>
          <w:numId w:val="4"/>
        </w:numPr>
        <w:ind w:left="0"/>
        <w:jc w:val="left"/>
        <w:rPr>
          <w:rFonts w:ascii="宋体" w:hAnsi="宋体" w:cs="宋体"/>
          <w:b/>
          <w:color w:val="auto"/>
          <w:kern w:val="1"/>
          <w:sz w:val="24"/>
          <w:highlight w:val="none"/>
          <w:lang w:val="zh-CN"/>
        </w:rPr>
      </w:pPr>
      <w:r>
        <w:rPr>
          <w:rFonts w:ascii="宋体" w:hAnsi="宋体" w:cs="宋体"/>
          <w:b/>
          <w:color w:val="auto"/>
          <w:kern w:val="1"/>
          <w:sz w:val="24"/>
          <w:highlight w:val="none"/>
          <w:lang w:val="zh-CN"/>
        </w:rPr>
        <w:br w:type="page"/>
      </w:r>
    </w:p>
    <w:p w14:paraId="1D05C6EE">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法定代表人证明书</w:t>
      </w:r>
    </w:p>
    <w:p w14:paraId="5BCA5DCE">
      <w:pPr>
        <w:spacing w:line="400" w:lineRule="exact"/>
        <w:rPr>
          <w:rFonts w:ascii="宋体" w:hAnsi="宋体" w:cs="宋体"/>
          <w:color w:val="auto"/>
          <w:sz w:val="19"/>
          <w:szCs w:val="19"/>
          <w:highlight w:val="none"/>
        </w:rPr>
      </w:pPr>
    </w:p>
    <w:p w14:paraId="76A84A39">
      <w:pPr>
        <w:spacing w:line="400" w:lineRule="exact"/>
        <w:rPr>
          <w:rFonts w:ascii="宋体" w:hAnsi="宋体" w:cs="宋体"/>
          <w:color w:val="auto"/>
          <w:szCs w:val="21"/>
          <w:highlight w:val="none"/>
        </w:rPr>
      </w:pPr>
    </w:p>
    <w:p w14:paraId="7C81DCA0">
      <w:pPr>
        <w:spacing w:line="400" w:lineRule="exact"/>
        <w:rPr>
          <w:rFonts w:ascii="宋体" w:hAnsi="宋体" w:cs="宋体"/>
          <w:color w:val="auto"/>
          <w:szCs w:val="21"/>
          <w:highlight w:val="none"/>
        </w:rPr>
      </w:pPr>
      <w:r>
        <w:rPr>
          <w:rFonts w:hint="eastAsia" w:ascii="宋体" w:hAnsi="宋体" w:cs="宋体"/>
          <w:color w:val="auto"/>
          <w:szCs w:val="21"/>
          <w:highlight w:val="none"/>
        </w:rPr>
        <w:t>投标人名称：</w:t>
      </w:r>
    </w:p>
    <w:p w14:paraId="7A09F81E">
      <w:pPr>
        <w:spacing w:line="400" w:lineRule="exact"/>
        <w:rPr>
          <w:rFonts w:ascii="宋体" w:hAnsi="宋体" w:cs="宋体"/>
          <w:color w:val="auto"/>
          <w:szCs w:val="21"/>
          <w:highlight w:val="none"/>
        </w:rPr>
      </w:pPr>
      <w:r>
        <w:rPr>
          <w:rFonts w:hint="eastAsia" w:ascii="宋体" w:hAnsi="宋体" w:cs="宋体"/>
          <w:color w:val="auto"/>
          <w:szCs w:val="21"/>
          <w:highlight w:val="none"/>
        </w:rPr>
        <w:t>单位性质：</w:t>
      </w:r>
    </w:p>
    <w:p w14:paraId="46783098">
      <w:pPr>
        <w:spacing w:line="400" w:lineRule="exact"/>
        <w:rPr>
          <w:rFonts w:ascii="宋体" w:hAnsi="宋体" w:cs="宋体"/>
          <w:color w:val="auto"/>
          <w:szCs w:val="21"/>
          <w:highlight w:val="none"/>
        </w:rPr>
      </w:pPr>
      <w:r>
        <w:rPr>
          <w:rFonts w:hint="eastAsia" w:ascii="宋体" w:hAnsi="宋体" w:cs="宋体"/>
          <w:color w:val="auto"/>
          <w:szCs w:val="21"/>
          <w:highlight w:val="none"/>
        </w:rPr>
        <w:t>地址：</w:t>
      </w:r>
    </w:p>
    <w:p w14:paraId="23AFFB98">
      <w:pPr>
        <w:spacing w:line="400" w:lineRule="exact"/>
        <w:rPr>
          <w:rFonts w:ascii="宋体" w:hAnsi="宋体" w:cs="宋体"/>
          <w:color w:val="auto"/>
          <w:szCs w:val="21"/>
          <w:highlight w:val="none"/>
        </w:rPr>
      </w:pPr>
      <w:r>
        <w:rPr>
          <w:rFonts w:hint="eastAsia" w:ascii="宋体" w:hAnsi="宋体" w:cs="宋体"/>
          <w:color w:val="auto"/>
          <w:szCs w:val="21"/>
          <w:highlight w:val="none"/>
        </w:rPr>
        <w:t>成立时间：    年    月    日</w:t>
      </w:r>
    </w:p>
    <w:p w14:paraId="48E12035">
      <w:pPr>
        <w:spacing w:line="400" w:lineRule="exact"/>
        <w:rPr>
          <w:rFonts w:ascii="宋体" w:hAnsi="宋体" w:cs="宋体"/>
          <w:color w:val="auto"/>
          <w:szCs w:val="21"/>
          <w:highlight w:val="none"/>
        </w:rPr>
      </w:pPr>
      <w:r>
        <w:rPr>
          <w:rFonts w:hint="eastAsia" w:ascii="宋体" w:hAnsi="宋体" w:cs="宋体"/>
          <w:color w:val="auto"/>
          <w:szCs w:val="21"/>
          <w:highlight w:val="none"/>
        </w:rPr>
        <w:t>经营期限：</w:t>
      </w:r>
    </w:p>
    <w:p w14:paraId="436F5BD5">
      <w:pPr>
        <w:spacing w:line="400" w:lineRule="exact"/>
        <w:rPr>
          <w:rFonts w:ascii="宋体" w:hAnsi="宋体" w:cs="宋体"/>
          <w:color w:val="auto"/>
          <w:szCs w:val="21"/>
          <w:highlight w:val="none"/>
        </w:rPr>
      </w:pPr>
      <w:r>
        <w:rPr>
          <w:rFonts w:hint="eastAsia" w:ascii="宋体" w:hAnsi="宋体" w:cs="宋体"/>
          <w:color w:val="auto"/>
          <w:szCs w:val="21"/>
          <w:highlight w:val="none"/>
        </w:rPr>
        <w:t>姓名：    性别：   年龄：   身份证号码：          职务：       系           (投标人名称)的法定代表人。</w:t>
      </w:r>
    </w:p>
    <w:p w14:paraId="20C200B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特此证明。</w:t>
      </w:r>
    </w:p>
    <w:p w14:paraId="7BDCDBF1">
      <w:pPr>
        <w:spacing w:line="400" w:lineRule="exact"/>
        <w:rPr>
          <w:rFonts w:ascii="宋体" w:hAnsi="宋体" w:cs="宋体"/>
          <w:color w:val="auto"/>
          <w:szCs w:val="21"/>
          <w:highlight w:val="none"/>
        </w:rPr>
      </w:pPr>
    </w:p>
    <w:p w14:paraId="3BECF9E3">
      <w:pPr>
        <w:spacing w:line="400" w:lineRule="exact"/>
        <w:rPr>
          <w:rFonts w:ascii="宋体" w:hAnsi="宋体" w:cs="宋体"/>
          <w:color w:val="auto"/>
          <w:szCs w:val="21"/>
          <w:highlight w:val="none"/>
        </w:rPr>
      </w:pPr>
    </w:p>
    <w:p w14:paraId="134D9CB1">
      <w:pPr>
        <w:spacing w:line="400" w:lineRule="exact"/>
        <w:rPr>
          <w:rFonts w:ascii="宋体" w:hAnsi="宋体" w:cs="宋体"/>
          <w:color w:val="auto"/>
          <w:szCs w:val="21"/>
          <w:highlight w:val="none"/>
        </w:rPr>
      </w:pPr>
    </w:p>
    <w:p w14:paraId="5F367B9E">
      <w:pPr>
        <w:spacing w:line="400" w:lineRule="exact"/>
        <w:jc w:val="right"/>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07F5C568">
      <w:pPr>
        <w:spacing w:line="400" w:lineRule="exact"/>
        <w:jc w:val="right"/>
        <w:rPr>
          <w:rFonts w:ascii="宋体" w:hAnsi="宋体" w:cs="宋体"/>
          <w:color w:val="auto"/>
          <w:szCs w:val="21"/>
          <w:highlight w:val="none"/>
        </w:rPr>
      </w:pPr>
    </w:p>
    <w:p w14:paraId="716FB2B8">
      <w:pPr>
        <w:spacing w:line="400" w:lineRule="exact"/>
        <w:jc w:val="right"/>
        <w:rPr>
          <w:rFonts w:ascii="宋体" w:hAnsi="宋体" w:cs="宋体"/>
          <w:color w:val="auto"/>
          <w:szCs w:val="21"/>
          <w:highlight w:val="none"/>
        </w:rPr>
      </w:pPr>
      <w:r>
        <w:rPr>
          <w:rFonts w:hint="eastAsia" w:ascii="宋体" w:hAnsi="宋体" w:cs="宋体"/>
          <w:color w:val="auto"/>
          <w:szCs w:val="21"/>
          <w:highlight w:val="none"/>
        </w:rPr>
        <w:t xml:space="preserve">年   月    日 </w:t>
      </w:r>
    </w:p>
    <w:p w14:paraId="35BBA6F1">
      <w:pPr>
        <w:pStyle w:val="11"/>
        <w:rPr>
          <w:rFonts w:cs="宋体"/>
          <w:color w:val="auto"/>
          <w:szCs w:val="21"/>
          <w:highlight w:val="none"/>
        </w:rPr>
      </w:pPr>
    </w:p>
    <w:p w14:paraId="68441148">
      <w:pPr>
        <w:pStyle w:val="11"/>
        <w:rPr>
          <w:rFonts w:cs="宋体"/>
          <w:color w:val="auto"/>
          <w:szCs w:val="21"/>
          <w:highlight w:val="none"/>
        </w:rPr>
      </w:pPr>
    </w:p>
    <w:p w14:paraId="114DCC88">
      <w:pPr>
        <w:pStyle w:val="11"/>
        <w:rPr>
          <w:rFonts w:cs="宋体"/>
          <w:color w:val="auto"/>
          <w:szCs w:val="21"/>
          <w:highlight w:val="none"/>
        </w:rPr>
      </w:pPr>
    </w:p>
    <w:p w14:paraId="41D5C835">
      <w:pPr>
        <w:pStyle w:val="11"/>
        <w:rPr>
          <w:rFonts w:cs="宋体"/>
          <w:color w:val="auto"/>
          <w:szCs w:val="21"/>
          <w:highlight w:val="none"/>
        </w:rPr>
      </w:pPr>
    </w:p>
    <w:p w14:paraId="2946F953">
      <w:pPr>
        <w:pStyle w:val="11"/>
        <w:rPr>
          <w:rFonts w:cs="宋体"/>
          <w:color w:val="auto"/>
          <w:szCs w:val="21"/>
          <w:highlight w:val="none"/>
        </w:rPr>
      </w:pPr>
      <w:r>
        <w:rPr>
          <w:rFonts w:cs="宋体"/>
          <w:color w:val="auto"/>
          <w:highlight w:val="none"/>
          <w:lang w:val="en-US"/>
        </w:rPr>
        <mc:AlternateContent>
          <mc:Choice Requires="wps">
            <w:drawing>
              <wp:inline distT="0" distB="0" distL="0" distR="0">
                <wp:extent cx="5952490" cy="1584325"/>
                <wp:effectExtent l="4445" t="4445" r="17145" b="11430"/>
                <wp:docPr id="1" name="1051"/>
                <wp:cNvGraphicFramePr/>
                <a:graphic xmlns:a="http://schemas.openxmlformats.org/drawingml/2006/main">
                  <a:graphicData uri="http://schemas.microsoft.com/office/word/2010/wordprocessingShape">
                    <wps:wsp>
                      <wps:cNvSpPr/>
                      <wps:spPr>
                        <a:xfrm>
                          <a:off x="0" y="0"/>
                          <a:ext cx="595249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B388E3A">
                            <w:pPr>
                              <w:pStyle w:val="7"/>
                              <w:jc w:val="center"/>
                              <w:rPr>
                                <w:rFonts w:ascii="宋体" w:hAnsi="宋体" w:cs="宋体"/>
                              </w:rPr>
                            </w:pPr>
                            <w:r>
                              <w:rPr>
                                <w:rFonts w:hint="eastAsia" w:ascii="宋体" w:hAnsi="宋体" w:cs="宋体"/>
                              </w:rPr>
                              <w:t>法定代表人身份证</w:t>
                            </w:r>
                          </w:p>
                        </w:txbxContent>
                      </wps:txbx>
                      <wps:bodyPr upright="1"/>
                    </wps:wsp>
                  </a:graphicData>
                </a:graphic>
              </wp:inline>
            </w:drawing>
          </mc:Choice>
          <mc:Fallback>
            <w:pict>
              <v:shape id="1051" o:spid="_x0000_s1026" o:spt="176" type="#_x0000_t176" style="height:124.75pt;width:468.7pt;" fillcolor="#FFFFFF" filled="t" stroked="t" coordsize="21600,21600" o:gfxdata="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j+WLfVAAAABQEAAA8AAAAAAAAAAQAgAAAAIgAAAGRycy9kb3ducmV2&#10;LnhtbFBLAQIUABQAAAAIAIdO4kDXLRDZ/wEAADsEAAAOAAAAAAAAAAEAIAAAACQBAABkcnMvZTJv&#10;RG9jLnhtbFBLBQYAAAAABgAGAFkBAACVBQAAAAA=&#10;">
                <v:fill on="t" focussize="0,0"/>
                <v:stroke color="#000000" joinstyle="miter"/>
                <v:imagedata o:title=""/>
                <o:lock v:ext="edit" aspectratio="f"/>
                <v:textbox>
                  <w:txbxContent>
                    <w:p w14:paraId="3B388E3A">
                      <w:pPr>
                        <w:pStyle w:val="7"/>
                        <w:jc w:val="center"/>
                        <w:rPr>
                          <w:rFonts w:ascii="宋体" w:hAnsi="宋体" w:cs="宋体"/>
                        </w:rPr>
                      </w:pPr>
                      <w:r>
                        <w:rPr>
                          <w:rFonts w:hint="eastAsia" w:ascii="宋体" w:hAnsi="宋体" w:cs="宋体"/>
                        </w:rPr>
                        <w:t>法定代表人身份证</w:t>
                      </w:r>
                    </w:p>
                  </w:txbxContent>
                </v:textbox>
                <w10:wrap type="none"/>
                <w10:anchorlock/>
              </v:shape>
            </w:pict>
          </mc:Fallback>
        </mc:AlternateContent>
      </w:r>
    </w:p>
    <w:p w14:paraId="5C851BBF">
      <w:pPr>
        <w:pStyle w:val="11"/>
        <w:rPr>
          <w:rFonts w:cs="宋体"/>
          <w:color w:val="auto"/>
          <w:szCs w:val="21"/>
          <w:highlight w:val="none"/>
        </w:rPr>
      </w:pPr>
    </w:p>
    <w:p w14:paraId="668C7261">
      <w:pPr>
        <w:pStyle w:val="11"/>
        <w:rPr>
          <w:rFonts w:cs="宋体"/>
          <w:color w:val="auto"/>
          <w:szCs w:val="21"/>
          <w:highlight w:val="none"/>
        </w:rPr>
      </w:pPr>
      <w:r>
        <w:rPr>
          <w:rFonts w:hint="eastAsia" w:cs="宋体"/>
          <w:color w:val="auto"/>
          <w:kern w:val="1"/>
          <w:szCs w:val="21"/>
          <w:highlight w:val="none"/>
          <w:u w:val="single"/>
        </w:rPr>
        <w:t>注：若为联合体投标，由联合体牵头单位出具。</w:t>
      </w:r>
    </w:p>
    <w:p w14:paraId="390498DB">
      <w:pPr>
        <w:pStyle w:val="11"/>
        <w:rPr>
          <w:rFonts w:cs="宋体"/>
          <w:color w:val="auto"/>
          <w:szCs w:val="21"/>
          <w:highlight w:val="none"/>
        </w:rPr>
      </w:pPr>
    </w:p>
    <w:p w14:paraId="2224130D">
      <w:pPr>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法人授权委托证明书</w:t>
      </w:r>
    </w:p>
    <w:p w14:paraId="49CDAC1D">
      <w:pPr>
        <w:spacing w:line="400" w:lineRule="exact"/>
        <w:rPr>
          <w:rFonts w:ascii="宋体" w:hAnsi="宋体" w:cs="宋体"/>
          <w:color w:val="auto"/>
          <w:sz w:val="20"/>
          <w:szCs w:val="20"/>
          <w:highlight w:val="none"/>
        </w:rPr>
      </w:pPr>
    </w:p>
    <w:p w14:paraId="3DAEF2D7">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本人       （姓名）系      （投标人名称）的法定代表人，现委托      （姓名）为我方代理人。代理人根据授权，以我方名义签署、澄清、说明、补正、递交、撤回、修改（项目名称）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投标文件、签订合同和处理有关事宜，其法律后果由我方承担。</w:t>
      </w:r>
    </w:p>
    <w:p w14:paraId="3F95E9B8">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2CF8F9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14:paraId="699FD98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附：法定代表人身份证明、代理人身份证明</w:t>
      </w:r>
    </w:p>
    <w:p w14:paraId="71920939">
      <w:pPr>
        <w:spacing w:line="400" w:lineRule="exact"/>
        <w:jc w:val="right"/>
        <w:rPr>
          <w:rFonts w:ascii="宋体" w:hAnsi="宋体" w:cs="宋体"/>
          <w:color w:val="auto"/>
          <w:szCs w:val="21"/>
          <w:highlight w:val="none"/>
        </w:rPr>
      </w:pPr>
      <w:r>
        <w:rPr>
          <w:rFonts w:hint="eastAsia" w:ascii="宋体" w:hAnsi="宋体" w:cs="宋体"/>
          <w:color w:val="auto"/>
          <w:szCs w:val="21"/>
          <w:highlight w:val="none"/>
        </w:rPr>
        <w:t>投标人：               （盖单位章）</w:t>
      </w:r>
    </w:p>
    <w:p w14:paraId="089EAA88">
      <w:pPr>
        <w:wordWrap w:val="0"/>
        <w:spacing w:line="400" w:lineRule="exact"/>
        <w:jc w:val="right"/>
        <w:rPr>
          <w:rFonts w:ascii="宋体" w:hAnsi="宋体" w:cs="宋体"/>
          <w:color w:val="auto"/>
          <w:szCs w:val="21"/>
          <w:highlight w:val="none"/>
        </w:rPr>
      </w:pPr>
      <w:r>
        <w:rPr>
          <w:rFonts w:hint="eastAsia" w:ascii="宋体" w:hAnsi="宋体" w:cs="宋体"/>
          <w:color w:val="auto"/>
          <w:szCs w:val="21"/>
          <w:highlight w:val="none"/>
        </w:rPr>
        <w:t>法定代表人：             （签字或盖章）</w:t>
      </w:r>
    </w:p>
    <w:p w14:paraId="7D682E03">
      <w:pPr>
        <w:wordWrap w:val="0"/>
        <w:spacing w:line="400" w:lineRule="exact"/>
        <w:jc w:val="right"/>
        <w:rPr>
          <w:rFonts w:ascii="宋体" w:hAnsi="宋体" w:cs="宋体"/>
          <w:color w:val="auto"/>
          <w:szCs w:val="21"/>
          <w:highlight w:val="none"/>
        </w:rPr>
      </w:pPr>
      <w:r>
        <w:rPr>
          <w:rFonts w:hint="eastAsia" w:ascii="宋体" w:hAnsi="宋体" w:cs="宋体"/>
          <w:color w:val="auto"/>
          <w:szCs w:val="21"/>
          <w:highlight w:val="none"/>
        </w:rPr>
        <w:t xml:space="preserve">身份证号码：                           </w:t>
      </w:r>
    </w:p>
    <w:p w14:paraId="5BBA211F">
      <w:pPr>
        <w:wordWrap w:val="0"/>
        <w:spacing w:line="400" w:lineRule="exact"/>
        <w:jc w:val="right"/>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签字或盖章） </w:t>
      </w:r>
    </w:p>
    <w:p w14:paraId="0AE0E2F0">
      <w:pPr>
        <w:wordWrap w:val="0"/>
        <w:spacing w:line="400" w:lineRule="exact"/>
        <w:jc w:val="right"/>
        <w:rPr>
          <w:rFonts w:ascii="宋体" w:hAnsi="宋体" w:cs="宋体"/>
          <w:color w:val="auto"/>
          <w:szCs w:val="21"/>
          <w:highlight w:val="none"/>
        </w:rPr>
      </w:pPr>
      <w:r>
        <w:rPr>
          <w:rFonts w:hint="eastAsia" w:ascii="宋体" w:hAnsi="宋体" w:cs="宋体"/>
          <w:color w:val="auto"/>
          <w:szCs w:val="21"/>
          <w:highlight w:val="none"/>
        </w:rPr>
        <w:t>身份证号码：</w:t>
      </w:r>
      <w:bookmarkStart w:id="657" w:name="_Hlk55921123"/>
      <w:r>
        <w:rPr>
          <w:rFonts w:hint="eastAsia" w:ascii="宋体" w:hAnsi="宋体" w:cs="宋体"/>
          <w:color w:val="auto"/>
          <w:szCs w:val="21"/>
          <w:highlight w:val="none"/>
        </w:rPr>
        <w:t xml:space="preserve">                           </w:t>
      </w:r>
    </w:p>
    <w:p w14:paraId="01244B0D">
      <w:pPr>
        <w:spacing w:line="400" w:lineRule="exact"/>
        <w:ind w:firstLine="1575" w:firstLineChars="750"/>
        <w:jc w:val="right"/>
        <w:rPr>
          <w:rFonts w:ascii="宋体" w:hAnsi="宋体" w:cs="宋体"/>
          <w:color w:val="auto"/>
          <w:szCs w:val="21"/>
          <w:highlight w:val="none"/>
        </w:rPr>
      </w:pPr>
      <w:r>
        <w:rPr>
          <w:rFonts w:hint="eastAsia" w:ascii="宋体" w:hAnsi="宋体" w:cs="宋体"/>
          <w:color w:val="auto"/>
          <w:szCs w:val="21"/>
          <w:highlight w:val="none"/>
        </w:rPr>
        <w:t>年</w:t>
      </w:r>
      <w:bookmarkEnd w:id="657"/>
      <w:r>
        <w:rPr>
          <w:rFonts w:hint="eastAsia" w:ascii="宋体" w:hAnsi="宋体" w:cs="宋体"/>
          <w:color w:val="auto"/>
          <w:szCs w:val="21"/>
          <w:highlight w:val="none"/>
        </w:rPr>
        <w:t xml:space="preserve">   月   日</w:t>
      </w:r>
    </w:p>
    <w:p w14:paraId="5A63CB66">
      <w:pPr>
        <w:rPr>
          <w:rFonts w:ascii="宋体" w:hAnsi="宋体" w:cs="宋体"/>
          <w:color w:val="auto"/>
          <w:highlight w:val="none"/>
        </w:rPr>
      </w:pPr>
      <w:r>
        <w:rPr>
          <w:rFonts w:ascii="宋体" w:hAnsi="宋体" w:cs="宋体"/>
          <w:color w:val="auto"/>
          <w:highlight w:val="none"/>
        </w:rPr>
        <mc:AlternateContent>
          <mc:Choice Requires="wps">
            <w:drawing>
              <wp:inline distT="0" distB="0" distL="0" distR="0">
                <wp:extent cx="5900420" cy="1584325"/>
                <wp:effectExtent l="4445" t="4445" r="8255" b="11430"/>
                <wp:docPr id="2" name="1053"/>
                <wp:cNvGraphicFramePr/>
                <a:graphic xmlns:a="http://schemas.openxmlformats.org/drawingml/2006/main">
                  <a:graphicData uri="http://schemas.microsoft.com/office/word/2010/wordprocessingShape">
                    <wps:wsp>
                      <wps:cNvSpPr/>
                      <wps:spPr>
                        <a:xfrm>
                          <a:off x="0" y="0"/>
                          <a:ext cx="590042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E9B2C82">
                            <w:pPr>
                              <w:pStyle w:val="7"/>
                              <w:jc w:val="center"/>
                              <w:rPr>
                                <w:rFonts w:ascii="宋体" w:hAnsi="宋体" w:cs="宋体"/>
                              </w:rPr>
                            </w:pPr>
                            <w:r>
                              <w:rPr>
                                <w:rFonts w:hint="eastAsia" w:ascii="宋体" w:hAnsi="宋体" w:cs="宋体"/>
                              </w:rPr>
                              <w:t>法定代表人身份证</w:t>
                            </w:r>
                          </w:p>
                        </w:txbxContent>
                      </wps:txbx>
                      <wps:bodyPr upright="1"/>
                    </wps:wsp>
                  </a:graphicData>
                </a:graphic>
              </wp:inline>
            </w:drawing>
          </mc:Choice>
          <mc:Fallback>
            <w:pict>
              <v:shape id="1053" o:spid="_x0000_s1026" o:spt="176" type="#_x0000_t176" style="height:124.75pt;width:464.6pt;" fillcolor="#FFFFFF" filled="t" stroked="t" coordsize="21600,21600" o:gfxdata="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VBjmx1AAAAAUBAAAPAAAAAAAAAAEAIAAAACIAAABkcnMvZG93bnJl&#10;di54bWxQSwECFAAUAAAACACHTuJArRwwrQECAAA7BAAADgAAAAAAAAABACAAAAAjAQAAZHJzL2Uy&#10;b0RvYy54bWxQSwUGAAAAAAYABgBZAQAAlgUAAAAA&#10;">
                <v:fill on="t" focussize="0,0"/>
                <v:stroke color="#000000" joinstyle="miter"/>
                <v:imagedata o:title=""/>
                <o:lock v:ext="edit" aspectratio="f"/>
                <v:textbox>
                  <w:txbxContent>
                    <w:p w14:paraId="1E9B2C82">
                      <w:pPr>
                        <w:pStyle w:val="7"/>
                        <w:jc w:val="center"/>
                        <w:rPr>
                          <w:rFonts w:ascii="宋体" w:hAnsi="宋体" w:cs="宋体"/>
                        </w:rPr>
                      </w:pPr>
                      <w:r>
                        <w:rPr>
                          <w:rFonts w:hint="eastAsia" w:ascii="宋体" w:hAnsi="宋体" w:cs="宋体"/>
                        </w:rPr>
                        <w:t>法定代表人身份证</w:t>
                      </w:r>
                    </w:p>
                  </w:txbxContent>
                </v:textbox>
                <w10:wrap type="none"/>
                <w10:anchorlock/>
              </v:shape>
            </w:pict>
          </mc:Fallback>
        </mc:AlternateContent>
      </w:r>
    </w:p>
    <w:p w14:paraId="56E0A165">
      <w:pPr>
        <w:rPr>
          <w:rFonts w:ascii="宋体" w:hAnsi="宋体" w:cs="宋体"/>
          <w:color w:val="auto"/>
          <w:highlight w:val="none"/>
        </w:rPr>
      </w:pPr>
    </w:p>
    <w:p w14:paraId="0EE667F9">
      <w:pPr>
        <w:rPr>
          <w:rFonts w:ascii="宋体" w:hAnsi="宋体" w:cs="宋体"/>
          <w:bCs/>
          <w:color w:val="auto"/>
          <w:szCs w:val="21"/>
          <w:highlight w:val="none"/>
          <w:u w:val="single"/>
        </w:rPr>
      </w:pPr>
      <w:r>
        <w:rPr>
          <w:rFonts w:ascii="宋体" w:hAnsi="宋体" w:cs="宋体"/>
          <w:color w:val="auto"/>
          <w:highlight w:val="none"/>
        </w:rPr>
        <mc:AlternateContent>
          <mc:Choice Requires="wps">
            <w:drawing>
              <wp:inline distT="0" distB="0" distL="0" distR="0">
                <wp:extent cx="5900420" cy="1584325"/>
                <wp:effectExtent l="4445" t="4445" r="8255" b="11430"/>
                <wp:docPr id="3" name="1055"/>
                <wp:cNvGraphicFramePr/>
                <a:graphic xmlns:a="http://schemas.openxmlformats.org/drawingml/2006/main">
                  <a:graphicData uri="http://schemas.microsoft.com/office/word/2010/wordprocessingShape">
                    <wps:wsp>
                      <wps:cNvSpPr/>
                      <wps:spPr>
                        <a:xfrm>
                          <a:off x="0" y="0"/>
                          <a:ext cx="590042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97078DF">
                            <w:pPr>
                              <w:pStyle w:val="7"/>
                              <w:jc w:val="center"/>
                              <w:rPr>
                                <w:rFonts w:ascii="宋体" w:hAnsi="宋体" w:cs="宋体"/>
                              </w:rPr>
                            </w:pPr>
                            <w:r>
                              <w:rPr>
                                <w:rFonts w:hint="eastAsia" w:ascii="宋体" w:hAnsi="宋体" w:cs="宋体"/>
                                <w:szCs w:val="21"/>
                              </w:rPr>
                              <w:t>代理人身份证</w:t>
                            </w:r>
                          </w:p>
                        </w:txbxContent>
                      </wps:txbx>
                      <wps:bodyPr upright="1"/>
                    </wps:wsp>
                  </a:graphicData>
                </a:graphic>
              </wp:inline>
            </w:drawing>
          </mc:Choice>
          <mc:Fallback>
            <w:pict>
              <v:shape id="1055" o:spid="_x0000_s1026" o:spt="176" type="#_x0000_t176" style="height:124.75pt;width:464.6pt;" fillcolor="#FFFFFF" filled="t" stroked="t" coordsize="21600,21600" o:gfxdata="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QY5sdQAAAAFAQAADwAAAAAAAAABACAAAAAiAAAAZHJzL2Rvd25y&#10;ZXYueG1sUEsBAhQAFAAAAAgAh07iQFZqMY0CAgAAOwQAAA4AAAAAAAAAAQAgAAAAIwEAAGRycy9l&#10;Mm9Eb2MueG1sUEsFBgAAAAAGAAYAWQEAAJcFAAAAAA==&#10;">
                <v:fill on="t" focussize="0,0"/>
                <v:stroke color="#000000" joinstyle="miter"/>
                <v:imagedata o:title=""/>
                <o:lock v:ext="edit" aspectratio="f"/>
                <v:textbox>
                  <w:txbxContent>
                    <w:p w14:paraId="697078DF">
                      <w:pPr>
                        <w:pStyle w:val="7"/>
                        <w:jc w:val="center"/>
                        <w:rPr>
                          <w:rFonts w:ascii="宋体" w:hAnsi="宋体" w:cs="宋体"/>
                        </w:rPr>
                      </w:pPr>
                      <w:r>
                        <w:rPr>
                          <w:rFonts w:hint="eastAsia" w:ascii="宋体" w:hAnsi="宋体" w:cs="宋体"/>
                          <w:szCs w:val="21"/>
                        </w:rPr>
                        <w:t>代理人身份证</w:t>
                      </w:r>
                    </w:p>
                  </w:txbxContent>
                </v:textbox>
                <w10:wrap type="none"/>
                <w10:anchorlock/>
              </v:shape>
            </w:pict>
          </mc:Fallback>
        </mc:AlternateContent>
      </w:r>
    </w:p>
    <w:p w14:paraId="45F8CF9F">
      <w:pPr>
        <w:pStyle w:val="18"/>
        <w:rPr>
          <w:rFonts w:ascii="宋体" w:hAnsi="宋体" w:cs="宋体"/>
          <w:bCs/>
          <w:color w:val="auto"/>
          <w:kern w:val="0"/>
          <w:szCs w:val="21"/>
          <w:highlight w:val="none"/>
          <w:u w:val="single"/>
        </w:rPr>
      </w:pPr>
    </w:p>
    <w:p w14:paraId="0BB64DB7">
      <w:pPr>
        <w:pStyle w:val="18"/>
        <w:rPr>
          <w:rFonts w:ascii="宋体" w:hAnsi="宋体" w:cs="宋体"/>
          <w:color w:val="auto"/>
          <w:szCs w:val="21"/>
          <w:highlight w:val="none"/>
          <w:u w:val="single"/>
        </w:rPr>
      </w:pPr>
      <w:r>
        <w:rPr>
          <w:rFonts w:hint="eastAsia" w:ascii="宋体" w:hAnsi="宋体" w:cs="宋体"/>
          <w:color w:val="auto"/>
          <w:szCs w:val="21"/>
          <w:highlight w:val="none"/>
          <w:u w:val="single"/>
        </w:rPr>
        <w:t>注：若为联合体投标，由联合体牵头单位出具。</w:t>
      </w:r>
    </w:p>
    <w:p w14:paraId="5EF1AAE3">
      <w:pPr>
        <w:pStyle w:val="18"/>
        <w:rPr>
          <w:rFonts w:ascii="宋体" w:hAnsi="宋体" w:cs="宋体"/>
          <w:color w:val="auto"/>
          <w:szCs w:val="21"/>
          <w:highlight w:val="none"/>
          <w:u w:val="single"/>
        </w:rPr>
      </w:pPr>
    </w:p>
    <w:p w14:paraId="143D1CCA">
      <w:pPr>
        <w:pStyle w:val="18"/>
        <w:rPr>
          <w:rFonts w:ascii="宋体" w:hAnsi="宋体" w:cs="宋体"/>
          <w:color w:val="auto"/>
          <w:szCs w:val="21"/>
          <w:highlight w:val="none"/>
          <w:u w:val="single"/>
        </w:rPr>
      </w:pPr>
    </w:p>
    <w:p w14:paraId="333724F2">
      <w:pPr>
        <w:pStyle w:val="18"/>
        <w:rPr>
          <w:rFonts w:ascii="宋体" w:hAnsi="宋体" w:cs="宋体"/>
          <w:color w:val="auto"/>
          <w:szCs w:val="21"/>
          <w:highlight w:val="none"/>
          <w:u w:val="single"/>
        </w:rPr>
      </w:pPr>
    </w:p>
    <w:p w14:paraId="0487A776">
      <w:pPr>
        <w:pStyle w:val="18"/>
        <w:rPr>
          <w:rFonts w:ascii="宋体" w:hAnsi="宋体" w:cs="宋体"/>
          <w:color w:val="auto"/>
          <w:szCs w:val="21"/>
          <w:highlight w:val="none"/>
          <w:u w:val="single"/>
        </w:rPr>
      </w:pPr>
    </w:p>
    <w:p w14:paraId="2103108F">
      <w:pPr>
        <w:pStyle w:val="18"/>
        <w:rPr>
          <w:rFonts w:ascii="宋体" w:hAnsi="宋体" w:cs="宋体"/>
          <w:color w:val="auto"/>
          <w:szCs w:val="21"/>
          <w:highlight w:val="none"/>
          <w:u w:val="single"/>
        </w:rPr>
      </w:pPr>
    </w:p>
    <w:p w14:paraId="6EB63B50">
      <w:pPr>
        <w:widowControl/>
        <w:numPr>
          <w:ilvl w:val="0"/>
          <w:numId w:val="4"/>
        </w:numPr>
        <w:ind w:left="0"/>
        <w:jc w:val="left"/>
        <w:rPr>
          <w:rFonts w:ascii="宋体" w:hAnsi="宋体" w:cs="宋体"/>
          <w:b/>
          <w:bCs/>
          <w:color w:val="auto"/>
          <w:highlight w:val="none"/>
        </w:rPr>
      </w:pPr>
    </w:p>
    <w:p w14:paraId="32E4673C">
      <w:pPr>
        <w:widowControl/>
        <w:rPr>
          <w:rFonts w:ascii="宋体" w:hAnsi="宋体" w:cs="宋体"/>
          <w:b/>
          <w:bCs/>
          <w:color w:val="auto"/>
          <w:sz w:val="32"/>
          <w:szCs w:val="32"/>
          <w:highlight w:val="none"/>
          <w:lang w:val="zh-CN"/>
        </w:rPr>
      </w:pPr>
    </w:p>
    <w:p w14:paraId="12F8D676">
      <w:pPr>
        <w:widowControl/>
        <w:ind w:left="496"/>
        <w:jc w:val="center"/>
        <w:rPr>
          <w:rFonts w:ascii="宋体" w:hAnsi="宋体" w:cs="宋体"/>
          <w:b/>
          <w:bCs/>
          <w:color w:val="auto"/>
          <w:highlight w:val="none"/>
        </w:rPr>
      </w:pPr>
      <w:r>
        <w:rPr>
          <w:rFonts w:hint="eastAsia" w:ascii="宋体" w:hAnsi="宋体" w:cs="宋体"/>
          <w:b/>
          <w:bCs/>
          <w:color w:val="auto"/>
          <w:sz w:val="32"/>
          <w:szCs w:val="32"/>
          <w:highlight w:val="none"/>
          <w:lang w:val="zh-CN"/>
        </w:rPr>
        <w:t>拟投入本项目人员一览表</w:t>
      </w:r>
    </w:p>
    <w:tbl>
      <w:tblPr>
        <w:tblStyle w:val="2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388"/>
        <w:gridCol w:w="1107"/>
        <w:gridCol w:w="964"/>
        <w:gridCol w:w="964"/>
        <w:gridCol w:w="1204"/>
        <w:gridCol w:w="1143"/>
        <w:gridCol w:w="1070"/>
        <w:gridCol w:w="1053"/>
      </w:tblGrid>
      <w:tr w14:paraId="3EE4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22" w:type="dxa"/>
            <w:vAlign w:val="center"/>
          </w:tcPr>
          <w:p w14:paraId="27BFD1DD">
            <w:pPr>
              <w:ind w:left="-63" w:leftChars="-30" w:right="-63" w:rightChars="-30"/>
              <w:jc w:val="center"/>
              <w:rPr>
                <w:rFonts w:ascii="宋体" w:hAnsi="宋体"/>
                <w:color w:val="auto"/>
                <w:highlight w:val="none"/>
              </w:rPr>
            </w:pPr>
            <w:r>
              <w:rPr>
                <w:rFonts w:ascii="宋体" w:hAnsi="宋体"/>
                <w:color w:val="auto"/>
                <w:highlight w:val="none"/>
              </w:rPr>
              <w:t>序号</w:t>
            </w:r>
          </w:p>
        </w:tc>
        <w:tc>
          <w:tcPr>
            <w:tcW w:w="1388" w:type="dxa"/>
            <w:vAlign w:val="center"/>
          </w:tcPr>
          <w:p w14:paraId="35BB8BB6">
            <w:pPr>
              <w:ind w:left="-63" w:leftChars="-30" w:right="-63" w:rightChars="-30"/>
              <w:jc w:val="center"/>
              <w:rPr>
                <w:rFonts w:ascii="宋体" w:hAnsi="宋体"/>
                <w:color w:val="auto"/>
                <w:highlight w:val="none"/>
              </w:rPr>
            </w:pPr>
            <w:r>
              <w:rPr>
                <w:rFonts w:ascii="宋体" w:hAnsi="宋体"/>
                <w:color w:val="auto"/>
                <w:highlight w:val="none"/>
              </w:rPr>
              <w:t>拟在本项目任职</w:t>
            </w:r>
          </w:p>
        </w:tc>
        <w:tc>
          <w:tcPr>
            <w:tcW w:w="1107" w:type="dxa"/>
            <w:vAlign w:val="center"/>
          </w:tcPr>
          <w:p w14:paraId="47F67C4A">
            <w:pPr>
              <w:ind w:left="-63" w:leftChars="-30" w:right="-63" w:rightChars="-30"/>
              <w:jc w:val="center"/>
              <w:rPr>
                <w:rFonts w:ascii="宋体" w:hAnsi="宋体"/>
                <w:color w:val="auto"/>
                <w:highlight w:val="none"/>
              </w:rPr>
            </w:pPr>
            <w:r>
              <w:rPr>
                <w:rFonts w:ascii="宋体" w:hAnsi="宋体"/>
                <w:color w:val="auto"/>
                <w:highlight w:val="none"/>
              </w:rPr>
              <w:t>姓名</w:t>
            </w:r>
          </w:p>
        </w:tc>
        <w:tc>
          <w:tcPr>
            <w:tcW w:w="964" w:type="dxa"/>
            <w:vAlign w:val="center"/>
          </w:tcPr>
          <w:p w14:paraId="1F19FAF7">
            <w:pPr>
              <w:ind w:left="-63" w:leftChars="-30" w:right="-63" w:rightChars="-30"/>
              <w:jc w:val="center"/>
              <w:rPr>
                <w:rFonts w:ascii="宋体" w:hAnsi="宋体"/>
                <w:color w:val="auto"/>
                <w:highlight w:val="none"/>
              </w:rPr>
            </w:pPr>
            <w:r>
              <w:rPr>
                <w:rFonts w:ascii="宋体" w:hAnsi="宋体"/>
                <w:color w:val="auto"/>
                <w:highlight w:val="none"/>
              </w:rPr>
              <w:t>年龄</w:t>
            </w:r>
          </w:p>
        </w:tc>
        <w:tc>
          <w:tcPr>
            <w:tcW w:w="964" w:type="dxa"/>
            <w:vAlign w:val="center"/>
          </w:tcPr>
          <w:p w14:paraId="7837BF38">
            <w:pPr>
              <w:ind w:left="-63" w:leftChars="-30" w:right="-63" w:rightChars="-30"/>
              <w:jc w:val="center"/>
              <w:rPr>
                <w:rFonts w:ascii="宋体" w:hAnsi="宋体"/>
                <w:color w:val="auto"/>
                <w:highlight w:val="none"/>
              </w:rPr>
            </w:pPr>
            <w:r>
              <w:rPr>
                <w:rFonts w:ascii="宋体" w:hAnsi="宋体"/>
                <w:color w:val="auto"/>
                <w:highlight w:val="none"/>
              </w:rPr>
              <w:t>专业</w:t>
            </w:r>
          </w:p>
        </w:tc>
        <w:tc>
          <w:tcPr>
            <w:tcW w:w="1204" w:type="dxa"/>
            <w:vAlign w:val="center"/>
          </w:tcPr>
          <w:p w14:paraId="49FA5442">
            <w:pPr>
              <w:ind w:left="-63" w:leftChars="-30" w:right="-63" w:rightChars="-30"/>
              <w:jc w:val="center"/>
              <w:rPr>
                <w:rFonts w:ascii="宋体" w:hAnsi="宋体"/>
                <w:color w:val="auto"/>
                <w:highlight w:val="none"/>
              </w:rPr>
            </w:pPr>
            <w:r>
              <w:rPr>
                <w:rFonts w:ascii="宋体" w:hAnsi="宋体"/>
                <w:color w:val="auto"/>
                <w:highlight w:val="none"/>
              </w:rPr>
              <w:t>职称</w:t>
            </w:r>
            <w:r>
              <w:rPr>
                <w:rFonts w:hint="eastAsia" w:ascii="宋体" w:hAnsi="宋体"/>
                <w:color w:val="auto"/>
                <w:highlight w:val="none"/>
              </w:rPr>
              <w:t>或职业资格</w:t>
            </w:r>
          </w:p>
        </w:tc>
        <w:tc>
          <w:tcPr>
            <w:tcW w:w="1143" w:type="dxa"/>
            <w:vAlign w:val="center"/>
          </w:tcPr>
          <w:p w14:paraId="66F1CEBC">
            <w:pPr>
              <w:pStyle w:val="29"/>
              <w:adjustRightInd w:val="0"/>
              <w:snapToGrid w:val="0"/>
              <w:spacing w:line="240" w:lineRule="auto"/>
              <w:ind w:left="-63" w:leftChars="-30" w:right="-63" w:rightChars="-30"/>
              <w:rPr>
                <w:rFonts w:ascii="宋体" w:hAnsi="宋体" w:eastAsia="宋体"/>
                <w:color w:val="auto"/>
                <w:kern w:val="2"/>
                <w:sz w:val="21"/>
                <w:highlight w:val="none"/>
              </w:rPr>
            </w:pPr>
            <w:r>
              <w:rPr>
                <w:rFonts w:hint="eastAsia" w:ascii="宋体" w:hAnsi="宋体" w:eastAsia="宋体"/>
                <w:color w:val="auto"/>
                <w:kern w:val="2"/>
                <w:sz w:val="21"/>
                <w:highlight w:val="none"/>
              </w:rPr>
              <w:t>计划</w:t>
            </w:r>
            <w:r>
              <w:rPr>
                <w:rFonts w:ascii="宋体" w:hAnsi="宋体" w:eastAsia="宋体"/>
                <w:color w:val="auto"/>
                <w:kern w:val="2"/>
                <w:sz w:val="21"/>
                <w:highlight w:val="none"/>
              </w:rPr>
              <w:t>进场时间</w:t>
            </w:r>
          </w:p>
        </w:tc>
        <w:tc>
          <w:tcPr>
            <w:tcW w:w="1070" w:type="dxa"/>
            <w:vAlign w:val="center"/>
          </w:tcPr>
          <w:p w14:paraId="40091028">
            <w:pPr>
              <w:ind w:left="-63" w:leftChars="-30" w:right="-63" w:rightChars="-30"/>
              <w:jc w:val="center"/>
              <w:rPr>
                <w:rFonts w:ascii="宋体" w:hAnsi="宋体"/>
                <w:color w:val="auto"/>
                <w:highlight w:val="none"/>
              </w:rPr>
            </w:pPr>
            <w:r>
              <w:rPr>
                <w:rFonts w:hint="eastAsia" w:ascii="宋体" w:hAnsi="宋体"/>
                <w:color w:val="auto"/>
                <w:highlight w:val="none"/>
              </w:rPr>
              <w:t>计划</w:t>
            </w:r>
            <w:r>
              <w:rPr>
                <w:rFonts w:ascii="宋体" w:hAnsi="宋体"/>
                <w:color w:val="auto"/>
                <w:highlight w:val="none"/>
              </w:rPr>
              <w:t>退场时间</w:t>
            </w:r>
          </w:p>
        </w:tc>
        <w:tc>
          <w:tcPr>
            <w:tcW w:w="1053" w:type="dxa"/>
            <w:vAlign w:val="center"/>
          </w:tcPr>
          <w:p w14:paraId="732C790D">
            <w:pPr>
              <w:ind w:left="-63" w:leftChars="-30" w:right="-63" w:rightChars="-30"/>
              <w:jc w:val="center"/>
              <w:rPr>
                <w:rFonts w:ascii="宋体" w:hAnsi="宋体"/>
                <w:color w:val="auto"/>
                <w:highlight w:val="none"/>
              </w:rPr>
            </w:pPr>
            <w:r>
              <w:rPr>
                <w:rFonts w:ascii="宋体" w:hAnsi="宋体"/>
                <w:color w:val="auto"/>
                <w:highlight w:val="none"/>
              </w:rPr>
              <w:t>固定</w:t>
            </w:r>
          </w:p>
          <w:p w14:paraId="3C3F624F">
            <w:pPr>
              <w:ind w:left="-63" w:leftChars="-30" w:right="-63" w:rightChars="-30"/>
              <w:jc w:val="center"/>
              <w:rPr>
                <w:rFonts w:ascii="宋体" w:hAnsi="宋体"/>
                <w:color w:val="auto"/>
                <w:highlight w:val="none"/>
              </w:rPr>
            </w:pPr>
            <w:r>
              <w:rPr>
                <w:rFonts w:ascii="宋体" w:hAnsi="宋体"/>
                <w:color w:val="auto"/>
                <w:highlight w:val="none"/>
              </w:rPr>
              <w:t>/聘用</w:t>
            </w:r>
          </w:p>
        </w:tc>
      </w:tr>
      <w:tr w14:paraId="5718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2" w:type="dxa"/>
            <w:vAlign w:val="center"/>
          </w:tcPr>
          <w:p w14:paraId="080B54FE">
            <w:pPr>
              <w:ind w:left="-63" w:leftChars="-30" w:right="-63" w:rightChars="-30"/>
              <w:jc w:val="center"/>
              <w:rPr>
                <w:rFonts w:ascii="宋体" w:hAnsi="宋体"/>
                <w:color w:val="auto"/>
                <w:highlight w:val="none"/>
              </w:rPr>
            </w:pPr>
          </w:p>
        </w:tc>
        <w:tc>
          <w:tcPr>
            <w:tcW w:w="1388" w:type="dxa"/>
            <w:vAlign w:val="center"/>
          </w:tcPr>
          <w:p w14:paraId="0E732031">
            <w:pPr>
              <w:ind w:left="-63" w:leftChars="-30" w:right="-63" w:rightChars="-30"/>
              <w:jc w:val="center"/>
              <w:rPr>
                <w:rFonts w:ascii="宋体" w:hAnsi="宋体"/>
                <w:color w:val="auto"/>
                <w:highlight w:val="none"/>
              </w:rPr>
            </w:pPr>
          </w:p>
        </w:tc>
        <w:tc>
          <w:tcPr>
            <w:tcW w:w="1107" w:type="dxa"/>
            <w:vAlign w:val="center"/>
          </w:tcPr>
          <w:p w14:paraId="750F4643">
            <w:pPr>
              <w:ind w:left="-63" w:leftChars="-30" w:right="-63" w:rightChars="-30"/>
              <w:jc w:val="center"/>
              <w:rPr>
                <w:rFonts w:ascii="宋体" w:hAnsi="宋体"/>
                <w:color w:val="auto"/>
                <w:highlight w:val="none"/>
              </w:rPr>
            </w:pPr>
          </w:p>
        </w:tc>
        <w:tc>
          <w:tcPr>
            <w:tcW w:w="964" w:type="dxa"/>
            <w:vAlign w:val="center"/>
          </w:tcPr>
          <w:p w14:paraId="1834842B">
            <w:pPr>
              <w:ind w:left="-63" w:leftChars="-30" w:right="-63" w:rightChars="-30"/>
              <w:jc w:val="center"/>
              <w:rPr>
                <w:rFonts w:ascii="宋体" w:hAnsi="宋体"/>
                <w:color w:val="auto"/>
                <w:highlight w:val="none"/>
              </w:rPr>
            </w:pPr>
          </w:p>
        </w:tc>
        <w:tc>
          <w:tcPr>
            <w:tcW w:w="964" w:type="dxa"/>
            <w:vAlign w:val="center"/>
          </w:tcPr>
          <w:p w14:paraId="7E4AB4C2">
            <w:pPr>
              <w:ind w:left="-63" w:leftChars="-30" w:right="-63" w:rightChars="-30"/>
              <w:jc w:val="center"/>
              <w:rPr>
                <w:rFonts w:ascii="宋体" w:hAnsi="宋体"/>
                <w:color w:val="auto"/>
                <w:highlight w:val="none"/>
              </w:rPr>
            </w:pPr>
          </w:p>
        </w:tc>
        <w:tc>
          <w:tcPr>
            <w:tcW w:w="1204" w:type="dxa"/>
            <w:vAlign w:val="center"/>
          </w:tcPr>
          <w:p w14:paraId="5BD424B6">
            <w:pPr>
              <w:ind w:left="-63" w:leftChars="-30" w:right="-63" w:rightChars="-30"/>
              <w:jc w:val="center"/>
              <w:rPr>
                <w:rFonts w:ascii="宋体" w:hAnsi="宋体"/>
                <w:color w:val="auto"/>
                <w:highlight w:val="none"/>
              </w:rPr>
            </w:pPr>
          </w:p>
        </w:tc>
        <w:tc>
          <w:tcPr>
            <w:tcW w:w="1143" w:type="dxa"/>
            <w:vAlign w:val="center"/>
          </w:tcPr>
          <w:p w14:paraId="42A2EAF2">
            <w:pPr>
              <w:ind w:left="-63" w:leftChars="-30" w:right="-63" w:rightChars="-30"/>
              <w:jc w:val="center"/>
              <w:rPr>
                <w:rFonts w:ascii="宋体" w:hAnsi="宋体"/>
                <w:color w:val="auto"/>
                <w:highlight w:val="none"/>
              </w:rPr>
            </w:pPr>
          </w:p>
        </w:tc>
        <w:tc>
          <w:tcPr>
            <w:tcW w:w="1070" w:type="dxa"/>
            <w:vAlign w:val="center"/>
          </w:tcPr>
          <w:p w14:paraId="59C52D9B">
            <w:pPr>
              <w:ind w:left="-63" w:leftChars="-30" w:right="-63" w:rightChars="-30"/>
              <w:jc w:val="center"/>
              <w:rPr>
                <w:rFonts w:ascii="宋体" w:hAnsi="宋体"/>
                <w:color w:val="auto"/>
                <w:highlight w:val="none"/>
              </w:rPr>
            </w:pPr>
          </w:p>
        </w:tc>
        <w:tc>
          <w:tcPr>
            <w:tcW w:w="1053" w:type="dxa"/>
            <w:vAlign w:val="center"/>
          </w:tcPr>
          <w:p w14:paraId="6880E4AE">
            <w:pPr>
              <w:ind w:left="-63" w:leftChars="-30" w:right="-63" w:rightChars="-30"/>
              <w:jc w:val="center"/>
              <w:rPr>
                <w:rFonts w:ascii="宋体" w:hAnsi="宋体"/>
                <w:color w:val="auto"/>
                <w:highlight w:val="none"/>
              </w:rPr>
            </w:pPr>
          </w:p>
        </w:tc>
      </w:tr>
      <w:tr w14:paraId="7386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2" w:type="dxa"/>
            <w:vAlign w:val="center"/>
          </w:tcPr>
          <w:p w14:paraId="6E7D6E43">
            <w:pPr>
              <w:ind w:left="-63" w:leftChars="-30" w:right="-63" w:rightChars="-30"/>
              <w:jc w:val="center"/>
              <w:rPr>
                <w:rFonts w:ascii="宋体" w:hAnsi="宋体"/>
                <w:color w:val="auto"/>
                <w:highlight w:val="none"/>
              </w:rPr>
            </w:pPr>
          </w:p>
        </w:tc>
        <w:tc>
          <w:tcPr>
            <w:tcW w:w="1388" w:type="dxa"/>
            <w:vAlign w:val="center"/>
          </w:tcPr>
          <w:p w14:paraId="3865696B">
            <w:pPr>
              <w:ind w:left="-63" w:leftChars="-30" w:right="-63" w:rightChars="-30"/>
              <w:jc w:val="center"/>
              <w:rPr>
                <w:rFonts w:ascii="宋体" w:hAnsi="宋体"/>
                <w:color w:val="auto"/>
                <w:highlight w:val="none"/>
              </w:rPr>
            </w:pPr>
          </w:p>
        </w:tc>
        <w:tc>
          <w:tcPr>
            <w:tcW w:w="1107" w:type="dxa"/>
            <w:vAlign w:val="center"/>
          </w:tcPr>
          <w:p w14:paraId="6A8703E0">
            <w:pPr>
              <w:ind w:left="-63" w:leftChars="-30" w:right="-63" w:rightChars="-30"/>
              <w:jc w:val="center"/>
              <w:rPr>
                <w:rFonts w:ascii="宋体" w:hAnsi="宋体"/>
                <w:color w:val="auto"/>
                <w:highlight w:val="none"/>
              </w:rPr>
            </w:pPr>
          </w:p>
        </w:tc>
        <w:tc>
          <w:tcPr>
            <w:tcW w:w="964" w:type="dxa"/>
            <w:vAlign w:val="center"/>
          </w:tcPr>
          <w:p w14:paraId="5D4ACE46">
            <w:pPr>
              <w:ind w:left="-63" w:leftChars="-30" w:right="-63" w:rightChars="-30"/>
              <w:jc w:val="center"/>
              <w:rPr>
                <w:rFonts w:ascii="宋体" w:hAnsi="宋体"/>
                <w:color w:val="auto"/>
                <w:highlight w:val="none"/>
              </w:rPr>
            </w:pPr>
          </w:p>
        </w:tc>
        <w:tc>
          <w:tcPr>
            <w:tcW w:w="964" w:type="dxa"/>
            <w:vAlign w:val="center"/>
          </w:tcPr>
          <w:p w14:paraId="71B56BF0">
            <w:pPr>
              <w:ind w:left="-63" w:leftChars="-30" w:right="-63" w:rightChars="-30"/>
              <w:jc w:val="center"/>
              <w:rPr>
                <w:rFonts w:ascii="宋体" w:hAnsi="宋体"/>
                <w:color w:val="auto"/>
                <w:highlight w:val="none"/>
              </w:rPr>
            </w:pPr>
          </w:p>
        </w:tc>
        <w:tc>
          <w:tcPr>
            <w:tcW w:w="1204" w:type="dxa"/>
            <w:vAlign w:val="center"/>
          </w:tcPr>
          <w:p w14:paraId="0B2B93B0">
            <w:pPr>
              <w:ind w:left="-63" w:leftChars="-30" w:right="-63" w:rightChars="-30"/>
              <w:jc w:val="center"/>
              <w:rPr>
                <w:rFonts w:ascii="宋体" w:hAnsi="宋体"/>
                <w:color w:val="auto"/>
                <w:highlight w:val="none"/>
              </w:rPr>
            </w:pPr>
          </w:p>
        </w:tc>
        <w:tc>
          <w:tcPr>
            <w:tcW w:w="1143" w:type="dxa"/>
            <w:vAlign w:val="center"/>
          </w:tcPr>
          <w:p w14:paraId="7CA345DB">
            <w:pPr>
              <w:ind w:left="-63" w:leftChars="-30" w:right="-63" w:rightChars="-30"/>
              <w:jc w:val="center"/>
              <w:rPr>
                <w:rFonts w:ascii="宋体" w:hAnsi="宋体"/>
                <w:color w:val="auto"/>
                <w:highlight w:val="none"/>
              </w:rPr>
            </w:pPr>
          </w:p>
        </w:tc>
        <w:tc>
          <w:tcPr>
            <w:tcW w:w="1070" w:type="dxa"/>
            <w:vAlign w:val="center"/>
          </w:tcPr>
          <w:p w14:paraId="47B57F01">
            <w:pPr>
              <w:ind w:left="-63" w:leftChars="-30" w:right="-63" w:rightChars="-30"/>
              <w:jc w:val="center"/>
              <w:rPr>
                <w:rFonts w:ascii="宋体" w:hAnsi="宋体"/>
                <w:color w:val="auto"/>
                <w:highlight w:val="none"/>
              </w:rPr>
            </w:pPr>
          </w:p>
        </w:tc>
        <w:tc>
          <w:tcPr>
            <w:tcW w:w="1053" w:type="dxa"/>
            <w:vAlign w:val="center"/>
          </w:tcPr>
          <w:p w14:paraId="7340C9AF">
            <w:pPr>
              <w:ind w:left="-63" w:leftChars="-30" w:right="-63" w:rightChars="-30"/>
              <w:jc w:val="center"/>
              <w:rPr>
                <w:rFonts w:ascii="宋体" w:hAnsi="宋体"/>
                <w:color w:val="auto"/>
                <w:highlight w:val="none"/>
              </w:rPr>
            </w:pPr>
          </w:p>
        </w:tc>
      </w:tr>
      <w:tr w14:paraId="5F62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2" w:type="dxa"/>
            <w:vAlign w:val="center"/>
          </w:tcPr>
          <w:p w14:paraId="6513C186">
            <w:pPr>
              <w:ind w:left="-63" w:leftChars="-30" w:right="-63" w:rightChars="-30"/>
              <w:jc w:val="center"/>
              <w:rPr>
                <w:rFonts w:ascii="宋体" w:hAnsi="宋体"/>
                <w:color w:val="auto"/>
                <w:highlight w:val="none"/>
              </w:rPr>
            </w:pPr>
          </w:p>
        </w:tc>
        <w:tc>
          <w:tcPr>
            <w:tcW w:w="1388" w:type="dxa"/>
            <w:vAlign w:val="center"/>
          </w:tcPr>
          <w:p w14:paraId="2041C3A7">
            <w:pPr>
              <w:ind w:left="-63" w:leftChars="-30" w:right="-63" w:rightChars="-30"/>
              <w:jc w:val="center"/>
              <w:rPr>
                <w:rFonts w:ascii="宋体" w:hAnsi="宋体"/>
                <w:color w:val="auto"/>
                <w:highlight w:val="none"/>
              </w:rPr>
            </w:pPr>
          </w:p>
        </w:tc>
        <w:tc>
          <w:tcPr>
            <w:tcW w:w="1107" w:type="dxa"/>
            <w:vAlign w:val="center"/>
          </w:tcPr>
          <w:p w14:paraId="46654D87">
            <w:pPr>
              <w:ind w:left="-63" w:leftChars="-30" w:right="-63" w:rightChars="-30"/>
              <w:jc w:val="center"/>
              <w:rPr>
                <w:rFonts w:ascii="宋体" w:hAnsi="宋体"/>
                <w:color w:val="auto"/>
                <w:highlight w:val="none"/>
              </w:rPr>
            </w:pPr>
          </w:p>
        </w:tc>
        <w:tc>
          <w:tcPr>
            <w:tcW w:w="964" w:type="dxa"/>
            <w:vAlign w:val="center"/>
          </w:tcPr>
          <w:p w14:paraId="77EAA1B5">
            <w:pPr>
              <w:ind w:left="-63" w:leftChars="-30" w:right="-63" w:rightChars="-30"/>
              <w:jc w:val="center"/>
              <w:rPr>
                <w:rFonts w:ascii="宋体" w:hAnsi="宋体"/>
                <w:color w:val="auto"/>
                <w:highlight w:val="none"/>
              </w:rPr>
            </w:pPr>
          </w:p>
        </w:tc>
        <w:tc>
          <w:tcPr>
            <w:tcW w:w="964" w:type="dxa"/>
            <w:vAlign w:val="center"/>
          </w:tcPr>
          <w:p w14:paraId="13D23FDC">
            <w:pPr>
              <w:ind w:left="-63" w:leftChars="-30" w:right="-63" w:rightChars="-30"/>
              <w:jc w:val="center"/>
              <w:rPr>
                <w:rFonts w:ascii="宋体" w:hAnsi="宋体"/>
                <w:color w:val="auto"/>
                <w:highlight w:val="none"/>
              </w:rPr>
            </w:pPr>
          </w:p>
        </w:tc>
        <w:tc>
          <w:tcPr>
            <w:tcW w:w="1204" w:type="dxa"/>
            <w:vAlign w:val="center"/>
          </w:tcPr>
          <w:p w14:paraId="638A883C">
            <w:pPr>
              <w:ind w:left="-63" w:leftChars="-30" w:right="-63" w:rightChars="-30"/>
              <w:jc w:val="center"/>
              <w:rPr>
                <w:rFonts w:ascii="宋体" w:hAnsi="宋体"/>
                <w:color w:val="auto"/>
                <w:highlight w:val="none"/>
              </w:rPr>
            </w:pPr>
          </w:p>
        </w:tc>
        <w:tc>
          <w:tcPr>
            <w:tcW w:w="1143" w:type="dxa"/>
            <w:vAlign w:val="center"/>
          </w:tcPr>
          <w:p w14:paraId="1CCF8A66">
            <w:pPr>
              <w:ind w:left="-63" w:leftChars="-30" w:right="-63" w:rightChars="-30"/>
              <w:jc w:val="center"/>
              <w:rPr>
                <w:rFonts w:ascii="宋体" w:hAnsi="宋体"/>
                <w:color w:val="auto"/>
                <w:highlight w:val="none"/>
              </w:rPr>
            </w:pPr>
          </w:p>
        </w:tc>
        <w:tc>
          <w:tcPr>
            <w:tcW w:w="1070" w:type="dxa"/>
            <w:vAlign w:val="center"/>
          </w:tcPr>
          <w:p w14:paraId="18954C5B">
            <w:pPr>
              <w:ind w:left="-63" w:leftChars="-30" w:right="-63" w:rightChars="-30"/>
              <w:jc w:val="center"/>
              <w:rPr>
                <w:rFonts w:ascii="宋体" w:hAnsi="宋体"/>
                <w:color w:val="auto"/>
                <w:highlight w:val="none"/>
              </w:rPr>
            </w:pPr>
          </w:p>
        </w:tc>
        <w:tc>
          <w:tcPr>
            <w:tcW w:w="1053" w:type="dxa"/>
            <w:vAlign w:val="center"/>
          </w:tcPr>
          <w:p w14:paraId="5B532545">
            <w:pPr>
              <w:ind w:left="-63" w:leftChars="-30" w:right="-63" w:rightChars="-30"/>
              <w:jc w:val="center"/>
              <w:rPr>
                <w:rFonts w:ascii="宋体" w:hAnsi="宋体"/>
                <w:color w:val="auto"/>
                <w:highlight w:val="none"/>
              </w:rPr>
            </w:pPr>
          </w:p>
        </w:tc>
      </w:tr>
      <w:tr w14:paraId="4307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2" w:type="dxa"/>
            <w:vAlign w:val="center"/>
          </w:tcPr>
          <w:p w14:paraId="71E109EC">
            <w:pPr>
              <w:ind w:left="-63" w:leftChars="-30" w:right="-63" w:rightChars="-30"/>
              <w:jc w:val="center"/>
              <w:rPr>
                <w:rFonts w:ascii="宋体" w:hAnsi="宋体"/>
                <w:color w:val="auto"/>
                <w:highlight w:val="none"/>
              </w:rPr>
            </w:pPr>
          </w:p>
        </w:tc>
        <w:tc>
          <w:tcPr>
            <w:tcW w:w="1388" w:type="dxa"/>
            <w:vAlign w:val="center"/>
          </w:tcPr>
          <w:p w14:paraId="10FE8916">
            <w:pPr>
              <w:ind w:left="-63" w:leftChars="-30" w:right="-63" w:rightChars="-30"/>
              <w:jc w:val="center"/>
              <w:rPr>
                <w:rFonts w:ascii="宋体" w:hAnsi="宋体"/>
                <w:color w:val="auto"/>
                <w:highlight w:val="none"/>
              </w:rPr>
            </w:pPr>
          </w:p>
        </w:tc>
        <w:tc>
          <w:tcPr>
            <w:tcW w:w="1107" w:type="dxa"/>
            <w:vAlign w:val="center"/>
          </w:tcPr>
          <w:p w14:paraId="6BDD7D6D">
            <w:pPr>
              <w:ind w:left="-63" w:leftChars="-30" w:right="-63" w:rightChars="-30"/>
              <w:jc w:val="center"/>
              <w:rPr>
                <w:rFonts w:ascii="宋体" w:hAnsi="宋体"/>
                <w:color w:val="auto"/>
                <w:highlight w:val="none"/>
              </w:rPr>
            </w:pPr>
          </w:p>
        </w:tc>
        <w:tc>
          <w:tcPr>
            <w:tcW w:w="964" w:type="dxa"/>
            <w:vAlign w:val="center"/>
          </w:tcPr>
          <w:p w14:paraId="376ECBF2">
            <w:pPr>
              <w:ind w:left="-63" w:leftChars="-30" w:right="-63" w:rightChars="-30"/>
              <w:jc w:val="center"/>
              <w:rPr>
                <w:rFonts w:ascii="宋体" w:hAnsi="宋体"/>
                <w:color w:val="auto"/>
                <w:highlight w:val="none"/>
              </w:rPr>
            </w:pPr>
          </w:p>
        </w:tc>
        <w:tc>
          <w:tcPr>
            <w:tcW w:w="964" w:type="dxa"/>
            <w:vAlign w:val="center"/>
          </w:tcPr>
          <w:p w14:paraId="001099A5">
            <w:pPr>
              <w:ind w:left="-63" w:leftChars="-30" w:right="-63" w:rightChars="-30"/>
              <w:jc w:val="center"/>
              <w:rPr>
                <w:rFonts w:ascii="宋体" w:hAnsi="宋体"/>
                <w:color w:val="auto"/>
                <w:highlight w:val="none"/>
              </w:rPr>
            </w:pPr>
          </w:p>
        </w:tc>
        <w:tc>
          <w:tcPr>
            <w:tcW w:w="1204" w:type="dxa"/>
            <w:vAlign w:val="center"/>
          </w:tcPr>
          <w:p w14:paraId="77BBECFC">
            <w:pPr>
              <w:ind w:left="-63" w:leftChars="-30" w:right="-63" w:rightChars="-30"/>
              <w:jc w:val="center"/>
              <w:rPr>
                <w:rFonts w:ascii="宋体" w:hAnsi="宋体"/>
                <w:color w:val="auto"/>
                <w:highlight w:val="none"/>
              </w:rPr>
            </w:pPr>
          </w:p>
        </w:tc>
        <w:tc>
          <w:tcPr>
            <w:tcW w:w="1143" w:type="dxa"/>
            <w:vAlign w:val="center"/>
          </w:tcPr>
          <w:p w14:paraId="588A1C17">
            <w:pPr>
              <w:ind w:left="-63" w:leftChars="-30" w:right="-63" w:rightChars="-30"/>
              <w:jc w:val="center"/>
              <w:rPr>
                <w:rFonts w:ascii="宋体" w:hAnsi="宋体"/>
                <w:color w:val="auto"/>
                <w:highlight w:val="none"/>
              </w:rPr>
            </w:pPr>
          </w:p>
        </w:tc>
        <w:tc>
          <w:tcPr>
            <w:tcW w:w="1070" w:type="dxa"/>
            <w:vAlign w:val="center"/>
          </w:tcPr>
          <w:p w14:paraId="10196430">
            <w:pPr>
              <w:ind w:left="-63" w:leftChars="-30" w:right="-63" w:rightChars="-30"/>
              <w:jc w:val="center"/>
              <w:rPr>
                <w:rFonts w:ascii="宋体" w:hAnsi="宋体"/>
                <w:color w:val="auto"/>
                <w:highlight w:val="none"/>
              </w:rPr>
            </w:pPr>
          </w:p>
        </w:tc>
        <w:tc>
          <w:tcPr>
            <w:tcW w:w="1053" w:type="dxa"/>
            <w:vAlign w:val="center"/>
          </w:tcPr>
          <w:p w14:paraId="0C16EA96">
            <w:pPr>
              <w:ind w:left="-63" w:leftChars="-30" w:right="-63" w:rightChars="-30"/>
              <w:jc w:val="center"/>
              <w:rPr>
                <w:rFonts w:ascii="宋体" w:hAnsi="宋体"/>
                <w:color w:val="auto"/>
                <w:highlight w:val="none"/>
              </w:rPr>
            </w:pPr>
          </w:p>
        </w:tc>
      </w:tr>
      <w:tr w14:paraId="3696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2" w:type="dxa"/>
            <w:vAlign w:val="center"/>
          </w:tcPr>
          <w:p w14:paraId="05C789D3">
            <w:pPr>
              <w:ind w:left="-63" w:leftChars="-30" w:right="-63" w:rightChars="-30"/>
              <w:jc w:val="center"/>
              <w:rPr>
                <w:rFonts w:ascii="宋体" w:hAnsi="宋体"/>
                <w:color w:val="auto"/>
                <w:highlight w:val="none"/>
              </w:rPr>
            </w:pPr>
          </w:p>
        </w:tc>
        <w:tc>
          <w:tcPr>
            <w:tcW w:w="1388" w:type="dxa"/>
            <w:vAlign w:val="center"/>
          </w:tcPr>
          <w:p w14:paraId="20E1B068">
            <w:pPr>
              <w:ind w:left="-63" w:leftChars="-30" w:right="-63" w:rightChars="-30"/>
              <w:jc w:val="center"/>
              <w:rPr>
                <w:rFonts w:ascii="宋体" w:hAnsi="宋体"/>
                <w:color w:val="auto"/>
                <w:highlight w:val="none"/>
              </w:rPr>
            </w:pPr>
          </w:p>
        </w:tc>
        <w:tc>
          <w:tcPr>
            <w:tcW w:w="1107" w:type="dxa"/>
            <w:vAlign w:val="center"/>
          </w:tcPr>
          <w:p w14:paraId="54EC3BB3">
            <w:pPr>
              <w:ind w:left="-63" w:leftChars="-30" w:right="-63" w:rightChars="-30"/>
              <w:jc w:val="center"/>
              <w:rPr>
                <w:rFonts w:ascii="宋体" w:hAnsi="宋体"/>
                <w:color w:val="auto"/>
                <w:highlight w:val="none"/>
              </w:rPr>
            </w:pPr>
          </w:p>
        </w:tc>
        <w:tc>
          <w:tcPr>
            <w:tcW w:w="964" w:type="dxa"/>
            <w:vAlign w:val="center"/>
          </w:tcPr>
          <w:p w14:paraId="4F988BF4">
            <w:pPr>
              <w:ind w:left="-63" w:leftChars="-30" w:right="-63" w:rightChars="-30"/>
              <w:jc w:val="center"/>
              <w:rPr>
                <w:rFonts w:ascii="宋体" w:hAnsi="宋体"/>
                <w:color w:val="auto"/>
                <w:highlight w:val="none"/>
              </w:rPr>
            </w:pPr>
          </w:p>
        </w:tc>
        <w:tc>
          <w:tcPr>
            <w:tcW w:w="964" w:type="dxa"/>
            <w:vAlign w:val="center"/>
          </w:tcPr>
          <w:p w14:paraId="6E03A0D9">
            <w:pPr>
              <w:ind w:left="-63" w:leftChars="-30" w:right="-63" w:rightChars="-30"/>
              <w:jc w:val="center"/>
              <w:rPr>
                <w:rFonts w:ascii="宋体" w:hAnsi="宋体"/>
                <w:color w:val="auto"/>
                <w:highlight w:val="none"/>
              </w:rPr>
            </w:pPr>
          </w:p>
        </w:tc>
        <w:tc>
          <w:tcPr>
            <w:tcW w:w="1204" w:type="dxa"/>
            <w:vAlign w:val="center"/>
          </w:tcPr>
          <w:p w14:paraId="03AC1045">
            <w:pPr>
              <w:ind w:left="-63" w:leftChars="-30" w:right="-63" w:rightChars="-30"/>
              <w:jc w:val="center"/>
              <w:rPr>
                <w:rFonts w:ascii="宋体" w:hAnsi="宋体"/>
                <w:color w:val="auto"/>
                <w:highlight w:val="none"/>
              </w:rPr>
            </w:pPr>
          </w:p>
        </w:tc>
        <w:tc>
          <w:tcPr>
            <w:tcW w:w="1143" w:type="dxa"/>
            <w:vAlign w:val="center"/>
          </w:tcPr>
          <w:p w14:paraId="133963FF">
            <w:pPr>
              <w:ind w:left="-63" w:leftChars="-30" w:right="-63" w:rightChars="-30"/>
              <w:jc w:val="center"/>
              <w:rPr>
                <w:rFonts w:ascii="宋体" w:hAnsi="宋体"/>
                <w:color w:val="auto"/>
                <w:highlight w:val="none"/>
              </w:rPr>
            </w:pPr>
          </w:p>
        </w:tc>
        <w:tc>
          <w:tcPr>
            <w:tcW w:w="1070" w:type="dxa"/>
            <w:vAlign w:val="center"/>
          </w:tcPr>
          <w:p w14:paraId="11BE8AF4">
            <w:pPr>
              <w:ind w:left="-63" w:leftChars="-30" w:right="-63" w:rightChars="-30"/>
              <w:jc w:val="center"/>
              <w:rPr>
                <w:rFonts w:ascii="宋体" w:hAnsi="宋体"/>
                <w:color w:val="auto"/>
                <w:highlight w:val="none"/>
              </w:rPr>
            </w:pPr>
          </w:p>
        </w:tc>
        <w:tc>
          <w:tcPr>
            <w:tcW w:w="1053" w:type="dxa"/>
            <w:vAlign w:val="center"/>
          </w:tcPr>
          <w:p w14:paraId="234C524C">
            <w:pPr>
              <w:ind w:left="-63" w:leftChars="-30" w:right="-63" w:rightChars="-30"/>
              <w:jc w:val="center"/>
              <w:rPr>
                <w:rFonts w:ascii="宋体" w:hAnsi="宋体"/>
                <w:color w:val="auto"/>
                <w:highlight w:val="none"/>
              </w:rPr>
            </w:pPr>
          </w:p>
        </w:tc>
      </w:tr>
      <w:tr w14:paraId="1086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2" w:type="dxa"/>
            <w:vAlign w:val="center"/>
          </w:tcPr>
          <w:p w14:paraId="00110E05">
            <w:pPr>
              <w:ind w:left="-63" w:leftChars="-30" w:right="-63" w:rightChars="-30"/>
              <w:jc w:val="center"/>
              <w:rPr>
                <w:rFonts w:ascii="宋体" w:hAnsi="宋体"/>
                <w:color w:val="auto"/>
                <w:highlight w:val="none"/>
              </w:rPr>
            </w:pPr>
          </w:p>
        </w:tc>
        <w:tc>
          <w:tcPr>
            <w:tcW w:w="1388" w:type="dxa"/>
            <w:vAlign w:val="center"/>
          </w:tcPr>
          <w:p w14:paraId="794CEBDF">
            <w:pPr>
              <w:ind w:left="-63" w:leftChars="-30" w:right="-63" w:rightChars="-30"/>
              <w:jc w:val="center"/>
              <w:rPr>
                <w:rFonts w:ascii="宋体" w:hAnsi="宋体"/>
                <w:color w:val="auto"/>
                <w:highlight w:val="none"/>
              </w:rPr>
            </w:pPr>
          </w:p>
        </w:tc>
        <w:tc>
          <w:tcPr>
            <w:tcW w:w="1107" w:type="dxa"/>
            <w:vAlign w:val="center"/>
          </w:tcPr>
          <w:p w14:paraId="3A9C6B17">
            <w:pPr>
              <w:ind w:left="-63" w:leftChars="-30" w:right="-63" w:rightChars="-30"/>
              <w:jc w:val="center"/>
              <w:rPr>
                <w:rFonts w:ascii="宋体" w:hAnsi="宋体"/>
                <w:color w:val="auto"/>
                <w:highlight w:val="none"/>
              </w:rPr>
            </w:pPr>
          </w:p>
        </w:tc>
        <w:tc>
          <w:tcPr>
            <w:tcW w:w="964" w:type="dxa"/>
            <w:vAlign w:val="center"/>
          </w:tcPr>
          <w:p w14:paraId="7BDE42CD">
            <w:pPr>
              <w:ind w:left="-63" w:leftChars="-30" w:right="-63" w:rightChars="-30"/>
              <w:jc w:val="center"/>
              <w:rPr>
                <w:rFonts w:ascii="宋体" w:hAnsi="宋体"/>
                <w:color w:val="auto"/>
                <w:highlight w:val="none"/>
              </w:rPr>
            </w:pPr>
          </w:p>
        </w:tc>
        <w:tc>
          <w:tcPr>
            <w:tcW w:w="964" w:type="dxa"/>
            <w:vAlign w:val="center"/>
          </w:tcPr>
          <w:p w14:paraId="6912BC41">
            <w:pPr>
              <w:ind w:left="-63" w:leftChars="-30" w:right="-63" w:rightChars="-30"/>
              <w:jc w:val="center"/>
              <w:rPr>
                <w:rFonts w:ascii="宋体" w:hAnsi="宋体"/>
                <w:color w:val="auto"/>
                <w:highlight w:val="none"/>
              </w:rPr>
            </w:pPr>
          </w:p>
        </w:tc>
        <w:tc>
          <w:tcPr>
            <w:tcW w:w="1204" w:type="dxa"/>
            <w:vAlign w:val="center"/>
          </w:tcPr>
          <w:p w14:paraId="5E03048C">
            <w:pPr>
              <w:ind w:left="-63" w:leftChars="-30" w:right="-63" w:rightChars="-30"/>
              <w:jc w:val="center"/>
              <w:rPr>
                <w:rFonts w:ascii="宋体" w:hAnsi="宋体"/>
                <w:color w:val="auto"/>
                <w:highlight w:val="none"/>
              </w:rPr>
            </w:pPr>
          </w:p>
        </w:tc>
        <w:tc>
          <w:tcPr>
            <w:tcW w:w="1143" w:type="dxa"/>
            <w:vAlign w:val="center"/>
          </w:tcPr>
          <w:p w14:paraId="1F87B9EF">
            <w:pPr>
              <w:ind w:left="-63" w:leftChars="-30" w:right="-63" w:rightChars="-30"/>
              <w:jc w:val="center"/>
              <w:rPr>
                <w:rFonts w:ascii="宋体" w:hAnsi="宋体"/>
                <w:color w:val="auto"/>
                <w:highlight w:val="none"/>
              </w:rPr>
            </w:pPr>
          </w:p>
        </w:tc>
        <w:tc>
          <w:tcPr>
            <w:tcW w:w="1070" w:type="dxa"/>
            <w:vAlign w:val="center"/>
          </w:tcPr>
          <w:p w14:paraId="3A3A640C">
            <w:pPr>
              <w:ind w:left="-63" w:leftChars="-30" w:right="-63" w:rightChars="-30"/>
              <w:jc w:val="center"/>
              <w:rPr>
                <w:rFonts w:ascii="宋体" w:hAnsi="宋体"/>
                <w:color w:val="auto"/>
                <w:highlight w:val="none"/>
              </w:rPr>
            </w:pPr>
          </w:p>
        </w:tc>
        <w:tc>
          <w:tcPr>
            <w:tcW w:w="1053" w:type="dxa"/>
            <w:vAlign w:val="center"/>
          </w:tcPr>
          <w:p w14:paraId="743413CA">
            <w:pPr>
              <w:ind w:left="-63" w:leftChars="-30" w:right="-63" w:rightChars="-30"/>
              <w:jc w:val="center"/>
              <w:rPr>
                <w:rFonts w:ascii="宋体" w:hAnsi="宋体"/>
                <w:color w:val="auto"/>
                <w:highlight w:val="none"/>
              </w:rPr>
            </w:pPr>
          </w:p>
        </w:tc>
      </w:tr>
      <w:tr w14:paraId="7EF9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2" w:type="dxa"/>
            <w:vAlign w:val="center"/>
          </w:tcPr>
          <w:p w14:paraId="7603F07B">
            <w:pPr>
              <w:ind w:left="-63" w:leftChars="-30" w:right="-63" w:rightChars="-30"/>
              <w:jc w:val="center"/>
              <w:rPr>
                <w:rFonts w:ascii="宋体" w:hAnsi="宋体"/>
                <w:color w:val="auto"/>
                <w:highlight w:val="none"/>
              </w:rPr>
            </w:pPr>
          </w:p>
        </w:tc>
        <w:tc>
          <w:tcPr>
            <w:tcW w:w="1388" w:type="dxa"/>
            <w:vAlign w:val="center"/>
          </w:tcPr>
          <w:p w14:paraId="55FC60FC">
            <w:pPr>
              <w:ind w:left="-63" w:leftChars="-30" w:right="-63" w:rightChars="-30"/>
              <w:jc w:val="center"/>
              <w:rPr>
                <w:rFonts w:ascii="宋体" w:hAnsi="宋体"/>
                <w:color w:val="auto"/>
                <w:highlight w:val="none"/>
              </w:rPr>
            </w:pPr>
          </w:p>
        </w:tc>
        <w:tc>
          <w:tcPr>
            <w:tcW w:w="1107" w:type="dxa"/>
            <w:vAlign w:val="center"/>
          </w:tcPr>
          <w:p w14:paraId="5F5979C4">
            <w:pPr>
              <w:ind w:left="-63" w:leftChars="-30" w:right="-63" w:rightChars="-30"/>
              <w:jc w:val="center"/>
              <w:rPr>
                <w:rFonts w:ascii="宋体" w:hAnsi="宋体"/>
                <w:color w:val="auto"/>
                <w:highlight w:val="none"/>
              </w:rPr>
            </w:pPr>
          </w:p>
        </w:tc>
        <w:tc>
          <w:tcPr>
            <w:tcW w:w="964" w:type="dxa"/>
            <w:vAlign w:val="center"/>
          </w:tcPr>
          <w:p w14:paraId="7AAB137B">
            <w:pPr>
              <w:ind w:left="-63" w:leftChars="-30" w:right="-63" w:rightChars="-30"/>
              <w:jc w:val="center"/>
              <w:rPr>
                <w:rFonts w:ascii="宋体" w:hAnsi="宋体"/>
                <w:color w:val="auto"/>
                <w:highlight w:val="none"/>
              </w:rPr>
            </w:pPr>
          </w:p>
        </w:tc>
        <w:tc>
          <w:tcPr>
            <w:tcW w:w="964" w:type="dxa"/>
            <w:vAlign w:val="center"/>
          </w:tcPr>
          <w:p w14:paraId="48EFDD4B">
            <w:pPr>
              <w:ind w:left="-63" w:leftChars="-30" w:right="-63" w:rightChars="-30"/>
              <w:jc w:val="center"/>
              <w:rPr>
                <w:rFonts w:ascii="宋体" w:hAnsi="宋体"/>
                <w:color w:val="auto"/>
                <w:highlight w:val="none"/>
              </w:rPr>
            </w:pPr>
          </w:p>
        </w:tc>
        <w:tc>
          <w:tcPr>
            <w:tcW w:w="1204" w:type="dxa"/>
            <w:vAlign w:val="center"/>
          </w:tcPr>
          <w:p w14:paraId="2EEAFA4D">
            <w:pPr>
              <w:ind w:left="-63" w:leftChars="-30" w:right="-63" w:rightChars="-30"/>
              <w:jc w:val="center"/>
              <w:rPr>
                <w:rFonts w:ascii="宋体" w:hAnsi="宋体"/>
                <w:color w:val="auto"/>
                <w:highlight w:val="none"/>
              </w:rPr>
            </w:pPr>
          </w:p>
        </w:tc>
        <w:tc>
          <w:tcPr>
            <w:tcW w:w="1143" w:type="dxa"/>
            <w:vAlign w:val="center"/>
          </w:tcPr>
          <w:p w14:paraId="7FD5C704">
            <w:pPr>
              <w:ind w:left="-63" w:leftChars="-30" w:right="-63" w:rightChars="-30"/>
              <w:jc w:val="center"/>
              <w:rPr>
                <w:rFonts w:ascii="宋体" w:hAnsi="宋体"/>
                <w:color w:val="auto"/>
                <w:highlight w:val="none"/>
              </w:rPr>
            </w:pPr>
          </w:p>
        </w:tc>
        <w:tc>
          <w:tcPr>
            <w:tcW w:w="1070" w:type="dxa"/>
            <w:vAlign w:val="center"/>
          </w:tcPr>
          <w:p w14:paraId="5FE49FC5">
            <w:pPr>
              <w:ind w:left="-63" w:leftChars="-30" w:right="-63" w:rightChars="-30"/>
              <w:jc w:val="center"/>
              <w:rPr>
                <w:rFonts w:ascii="宋体" w:hAnsi="宋体"/>
                <w:color w:val="auto"/>
                <w:highlight w:val="none"/>
              </w:rPr>
            </w:pPr>
          </w:p>
        </w:tc>
        <w:tc>
          <w:tcPr>
            <w:tcW w:w="1053" w:type="dxa"/>
            <w:vAlign w:val="center"/>
          </w:tcPr>
          <w:p w14:paraId="72193F09">
            <w:pPr>
              <w:ind w:left="-63" w:leftChars="-30" w:right="-63" w:rightChars="-30"/>
              <w:jc w:val="center"/>
              <w:rPr>
                <w:rFonts w:ascii="宋体" w:hAnsi="宋体"/>
                <w:color w:val="auto"/>
                <w:highlight w:val="none"/>
              </w:rPr>
            </w:pPr>
          </w:p>
        </w:tc>
      </w:tr>
      <w:tr w14:paraId="1CD3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2" w:type="dxa"/>
            <w:vAlign w:val="center"/>
          </w:tcPr>
          <w:p w14:paraId="7024C2FA">
            <w:pPr>
              <w:ind w:left="-63" w:leftChars="-30" w:right="-63" w:rightChars="-30"/>
              <w:jc w:val="center"/>
              <w:rPr>
                <w:rFonts w:ascii="宋体" w:hAnsi="宋体"/>
                <w:color w:val="auto"/>
                <w:highlight w:val="none"/>
              </w:rPr>
            </w:pPr>
          </w:p>
        </w:tc>
        <w:tc>
          <w:tcPr>
            <w:tcW w:w="1388" w:type="dxa"/>
            <w:vAlign w:val="center"/>
          </w:tcPr>
          <w:p w14:paraId="79C134B4">
            <w:pPr>
              <w:ind w:left="-63" w:leftChars="-30" w:right="-63" w:rightChars="-30"/>
              <w:jc w:val="center"/>
              <w:rPr>
                <w:rFonts w:ascii="宋体" w:hAnsi="宋体"/>
                <w:color w:val="auto"/>
                <w:highlight w:val="none"/>
              </w:rPr>
            </w:pPr>
          </w:p>
        </w:tc>
        <w:tc>
          <w:tcPr>
            <w:tcW w:w="1107" w:type="dxa"/>
            <w:vAlign w:val="center"/>
          </w:tcPr>
          <w:p w14:paraId="18AD3EDF">
            <w:pPr>
              <w:ind w:left="-63" w:leftChars="-30" w:right="-63" w:rightChars="-30"/>
              <w:jc w:val="center"/>
              <w:rPr>
                <w:rFonts w:ascii="宋体" w:hAnsi="宋体"/>
                <w:color w:val="auto"/>
                <w:highlight w:val="none"/>
              </w:rPr>
            </w:pPr>
          </w:p>
        </w:tc>
        <w:tc>
          <w:tcPr>
            <w:tcW w:w="964" w:type="dxa"/>
            <w:vAlign w:val="center"/>
          </w:tcPr>
          <w:p w14:paraId="0A5E084B">
            <w:pPr>
              <w:ind w:left="-63" w:leftChars="-30" w:right="-63" w:rightChars="-30"/>
              <w:jc w:val="center"/>
              <w:rPr>
                <w:rFonts w:ascii="宋体" w:hAnsi="宋体"/>
                <w:color w:val="auto"/>
                <w:highlight w:val="none"/>
              </w:rPr>
            </w:pPr>
          </w:p>
        </w:tc>
        <w:tc>
          <w:tcPr>
            <w:tcW w:w="964" w:type="dxa"/>
            <w:vAlign w:val="center"/>
          </w:tcPr>
          <w:p w14:paraId="74630DC3">
            <w:pPr>
              <w:ind w:left="-63" w:leftChars="-30" w:right="-63" w:rightChars="-30"/>
              <w:jc w:val="center"/>
              <w:rPr>
                <w:rFonts w:ascii="宋体" w:hAnsi="宋体"/>
                <w:color w:val="auto"/>
                <w:highlight w:val="none"/>
              </w:rPr>
            </w:pPr>
          </w:p>
        </w:tc>
        <w:tc>
          <w:tcPr>
            <w:tcW w:w="1204" w:type="dxa"/>
            <w:vAlign w:val="center"/>
          </w:tcPr>
          <w:p w14:paraId="28CDDD97">
            <w:pPr>
              <w:ind w:left="-63" w:leftChars="-30" w:right="-63" w:rightChars="-30"/>
              <w:jc w:val="center"/>
              <w:rPr>
                <w:rFonts w:ascii="宋体" w:hAnsi="宋体"/>
                <w:color w:val="auto"/>
                <w:highlight w:val="none"/>
              </w:rPr>
            </w:pPr>
          </w:p>
        </w:tc>
        <w:tc>
          <w:tcPr>
            <w:tcW w:w="1143" w:type="dxa"/>
            <w:vAlign w:val="center"/>
          </w:tcPr>
          <w:p w14:paraId="65C233EE">
            <w:pPr>
              <w:ind w:left="-63" w:leftChars="-30" w:right="-63" w:rightChars="-30"/>
              <w:jc w:val="center"/>
              <w:rPr>
                <w:rFonts w:ascii="宋体" w:hAnsi="宋体"/>
                <w:color w:val="auto"/>
                <w:highlight w:val="none"/>
              </w:rPr>
            </w:pPr>
          </w:p>
        </w:tc>
        <w:tc>
          <w:tcPr>
            <w:tcW w:w="1070" w:type="dxa"/>
            <w:vAlign w:val="center"/>
          </w:tcPr>
          <w:p w14:paraId="052B36AA">
            <w:pPr>
              <w:ind w:left="-63" w:leftChars="-30" w:right="-63" w:rightChars="-30"/>
              <w:jc w:val="center"/>
              <w:rPr>
                <w:rFonts w:ascii="宋体" w:hAnsi="宋体"/>
                <w:color w:val="auto"/>
                <w:highlight w:val="none"/>
              </w:rPr>
            </w:pPr>
          </w:p>
        </w:tc>
        <w:tc>
          <w:tcPr>
            <w:tcW w:w="1053" w:type="dxa"/>
            <w:vAlign w:val="center"/>
          </w:tcPr>
          <w:p w14:paraId="7D7855B9">
            <w:pPr>
              <w:ind w:left="-63" w:leftChars="-30" w:right="-63" w:rightChars="-30"/>
              <w:jc w:val="center"/>
              <w:rPr>
                <w:rFonts w:ascii="宋体" w:hAnsi="宋体"/>
                <w:color w:val="auto"/>
                <w:highlight w:val="none"/>
              </w:rPr>
            </w:pPr>
          </w:p>
        </w:tc>
      </w:tr>
      <w:tr w14:paraId="5C33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2" w:type="dxa"/>
            <w:vAlign w:val="center"/>
          </w:tcPr>
          <w:p w14:paraId="5F33FE4D">
            <w:pPr>
              <w:ind w:left="-63" w:leftChars="-30" w:right="-63" w:rightChars="-30"/>
              <w:jc w:val="center"/>
              <w:rPr>
                <w:rFonts w:ascii="宋体" w:hAnsi="宋体"/>
                <w:color w:val="auto"/>
                <w:highlight w:val="none"/>
              </w:rPr>
            </w:pPr>
          </w:p>
        </w:tc>
        <w:tc>
          <w:tcPr>
            <w:tcW w:w="1388" w:type="dxa"/>
            <w:vAlign w:val="center"/>
          </w:tcPr>
          <w:p w14:paraId="7C1A0F22">
            <w:pPr>
              <w:ind w:left="-63" w:leftChars="-30" w:right="-63" w:rightChars="-30"/>
              <w:jc w:val="center"/>
              <w:rPr>
                <w:rFonts w:ascii="宋体" w:hAnsi="宋体"/>
                <w:color w:val="auto"/>
                <w:highlight w:val="none"/>
              </w:rPr>
            </w:pPr>
          </w:p>
        </w:tc>
        <w:tc>
          <w:tcPr>
            <w:tcW w:w="1107" w:type="dxa"/>
            <w:vAlign w:val="center"/>
          </w:tcPr>
          <w:p w14:paraId="7285867D">
            <w:pPr>
              <w:ind w:left="-63" w:leftChars="-30" w:right="-63" w:rightChars="-30"/>
              <w:jc w:val="center"/>
              <w:rPr>
                <w:rFonts w:ascii="宋体" w:hAnsi="宋体"/>
                <w:color w:val="auto"/>
                <w:highlight w:val="none"/>
              </w:rPr>
            </w:pPr>
          </w:p>
        </w:tc>
        <w:tc>
          <w:tcPr>
            <w:tcW w:w="964" w:type="dxa"/>
            <w:vAlign w:val="center"/>
          </w:tcPr>
          <w:p w14:paraId="60E5FB9B">
            <w:pPr>
              <w:ind w:left="-63" w:leftChars="-30" w:right="-63" w:rightChars="-30"/>
              <w:jc w:val="center"/>
              <w:rPr>
                <w:rFonts w:ascii="宋体" w:hAnsi="宋体"/>
                <w:color w:val="auto"/>
                <w:highlight w:val="none"/>
              </w:rPr>
            </w:pPr>
          </w:p>
        </w:tc>
        <w:tc>
          <w:tcPr>
            <w:tcW w:w="964" w:type="dxa"/>
            <w:vAlign w:val="center"/>
          </w:tcPr>
          <w:p w14:paraId="43B46742">
            <w:pPr>
              <w:ind w:left="-63" w:leftChars="-30" w:right="-63" w:rightChars="-30"/>
              <w:jc w:val="center"/>
              <w:rPr>
                <w:rFonts w:ascii="宋体" w:hAnsi="宋体"/>
                <w:color w:val="auto"/>
                <w:highlight w:val="none"/>
              </w:rPr>
            </w:pPr>
          </w:p>
        </w:tc>
        <w:tc>
          <w:tcPr>
            <w:tcW w:w="1204" w:type="dxa"/>
            <w:vAlign w:val="center"/>
          </w:tcPr>
          <w:p w14:paraId="236C4D32">
            <w:pPr>
              <w:ind w:left="-63" w:leftChars="-30" w:right="-63" w:rightChars="-30"/>
              <w:jc w:val="center"/>
              <w:rPr>
                <w:rFonts w:ascii="宋体" w:hAnsi="宋体"/>
                <w:color w:val="auto"/>
                <w:highlight w:val="none"/>
              </w:rPr>
            </w:pPr>
          </w:p>
        </w:tc>
        <w:tc>
          <w:tcPr>
            <w:tcW w:w="1143" w:type="dxa"/>
            <w:vAlign w:val="center"/>
          </w:tcPr>
          <w:p w14:paraId="054FA8B2">
            <w:pPr>
              <w:ind w:left="-63" w:leftChars="-30" w:right="-63" w:rightChars="-30"/>
              <w:jc w:val="center"/>
              <w:rPr>
                <w:rFonts w:ascii="宋体" w:hAnsi="宋体"/>
                <w:color w:val="auto"/>
                <w:highlight w:val="none"/>
              </w:rPr>
            </w:pPr>
          </w:p>
        </w:tc>
        <w:tc>
          <w:tcPr>
            <w:tcW w:w="1070" w:type="dxa"/>
            <w:vAlign w:val="center"/>
          </w:tcPr>
          <w:p w14:paraId="5DC85686">
            <w:pPr>
              <w:ind w:left="-63" w:leftChars="-30" w:right="-63" w:rightChars="-30"/>
              <w:jc w:val="center"/>
              <w:rPr>
                <w:rFonts w:ascii="宋体" w:hAnsi="宋体"/>
                <w:color w:val="auto"/>
                <w:highlight w:val="none"/>
              </w:rPr>
            </w:pPr>
          </w:p>
        </w:tc>
        <w:tc>
          <w:tcPr>
            <w:tcW w:w="1053" w:type="dxa"/>
            <w:vAlign w:val="center"/>
          </w:tcPr>
          <w:p w14:paraId="58275B79">
            <w:pPr>
              <w:ind w:left="-63" w:leftChars="-30" w:right="-63" w:rightChars="-30"/>
              <w:jc w:val="center"/>
              <w:rPr>
                <w:rFonts w:ascii="宋体" w:hAnsi="宋体"/>
                <w:color w:val="auto"/>
                <w:highlight w:val="none"/>
              </w:rPr>
            </w:pPr>
          </w:p>
        </w:tc>
      </w:tr>
      <w:tr w14:paraId="7580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2" w:type="dxa"/>
            <w:vAlign w:val="center"/>
          </w:tcPr>
          <w:p w14:paraId="1AA0E0A0">
            <w:pPr>
              <w:ind w:left="-63" w:leftChars="-30" w:right="-63" w:rightChars="-30"/>
              <w:jc w:val="center"/>
              <w:rPr>
                <w:rFonts w:ascii="宋体" w:hAnsi="宋体"/>
                <w:color w:val="auto"/>
                <w:highlight w:val="none"/>
              </w:rPr>
            </w:pPr>
          </w:p>
        </w:tc>
        <w:tc>
          <w:tcPr>
            <w:tcW w:w="1388" w:type="dxa"/>
            <w:vAlign w:val="center"/>
          </w:tcPr>
          <w:p w14:paraId="267CAC46">
            <w:pPr>
              <w:ind w:left="-63" w:leftChars="-30" w:right="-63" w:rightChars="-30"/>
              <w:jc w:val="center"/>
              <w:rPr>
                <w:rFonts w:ascii="宋体" w:hAnsi="宋体"/>
                <w:color w:val="auto"/>
                <w:highlight w:val="none"/>
              </w:rPr>
            </w:pPr>
          </w:p>
        </w:tc>
        <w:tc>
          <w:tcPr>
            <w:tcW w:w="1107" w:type="dxa"/>
            <w:vAlign w:val="center"/>
          </w:tcPr>
          <w:p w14:paraId="475B85F6">
            <w:pPr>
              <w:ind w:left="-63" w:leftChars="-30" w:right="-63" w:rightChars="-30"/>
              <w:jc w:val="center"/>
              <w:rPr>
                <w:rFonts w:ascii="宋体" w:hAnsi="宋体"/>
                <w:color w:val="auto"/>
                <w:highlight w:val="none"/>
              </w:rPr>
            </w:pPr>
          </w:p>
        </w:tc>
        <w:tc>
          <w:tcPr>
            <w:tcW w:w="964" w:type="dxa"/>
            <w:vAlign w:val="center"/>
          </w:tcPr>
          <w:p w14:paraId="07EBDAFE">
            <w:pPr>
              <w:ind w:left="-63" w:leftChars="-30" w:right="-63" w:rightChars="-30"/>
              <w:jc w:val="center"/>
              <w:rPr>
                <w:rFonts w:ascii="宋体" w:hAnsi="宋体"/>
                <w:color w:val="auto"/>
                <w:highlight w:val="none"/>
              </w:rPr>
            </w:pPr>
          </w:p>
        </w:tc>
        <w:tc>
          <w:tcPr>
            <w:tcW w:w="964" w:type="dxa"/>
            <w:vAlign w:val="center"/>
          </w:tcPr>
          <w:p w14:paraId="7061EA68">
            <w:pPr>
              <w:ind w:left="-63" w:leftChars="-30" w:right="-63" w:rightChars="-30"/>
              <w:jc w:val="center"/>
              <w:rPr>
                <w:rFonts w:ascii="宋体" w:hAnsi="宋体"/>
                <w:color w:val="auto"/>
                <w:highlight w:val="none"/>
              </w:rPr>
            </w:pPr>
          </w:p>
        </w:tc>
        <w:tc>
          <w:tcPr>
            <w:tcW w:w="1204" w:type="dxa"/>
            <w:vAlign w:val="center"/>
          </w:tcPr>
          <w:p w14:paraId="60CADA82">
            <w:pPr>
              <w:ind w:left="-63" w:leftChars="-30" w:right="-63" w:rightChars="-30"/>
              <w:jc w:val="center"/>
              <w:rPr>
                <w:rFonts w:ascii="宋体" w:hAnsi="宋体"/>
                <w:color w:val="auto"/>
                <w:highlight w:val="none"/>
              </w:rPr>
            </w:pPr>
          </w:p>
        </w:tc>
        <w:tc>
          <w:tcPr>
            <w:tcW w:w="1143" w:type="dxa"/>
            <w:vAlign w:val="center"/>
          </w:tcPr>
          <w:p w14:paraId="69CE674D">
            <w:pPr>
              <w:ind w:left="-63" w:leftChars="-30" w:right="-63" w:rightChars="-30"/>
              <w:jc w:val="center"/>
              <w:rPr>
                <w:rFonts w:ascii="宋体" w:hAnsi="宋体"/>
                <w:color w:val="auto"/>
                <w:highlight w:val="none"/>
              </w:rPr>
            </w:pPr>
          </w:p>
        </w:tc>
        <w:tc>
          <w:tcPr>
            <w:tcW w:w="1070" w:type="dxa"/>
            <w:vAlign w:val="center"/>
          </w:tcPr>
          <w:p w14:paraId="733D2E4A">
            <w:pPr>
              <w:ind w:left="-63" w:leftChars="-30" w:right="-63" w:rightChars="-30"/>
              <w:jc w:val="center"/>
              <w:rPr>
                <w:rFonts w:ascii="宋体" w:hAnsi="宋体"/>
                <w:color w:val="auto"/>
                <w:highlight w:val="none"/>
              </w:rPr>
            </w:pPr>
          </w:p>
        </w:tc>
        <w:tc>
          <w:tcPr>
            <w:tcW w:w="1053" w:type="dxa"/>
            <w:vAlign w:val="center"/>
          </w:tcPr>
          <w:p w14:paraId="1C19B709">
            <w:pPr>
              <w:ind w:left="-63" w:leftChars="-30" w:right="-63" w:rightChars="-30"/>
              <w:jc w:val="center"/>
              <w:rPr>
                <w:rFonts w:ascii="宋体" w:hAnsi="宋体"/>
                <w:color w:val="auto"/>
                <w:highlight w:val="none"/>
              </w:rPr>
            </w:pPr>
          </w:p>
        </w:tc>
      </w:tr>
      <w:tr w14:paraId="3810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2" w:type="dxa"/>
            <w:vAlign w:val="center"/>
          </w:tcPr>
          <w:p w14:paraId="33F9D817">
            <w:pPr>
              <w:ind w:left="-63" w:leftChars="-30" w:right="-63" w:rightChars="-30"/>
              <w:jc w:val="center"/>
              <w:rPr>
                <w:rFonts w:ascii="宋体" w:hAnsi="宋体"/>
                <w:color w:val="auto"/>
                <w:highlight w:val="none"/>
              </w:rPr>
            </w:pPr>
          </w:p>
        </w:tc>
        <w:tc>
          <w:tcPr>
            <w:tcW w:w="1388" w:type="dxa"/>
            <w:vAlign w:val="center"/>
          </w:tcPr>
          <w:p w14:paraId="574EDDAD">
            <w:pPr>
              <w:ind w:left="-63" w:leftChars="-30" w:right="-63" w:rightChars="-30"/>
              <w:jc w:val="center"/>
              <w:rPr>
                <w:rFonts w:ascii="宋体" w:hAnsi="宋体"/>
                <w:color w:val="auto"/>
                <w:highlight w:val="none"/>
              </w:rPr>
            </w:pPr>
          </w:p>
        </w:tc>
        <w:tc>
          <w:tcPr>
            <w:tcW w:w="1107" w:type="dxa"/>
            <w:vAlign w:val="center"/>
          </w:tcPr>
          <w:p w14:paraId="699F73D5">
            <w:pPr>
              <w:ind w:left="-63" w:leftChars="-30" w:right="-63" w:rightChars="-30"/>
              <w:jc w:val="center"/>
              <w:rPr>
                <w:rFonts w:ascii="宋体" w:hAnsi="宋体"/>
                <w:color w:val="auto"/>
                <w:highlight w:val="none"/>
              </w:rPr>
            </w:pPr>
          </w:p>
        </w:tc>
        <w:tc>
          <w:tcPr>
            <w:tcW w:w="964" w:type="dxa"/>
            <w:vAlign w:val="center"/>
          </w:tcPr>
          <w:p w14:paraId="0821774F">
            <w:pPr>
              <w:ind w:left="-63" w:leftChars="-30" w:right="-63" w:rightChars="-30"/>
              <w:jc w:val="center"/>
              <w:rPr>
                <w:rFonts w:ascii="宋体" w:hAnsi="宋体"/>
                <w:color w:val="auto"/>
                <w:highlight w:val="none"/>
              </w:rPr>
            </w:pPr>
          </w:p>
        </w:tc>
        <w:tc>
          <w:tcPr>
            <w:tcW w:w="964" w:type="dxa"/>
            <w:vAlign w:val="center"/>
          </w:tcPr>
          <w:p w14:paraId="062429AB">
            <w:pPr>
              <w:ind w:left="-63" w:leftChars="-30" w:right="-63" w:rightChars="-30"/>
              <w:jc w:val="center"/>
              <w:rPr>
                <w:rFonts w:ascii="宋体" w:hAnsi="宋体"/>
                <w:color w:val="auto"/>
                <w:highlight w:val="none"/>
              </w:rPr>
            </w:pPr>
          </w:p>
        </w:tc>
        <w:tc>
          <w:tcPr>
            <w:tcW w:w="1204" w:type="dxa"/>
            <w:vAlign w:val="center"/>
          </w:tcPr>
          <w:p w14:paraId="6C0F8859">
            <w:pPr>
              <w:ind w:left="-63" w:leftChars="-30" w:right="-63" w:rightChars="-30"/>
              <w:jc w:val="center"/>
              <w:rPr>
                <w:rFonts w:ascii="宋体" w:hAnsi="宋体"/>
                <w:color w:val="auto"/>
                <w:highlight w:val="none"/>
              </w:rPr>
            </w:pPr>
          </w:p>
        </w:tc>
        <w:tc>
          <w:tcPr>
            <w:tcW w:w="1143" w:type="dxa"/>
            <w:vAlign w:val="center"/>
          </w:tcPr>
          <w:p w14:paraId="7CA4E34F">
            <w:pPr>
              <w:ind w:left="-63" w:leftChars="-30" w:right="-63" w:rightChars="-30"/>
              <w:jc w:val="center"/>
              <w:rPr>
                <w:rFonts w:ascii="宋体" w:hAnsi="宋体"/>
                <w:color w:val="auto"/>
                <w:highlight w:val="none"/>
              </w:rPr>
            </w:pPr>
          </w:p>
        </w:tc>
        <w:tc>
          <w:tcPr>
            <w:tcW w:w="1070" w:type="dxa"/>
            <w:vAlign w:val="center"/>
          </w:tcPr>
          <w:p w14:paraId="221D6B22">
            <w:pPr>
              <w:ind w:left="-63" w:leftChars="-30" w:right="-63" w:rightChars="-30"/>
              <w:jc w:val="center"/>
              <w:rPr>
                <w:rFonts w:ascii="宋体" w:hAnsi="宋体"/>
                <w:color w:val="auto"/>
                <w:highlight w:val="none"/>
              </w:rPr>
            </w:pPr>
          </w:p>
        </w:tc>
        <w:tc>
          <w:tcPr>
            <w:tcW w:w="1053" w:type="dxa"/>
            <w:vAlign w:val="center"/>
          </w:tcPr>
          <w:p w14:paraId="08837CB6">
            <w:pPr>
              <w:ind w:left="-63" w:leftChars="-30" w:right="-63" w:rightChars="-30"/>
              <w:jc w:val="center"/>
              <w:rPr>
                <w:rFonts w:ascii="宋体" w:hAnsi="宋体"/>
                <w:color w:val="auto"/>
                <w:highlight w:val="none"/>
              </w:rPr>
            </w:pPr>
          </w:p>
        </w:tc>
      </w:tr>
    </w:tbl>
    <w:p w14:paraId="1A02CE61">
      <w:pPr>
        <w:spacing w:line="360" w:lineRule="auto"/>
        <w:rPr>
          <w:rFonts w:ascii="宋体" w:hAnsi="宋体" w:cs="宋体"/>
          <w:color w:val="auto"/>
          <w:kern w:val="1"/>
          <w:sz w:val="24"/>
          <w:szCs w:val="24"/>
          <w:highlight w:val="none"/>
        </w:rPr>
      </w:pPr>
      <w:r>
        <w:rPr>
          <w:rFonts w:hint="eastAsia" w:ascii="宋体" w:hAnsi="宋体" w:cs="宋体"/>
          <w:color w:val="auto"/>
          <w:kern w:val="1"/>
          <w:sz w:val="24"/>
          <w:szCs w:val="24"/>
          <w:highlight w:val="none"/>
        </w:rPr>
        <w:t>注：1、所报人员如有符合评分表中评分项目的，应附相关证明材料。</w:t>
      </w:r>
    </w:p>
    <w:p w14:paraId="499EB64D">
      <w:pPr>
        <w:spacing w:line="360" w:lineRule="auto"/>
        <w:rPr>
          <w:rFonts w:ascii="宋体" w:hAnsi="宋体" w:cs="宋体"/>
          <w:color w:val="auto"/>
          <w:kern w:val="1"/>
          <w:sz w:val="28"/>
          <w:szCs w:val="28"/>
          <w:highlight w:val="none"/>
        </w:rPr>
      </w:pPr>
      <w:r>
        <w:rPr>
          <w:rFonts w:hint="eastAsia" w:hAnsi="宋体"/>
          <w:color w:val="auto"/>
          <w:sz w:val="24"/>
          <w:szCs w:val="24"/>
          <w:highlight w:val="none"/>
        </w:rPr>
        <w:t>2、联合体投标的，“投标人”一栏需书写所有联合体成员的单位全称，可由牵头方签字、盖章。</w:t>
      </w:r>
    </w:p>
    <w:p w14:paraId="1C74CE86">
      <w:pPr>
        <w:spacing w:line="360" w:lineRule="auto"/>
        <w:ind w:firstLine="3600"/>
        <w:rPr>
          <w:rFonts w:ascii="宋体" w:hAnsi="宋体" w:cs="宋体"/>
          <w:color w:val="auto"/>
          <w:kern w:val="1"/>
          <w:sz w:val="28"/>
          <w:szCs w:val="28"/>
          <w:highlight w:val="none"/>
        </w:rPr>
      </w:pPr>
    </w:p>
    <w:p w14:paraId="5EDB0FC8">
      <w:pPr>
        <w:tabs>
          <w:tab w:val="left" w:pos="7655"/>
        </w:tabs>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(盖公章) </w:t>
      </w:r>
    </w:p>
    <w:p w14:paraId="052B4F60">
      <w:pPr>
        <w:tabs>
          <w:tab w:val="left" w:pos="7655"/>
        </w:tabs>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w:t>
      </w:r>
      <w:bookmarkStart w:id="658" w:name="_Hlk55921208"/>
      <w:r>
        <w:rPr>
          <w:rFonts w:hint="eastAsia" w:ascii="宋体" w:hAnsi="宋体" w:cs="宋体"/>
          <w:color w:val="auto"/>
          <w:spacing w:val="18"/>
          <w:kern w:val="1"/>
          <w:szCs w:val="21"/>
          <w:highlight w:val="none"/>
          <w:lang w:val="zh-CN"/>
        </w:rPr>
        <w:t>定代表人或被授权人：</w:t>
      </w:r>
      <w:bookmarkEnd w:id="658"/>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6EF55848">
      <w:pPr>
        <w:spacing w:line="360" w:lineRule="auto"/>
        <w:jc w:val="right"/>
        <w:rPr>
          <w:rFonts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2FC3F27D">
      <w:pPr>
        <w:widowControl/>
        <w:numPr>
          <w:ilvl w:val="0"/>
          <w:numId w:val="4"/>
        </w:numPr>
        <w:ind w:left="0"/>
        <w:jc w:val="left"/>
        <w:rPr>
          <w:rFonts w:ascii="宋体" w:hAnsi="宋体" w:cs="宋体"/>
          <w:b/>
          <w:bCs/>
          <w:color w:val="auto"/>
          <w:spacing w:val="4"/>
          <w:sz w:val="24"/>
          <w:highlight w:val="none"/>
          <w:lang w:val="zh-CN"/>
        </w:rPr>
      </w:pPr>
      <w:r>
        <w:rPr>
          <w:rFonts w:ascii="宋体" w:hAnsi="宋体" w:cs="宋体"/>
          <w:b/>
          <w:bCs/>
          <w:color w:val="auto"/>
          <w:spacing w:val="4"/>
          <w:sz w:val="24"/>
          <w:highlight w:val="none"/>
          <w:lang w:val="zh-CN"/>
        </w:rPr>
        <w:br w:type="page"/>
      </w:r>
    </w:p>
    <w:p w14:paraId="047D35E9">
      <w:pPr>
        <w:tabs>
          <w:tab w:val="left" w:pos="7655"/>
        </w:tabs>
        <w:jc w:val="center"/>
        <w:rPr>
          <w:rFonts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拟投入本项目主要负责人员简历表</w:t>
      </w:r>
    </w:p>
    <w:tbl>
      <w:tblPr>
        <w:tblStyle w:val="20"/>
        <w:tblW w:w="9663" w:type="dxa"/>
        <w:tblInd w:w="0" w:type="dxa"/>
        <w:tblLayout w:type="fixed"/>
        <w:tblCellMar>
          <w:top w:w="0" w:type="dxa"/>
          <w:left w:w="108" w:type="dxa"/>
          <w:bottom w:w="0" w:type="dxa"/>
          <w:right w:w="108" w:type="dxa"/>
        </w:tblCellMar>
      </w:tblPr>
      <w:tblGrid>
        <w:gridCol w:w="1576"/>
        <w:gridCol w:w="1469"/>
        <w:gridCol w:w="1316"/>
        <w:gridCol w:w="888"/>
        <w:gridCol w:w="75"/>
        <w:gridCol w:w="765"/>
        <w:gridCol w:w="135"/>
        <w:gridCol w:w="810"/>
        <w:gridCol w:w="989"/>
        <w:gridCol w:w="800"/>
        <w:gridCol w:w="840"/>
      </w:tblGrid>
      <w:tr w14:paraId="0223286E">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14:paraId="76F4450D">
            <w:pPr>
              <w:jc w:val="center"/>
              <w:rPr>
                <w:rFonts w:ascii="宋体" w:hAnsi="宋体" w:cs="宋体"/>
                <w:color w:val="auto"/>
                <w:kern w:val="1"/>
                <w:szCs w:val="21"/>
                <w:highlight w:val="none"/>
              </w:rPr>
            </w:pPr>
            <w:r>
              <w:rPr>
                <w:rFonts w:ascii="宋体" w:hAnsi="宋体" w:cs="宋体"/>
                <w:color w:val="auto"/>
                <w:kern w:val="1"/>
                <w:szCs w:val="21"/>
                <w:highlight w:val="none"/>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14:paraId="57AC0F7C">
            <w:pPr>
              <w:jc w:val="center"/>
              <w:rPr>
                <w:rFonts w:ascii="宋体" w:hAnsi="宋体" w:cs="宋体"/>
                <w:color w:val="auto"/>
                <w:kern w:val="1"/>
                <w:szCs w:val="21"/>
                <w:highlight w:val="none"/>
              </w:rPr>
            </w:pPr>
          </w:p>
        </w:tc>
        <w:tc>
          <w:tcPr>
            <w:tcW w:w="1316" w:type="dxa"/>
            <w:tcBorders>
              <w:top w:val="single" w:color="000000" w:sz="12" w:space="0"/>
              <w:left w:val="single" w:color="000000" w:sz="6" w:space="0"/>
              <w:bottom w:val="single" w:color="000000" w:sz="6" w:space="0"/>
              <w:right w:val="single" w:color="000000" w:sz="6" w:space="0"/>
            </w:tcBorders>
            <w:vAlign w:val="center"/>
          </w:tcPr>
          <w:p w14:paraId="7039C71B">
            <w:pPr>
              <w:jc w:val="center"/>
              <w:rPr>
                <w:rFonts w:ascii="宋体" w:hAnsi="宋体" w:cs="宋体"/>
                <w:color w:val="auto"/>
                <w:kern w:val="1"/>
                <w:szCs w:val="21"/>
                <w:highlight w:val="none"/>
              </w:rPr>
            </w:pPr>
            <w:r>
              <w:rPr>
                <w:rFonts w:ascii="宋体" w:hAnsi="宋体" w:cs="宋体"/>
                <w:color w:val="auto"/>
                <w:kern w:val="1"/>
                <w:szCs w:val="21"/>
                <w:highlight w:val="none"/>
                <w:lang w:val="zh-CN"/>
              </w:rPr>
              <w:t>性别</w:t>
            </w:r>
          </w:p>
        </w:tc>
        <w:tc>
          <w:tcPr>
            <w:tcW w:w="888" w:type="dxa"/>
            <w:tcBorders>
              <w:top w:val="single" w:color="000000" w:sz="12" w:space="0"/>
              <w:left w:val="single" w:color="000000" w:sz="6" w:space="0"/>
              <w:bottom w:val="single" w:color="000000" w:sz="6" w:space="0"/>
              <w:right w:val="single" w:color="000000" w:sz="6" w:space="0"/>
            </w:tcBorders>
            <w:vAlign w:val="center"/>
          </w:tcPr>
          <w:p w14:paraId="456A5127">
            <w:pPr>
              <w:jc w:val="center"/>
              <w:rPr>
                <w:rFonts w:ascii="宋体" w:hAnsi="宋体" w:cs="宋体"/>
                <w:color w:val="auto"/>
                <w:kern w:val="1"/>
                <w:szCs w:val="21"/>
                <w:highlight w:val="none"/>
              </w:rPr>
            </w:pPr>
          </w:p>
        </w:tc>
        <w:tc>
          <w:tcPr>
            <w:tcW w:w="840" w:type="dxa"/>
            <w:gridSpan w:val="2"/>
            <w:tcBorders>
              <w:top w:val="single" w:color="000000" w:sz="12" w:space="0"/>
              <w:left w:val="single" w:color="000000" w:sz="6" w:space="0"/>
              <w:bottom w:val="single" w:color="000000" w:sz="6" w:space="0"/>
              <w:right w:val="single" w:color="000000" w:sz="6" w:space="0"/>
            </w:tcBorders>
            <w:vAlign w:val="center"/>
          </w:tcPr>
          <w:p w14:paraId="0D09EECB">
            <w:pPr>
              <w:jc w:val="center"/>
              <w:rPr>
                <w:rFonts w:ascii="宋体" w:hAnsi="宋体" w:cs="宋体"/>
                <w:color w:val="auto"/>
                <w:kern w:val="1"/>
                <w:szCs w:val="21"/>
                <w:highlight w:val="none"/>
              </w:rPr>
            </w:pPr>
            <w:r>
              <w:rPr>
                <w:rFonts w:ascii="宋体" w:hAnsi="宋体" w:cs="宋体"/>
                <w:color w:val="auto"/>
                <w:kern w:val="1"/>
                <w:szCs w:val="21"/>
                <w:highlight w:val="none"/>
                <w:lang w:val="zh-CN"/>
              </w:rPr>
              <w:t>出生年月</w:t>
            </w:r>
          </w:p>
        </w:tc>
        <w:tc>
          <w:tcPr>
            <w:tcW w:w="1934" w:type="dxa"/>
            <w:gridSpan w:val="3"/>
            <w:tcBorders>
              <w:top w:val="single" w:color="000000" w:sz="12" w:space="0"/>
              <w:left w:val="single" w:color="000000" w:sz="6" w:space="0"/>
              <w:bottom w:val="single" w:color="000000" w:sz="6" w:space="0"/>
              <w:right w:val="single" w:color="000000" w:sz="4" w:space="0"/>
            </w:tcBorders>
            <w:vAlign w:val="center"/>
          </w:tcPr>
          <w:p w14:paraId="0A28DCB7">
            <w:pPr>
              <w:jc w:val="center"/>
              <w:rPr>
                <w:rFonts w:ascii="宋体" w:hAnsi="宋体" w:cs="宋体"/>
                <w:color w:val="auto"/>
                <w:kern w:val="1"/>
                <w:szCs w:val="21"/>
                <w:highlight w:val="none"/>
              </w:rPr>
            </w:pPr>
          </w:p>
        </w:tc>
        <w:tc>
          <w:tcPr>
            <w:tcW w:w="800" w:type="dxa"/>
            <w:tcBorders>
              <w:top w:val="single" w:color="000000" w:sz="12" w:space="0"/>
              <w:left w:val="single" w:color="000000" w:sz="4" w:space="0"/>
              <w:bottom w:val="single" w:color="000000" w:sz="6" w:space="0"/>
              <w:right w:val="single" w:color="000000" w:sz="4" w:space="0"/>
            </w:tcBorders>
            <w:vAlign w:val="center"/>
          </w:tcPr>
          <w:p w14:paraId="6E808580">
            <w:pPr>
              <w:jc w:val="center"/>
              <w:rPr>
                <w:rFonts w:ascii="宋体" w:hAnsi="宋体" w:cs="宋体"/>
                <w:color w:val="auto"/>
                <w:kern w:val="1"/>
                <w:szCs w:val="21"/>
                <w:highlight w:val="none"/>
              </w:rPr>
            </w:pPr>
            <w:r>
              <w:rPr>
                <w:rFonts w:ascii="宋体" w:hAnsi="宋体" w:cs="宋体"/>
                <w:color w:val="auto"/>
                <w:kern w:val="1"/>
                <w:szCs w:val="21"/>
                <w:highlight w:val="none"/>
                <w:lang w:val="zh-CN"/>
              </w:rPr>
              <w:t>文化程度</w:t>
            </w:r>
          </w:p>
        </w:tc>
        <w:tc>
          <w:tcPr>
            <w:tcW w:w="840" w:type="dxa"/>
            <w:tcBorders>
              <w:top w:val="single" w:color="000000" w:sz="12" w:space="0"/>
              <w:left w:val="single" w:color="000000" w:sz="4" w:space="0"/>
              <w:bottom w:val="single" w:color="000000" w:sz="6" w:space="0"/>
              <w:right w:val="single" w:color="000000" w:sz="12" w:space="0"/>
            </w:tcBorders>
            <w:vAlign w:val="center"/>
          </w:tcPr>
          <w:p w14:paraId="769BC7EF">
            <w:pPr>
              <w:spacing w:line="360" w:lineRule="auto"/>
              <w:jc w:val="center"/>
              <w:rPr>
                <w:rFonts w:ascii="宋体" w:hAnsi="宋体" w:cs="宋体"/>
                <w:color w:val="auto"/>
                <w:kern w:val="1"/>
                <w:szCs w:val="21"/>
                <w:highlight w:val="none"/>
              </w:rPr>
            </w:pPr>
          </w:p>
        </w:tc>
      </w:tr>
      <w:tr w14:paraId="6CB08DFD">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7AEB7E36">
            <w:pPr>
              <w:jc w:val="center"/>
              <w:rPr>
                <w:rFonts w:ascii="宋体" w:hAnsi="宋体" w:cs="宋体"/>
                <w:color w:val="auto"/>
                <w:kern w:val="1"/>
                <w:szCs w:val="21"/>
                <w:highlight w:val="none"/>
              </w:rPr>
            </w:pPr>
            <w:r>
              <w:rPr>
                <w:rFonts w:ascii="宋体" w:hAnsi="宋体" w:cs="宋体"/>
                <w:color w:val="auto"/>
                <w:kern w:val="1"/>
                <w:szCs w:val="21"/>
                <w:highlight w:val="none"/>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14:paraId="6DFF1323">
            <w:pPr>
              <w:rPr>
                <w:rFonts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5E73DC20">
            <w:pPr>
              <w:jc w:val="center"/>
              <w:rPr>
                <w:rFonts w:ascii="宋体" w:hAnsi="宋体" w:cs="宋体"/>
                <w:color w:val="auto"/>
                <w:kern w:val="1"/>
                <w:szCs w:val="21"/>
                <w:highlight w:val="none"/>
              </w:rPr>
            </w:pPr>
            <w:r>
              <w:rPr>
                <w:rFonts w:ascii="宋体" w:hAnsi="宋体" w:cs="宋体"/>
                <w:color w:val="auto"/>
                <w:kern w:val="1"/>
                <w:szCs w:val="21"/>
                <w:highlight w:val="none"/>
                <w:lang w:val="zh-CN"/>
              </w:rPr>
              <w:t>专业</w:t>
            </w:r>
          </w:p>
        </w:tc>
        <w:tc>
          <w:tcPr>
            <w:tcW w:w="1728" w:type="dxa"/>
            <w:gridSpan w:val="3"/>
            <w:tcBorders>
              <w:top w:val="single" w:color="000000" w:sz="6" w:space="0"/>
              <w:left w:val="single" w:color="000000" w:sz="6" w:space="0"/>
              <w:bottom w:val="single" w:color="000000" w:sz="6" w:space="0"/>
              <w:right w:val="single" w:color="000000" w:sz="4" w:space="0"/>
            </w:tcBorders>
            <w:vAlign w:val="center"/>
          </w:tcPr>
          <w:p w14:paraId="3586940A">
            <w:pPr>
              <w:rPr>
                <w:rFonts w:ascii="宋体" w:hAnsi="宋体" w:cs="宋体"/>
                <w:color w:val="auto"/>
                <w:kern w:val="1"/>
                <w:szCs w:val="21"/>
                <w:highlight w:val="none"/>
              </w:rPr>
            </w:pPr>
          </w:p>
        </w:tc>
        <w:tc>
          <w:tcPr>
            <w:tcW w:w="945" w:type="dxa"/>
            <w:gridSpan w:val="2"/>
            <w:tcBorders>
              <w:top w:val="single" w:color="000000" w:sz="6" w:space="0"/>
              <w:left w:val="single" w:color="000000" w:sz="4" w:space="0"/>
              <w:bottom w:val="single" w:color="000000" w:sz="6" w:space="0"/>
              <w:right w:val="single" w:color="000000" w:sz="4" w:space="0"/>
            </w:tcBorders>
            <w:vAlign w:val="center"/>
          </w:tcPr>
          <w:p w14:paraId="71DC8A8A">
            <w:pPr>
              <w:rPr>
                <w:rFonts w:ascii="宋体" w:hAnsi="宋体" w:cs="宋体"/>
                <w:color w:val="auto"/>
                <w:kern w:val="1"/>
                <w:szCs w:val="21"/>
                <w:highlight w:val="none"/>
              </w:rPr>
            </w:pPr>
            <w:r>
              <w:rPr>
                <w:rFonts w:ascii="宋体" w:hAnsi="宋体" w:cs="宋体"/>
                <w:color w:val="auto"/>
                <w:kern w:val="1"/>
                <w:szCs w:val="21"/>
                <w:highlight w:val="none"/>
                <w:lang w:val="zh-CN"/>
              </w:rPr>
              <w:t>毕业</w:t>
            </w:r>
          </w:p>
          <w:p w14:paraId="42899E94">
            <w:pPr>
              <w:rPr>
                <w:rFonts w:ascii="宋体" w:hAnsi="宋体" w:cs="宋体"/>
                <w:color w:val="auto"/>
                <w:kern w:val="1"/>
                <w:szCs w:val="21"/>
                <w:highlight w:val="none"/>
              </w:rPr>
            </w:pPr>
            <w:r>
              <w:rPr>
                <w:rFonts w:ascii="宋体" w:hAnsi="宋体" w:cs="宋体"/>
                <w:color w:val="auto"/>
                <w:kern w:val="1"/>
                <w:szCs w:val="21"/>
                <w:highlight w:val="none"/>
                <w:lang w:val="zh-CN"/>
              </w:rPr>
              <w:t>时间</w:t>
            </w:r>
          </w:p>
        </w:tc>
        <w:tc>
          <w:tcPr>
            <w:tcW w:w="989" w:type="dxa"/>
            <w:tcBorders>
              <w:top w:val="single" w:color="000000" w:sz="6" w:space="0"/>
              <w:left w:val="single" w:color="000000" w:sz="4" w:space="0"/>
              <w:bottom w:val="single" w:color="000000" w:sz="6" w:space="0"/>
              <w:right w:val="single" w:color="000000" w:sz="6" w:space="0"/>
            </w:tcBorders>
            <w:vAlign w:val="center"/>
          </w:tcPr>
          <w:p w14:paraId="18D96F47">
            <w:pPr>
              <w:rPr>
                <w:rFonts w:ascii="宋体" w:hAnsi="宋体" w:cs="宋体"/>
                <w:color w:val="auto"/>
                <w:kern w:val="1"/>
                <w:szCs w:val="21"/>
                <w:highlight w:val="none"/>
              </w:rPr>
            </w:pPr>
          </w:p>
        </w:tc>
        <w:tc>
          <w:tcPr>
            <w:tcW w:w="800" w:type="dxa"/>
            <w:tcBorders>
              <w:top w:val="single" w:color="000000" w:sz="6" w:space="0"/>
              <w:left w:val="single" w:color="000000" w:sz="6" w:space="0"/>
              <w:bottom w:val="single" w:color="000000" w:sz="6" w:space="0"/>
              <w:right w:val="single" w:color="000000" w:sz="4" w:space="0"/>
            </w:tcBorders>
            <w:vAlign w:val="center"/>
          </w:tcPr>
          <w:p w14:paraId="6E63A82E">
            <w:pPr>
              <w:jc w:val="center"/>
              <w:rPr>
                <w:rFonts w:ascii="宋体" w:hAnsi="宋体" w:cs="宋体"/>
                <w:color w:val="auto"/>
                <w:kern w:val="1"/>
                <w:szCs w:val="21"/>
                <w:highlight w:val="none"/>
              </w:rPr>
            </w:pPr>
            <w:r>
              <w:rPr>
                <w:rFonts w:ascii="宋体" w:hAnsi="宋体" w:cs="宋体"/>
                <w:color w:val="auto"/>
                <w:kern w:val="1"/>
                <w:szCs w:val="21"/>
                <w:highlight w:val="none"/>
                <w:lang w:val="zh-CN"/>
              </w:rPr>
              <w:t>技术</w:t>
            </w:r>
          </w:p>
          <w:p w14:paraId="55A94FAB">
            <w:pPr>
              <w:jc w:val="center"/>
              <w:rPr>
                <w:rFonts w:ascii="宋体" w:hAnsi="宋体" w:cs="宋体"/>
                <w:color w:val="auto"/>
                <w:kern w:val="1"/>
                <w:szCs w:val="21"/>
                <w:highlight w:val="none"/>
              </w:rPr>
            </w:pPr>
            <w:r>
              <w:rPr>
                <w:rFonts w:ascii="宋体" w:hAnsi="宋体" w:cs="宋体"/>
                <w:color w:val="auto"/>
                <w:kern w:val="1"/>
                <w:szCs w:val="21"/>
                <w:highlight w:val="none"/>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14:paraId="66EA269D">
            <w:pPr>
              <w:spacing w:line="360" w:lineRule="auto"/>
              <w:rPr>
                <w:rFonts w:ascii="宋体" w:hAnsi="宋体" w:cs="宋体"/>
                <w:color w:val="auto"/>
                <w:kern w:val="1"/>
                <w:szCs w:val="21"/>
                <w:highlight w:val="none"/>
              </w:rPr>
            </w:pPr>
          </w:p>
        </w:tc>
      </w:tr>
      <w:tr w14:paraId="1468C9E2">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02830C68">
            <w:pPr>
              <w:jc w:val="center"/>
              <w:rPr>
                <w:rFonts w:ascii="宋体" w:hAnsi="宋体" w:cs="宋体"/>
                <w:color w:val="auto"/>
                <w:kern w:val="1"/>
                <w:szCs w:val="21"/>
                <w:highlight w:val="none"/>
              </w:rPr>
            </w:pPr>
            <w:r>
              <w:rPr>
                <w:rFonts w:ascii="宋体" w:hAnsi="宋体" w:cs="宋体"/>
                <w:color w:val="auto"/>
                <w:kern w:val="1"/>
                <w:szCs w:val="21"/>
                <w:highlight w:val="none"/>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14:paraId="3A18C075">
            <w:pPr>
              <w:rPr>
                <w:rFonts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5B870291">
            <w:pPr>
              <w:ind w:left="-80" w:right="-116"/>
              <w:jc w:val="center"/>
              <w:rPr>
                <w:rFonts w:ascii="宋体" w:hAnsi="宋体" w:cs="宋体"/>
                <w:color w:val="auto"/>
                <w:kern w:val="1"/>
                <w:szCs w:val="21"/>
                <w:highlight w:val="none"/>
              </w:rPr>
            </w:pPr>
            <w:r>
              <w:rPr>
                <w:rFonts w:ascii="宋体" w:hAnsi="宋体" w:cs="宋体"/>
                <w:color w:val="auto"/>
                <w:kern w:val="1"/>
                <w:szCs w:val="21"/>
                <w:highlight w:val="none"/>
                <w:lang w:val="zh-CN"/>
              </w:rPr>
              <w:t>从事工作年限</w:t>
            </w:r>
          </w:p>
        </w:tc>
        <w:tc>
          <w:tcPr>
            <w:tcW w:w="963" w:type="dxa"/>
            <w:gridSpan w:val="2"/>
            <w:tcBorders>
              <w:top w:val="single" w:color="000000" w:sz="6" w:space="0"/>
              <w:left w:val="single" w:color="000000" w:sz="6" w:space="0"/>
              <w:bottom w:val="single" w:color="000000" w:sz="6" w:space="0"/>
              <w:right w:val="single" w:color="000000" w:sz="6" w:space="0"/>
            </w:tcBorders>
            <w:vAlign w:val="center"/>
          </w:tcPr>
          <w:p w14:paraId="054C3411">
            <w:pPr>
              <w:rPr>
                <w:rFonts w:ascii="宋体" w:hAnsi="宋体" w:cs="宋体"/>
                <w:color w:val="auto"/>
                <w:kern w:val="1"/>
                <w:szCs w:val="21"/>
                <w:highlight w:val="none"/>
              </w:rPr>
            </w:pPr>
          </w:p>
        </w:tc>
        <w:tc>
          <w:tcPr>
            <w:tcW w:w="900" w:type="dxa"/>
            <w:gridSpan w:val="2"/>
            <w:tcBorders>
              <w:top w:val="single" w:color="000000" w:sz="6" w:space="0"/>
              <w:left w:val="single" w:color="000000" w:sz="6" w:space="0"/>
              <w:bottom w:val="single" w:color="000000" w:sz="6" w:space="0"/>
              <w:right w:val="single" w:color="000000" w:sz="4" w:space="0"/>
            </w:tcBorders>
            <w:vAlign w:val="center"/>
          </w:tcPr>
          <w:p w14:paraId="206AD1AC">
            <w:pPr>
              <w:jc w:val="center"/>
              <w:rPr>
                <w:rFonts w:ascii="宋体" w:hAnsi="宋体" w:cs="宋体"/>
                <w:color w:val="auto"/>
                <w:kern w:val="1"/>
                <w:szCs w:val="21"/>
                <w:highlight w:val="none"/>
              </w:rPr>
            </w:pPr>
            <w:r>
              <w:rPr>
                <w:rFonts w:ascii="宋体" w:hAnsi="宋体" w:cs="宋体"/>
                <w:color w:val="auto"/>
                <w:kern w:val="1"/>
                <w:szCs w:val="21"/>
                <w:highlight w:val="none"/>
                <w:lang w:val="zh-CN"/>
              </w:rPr>
              <w:t>现任</w:t>
            </w:r>
          </w:p>
          <w:p w14:paraId="1BDA8A8B">
            <w:pPr>
              <w:jc w:val="center"/>
              <w:rPr>
                <w:rFonts w:ascii="宋体" w:hAnsi="宋体" w:cs="宋体"/>
                <w:color w:val="auto"/>
                <w:kern w:val="1"/>
                <w:szCs w:val="21"/>
                <w:highlight w:val="none"/>
              </w:rPr>
            </w:pPr>
            <w:r>
              <w:rPr>
                <w:rFonts w:ascii="宋体" w:hAnsi="宋体" w:cs="宋体"/>
                <w:color w:val="auto"/>
                <w:kern w:val="1"/>
                <w:szCs w:val="21"/>
                <w:highlight w:val="none"/>
                <w:lang w:val="zh-CN"/>
              </w:rPr>
              <w:t>职务</w:t>
            </w:r>
          </w:p>
        </w:tc>
        <w:tc>
          <w:tcPr>
            <w:tcW w:w="1799" w:type="dxa"/>
            <w:gridSpan w:val="2"/>
            <w:tcBorders>
              <w:top w:val="single" w:color="000000" w:sz="6" w:space="0"/>
              <w:left w:val="single" w:color="000000" w:sz="4" w:space="0"/>
              <w:bottom w:val="single" w:color="000000" w:sz="6" w:space="0"/>
              <w:right w:val="single" w:color="000000" w:sz="4" w:space="0"/>
            </w:tcBorders>
            <w:vAlign w:val="center"/>
          </w:tcPr>
          <w:p w14:paraId="4FC14CA2">
            <w:pPr>
              <w:jc w:val="center"/>
              <w:rPr>
                <w:rFonts w:ascii="宋体" w:hAnsi="宋体" w:cs="宋体"/>
                <w:color w:val="auto"/>
                <w:kern w:val="1"/>
                <w:szCs w:val="21"/>
                <w:highlight w:val="none"/>
              </w:rPr>
            </w:pPr>
          </w:p>
        </w:tc>
        <w:tc>
          <w:tcPr>
            <w:tcW w:w="800" w:type="dxa"/>
            <w:tcBorders>
              <w:top w:val="single" w:color="000000" w:sz="6" w:space="0"/>
              <w:left w:val="single" w:color="000000" w:sz="4" w:space="0"/>
              <w:bottom w:val="single" w:color="000000" w:sz="6" w:space="0"/>
              <w:right w:val="single" w:color="000000" w:sz="4" w:space="0"/>
            </w:tcBorders>
            <w:vAlign w:val="center"/>
          </w:tcPr>
          <w:p w14:paraId="0D7A29AC">
            <w:pPr>
              <w:jc w:val="center"/>
              <w:rPr>
                <w:rFonts w:ascii="宋体" w:hAnsi="宋体" w:cs="宋体"/>
                <w:color w:val="auto"/>
                <w:kern w:val="1"/>
                <w:szCs w:val="21"/>
                <w:highlight w:val="none"/>
              </w:rPr>
            </w:pPr>
          </w:p>
        </w:tc>
        <w:tc>
          <w:tcPr>
            <w:tcW w:w="840" w:type="dxa"/>
            <w:tcBorders>
              <w:top w:val="single" w:color="000000" w:sz="6" w:space="0"/>
              <w:left w:val="single" w:color="000000" w:sz="4" w:space="0"/>
              <w:bottom w:val="single" w:color="000000" w:sz="6" w:space="0"/>
              <w:right w:val="single" w:color="000000" w:sz="12" w:space="0"/>
            </w:tcBorders>
            <w:vAlign w:val="center"/>
          </w:tcPr>
          <w:p w14:paraId="4A19134A">
            <w:pPr>
              <w:spacing w:line="360" w:lineRule="auto"/>
              <w:jc w:val="center"/>
              <w:rPr>
                <w:rFonts w:ascii="宋体" w:hAnsi="宋体" w:cs="宋体"/>
                <w:color w:val="auto"/>
                <w:kern w:val="1"/>
                <w:szCs w:val="21"/>
                <w:highlight w:val="none"/>
              </w:rPr>
            </w:pPr>
          </w:p>
        </w:tc>
      </w:tr>
      <w:tr w14:paraId="5C611D5E">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1E0CEECD">
            <w:pPr>
              <w:jc w:val="center"/>
              <w:rPr>
                <w:rFonts w:ascii="宋体" w:hAnsi="宋体" w:cs="宋体"/>
                <w:color w:val="auto"/>
                <w:kern w:val="1"/>
                <w:szCs w:val="21"/>
                <w:highlight w:val="none"/>
              </w:rPr>
            </w:pPr>
            <w:r>
              <w:rPr>
                <w:rFonts w:ascii="宋体" w:hAnsi="宋体" w:cs="宋体"/>
                <w:color w:val="auto"/>
                <w:kern w:val="1"/>
                <w:szCs w:val="21"/>
                <w:highlight w:val="none"/>
                <w:lang w:val="zh-CN"/>
              </w:rPr>
              <w:t>资格证号</w:t>
            </w:r>
          </w:p>
        </w:tc>
        <w:tc>
          <w:tcPr>
            <w:tcW w:w="6447" w:type="dxa"/>
            <w:gridSpan w:val="8"/>
            <w:tcBorders>
              <w:top w:val="single" w:color="000000" w:sz="6" w:space="0"/>
              <w:left w:val="single" w:color="000000" w:sz="6" w:space="0"/>
              <w:bottom w:val="single" w:color="000000" w:sz="6" w:space="0"/>
              <w:right w:val="single" w:color="000000" w:sz="4" w:space="0"/>
            </w:tcBorders>
            <w:vAlign w:val="center"/>
          </w:tcPr>
          <w:p w14:paraId="0F14D91A">
            <w:pPr>
              <w:jc w:val="center"/>
              <w:rPr>
                <w:rFonts w:ascii="宋体" w:hAnsi="宋体" w:cs="宋体"/>
                <w:color w:val="auto"/>
                <w:kern w:val="1"/>
                <w:szCs w:val="21"/>
                <w:highlight w:val="none"/>
              </w:rPr>
            </w:pPr>
          </w:p>
        </w:tc>
        <w:tc>
          <w:tcPr>
            <w:tcW w:w="800" w:type="dxa"/>
            <w:tcBorders>
              <w:top w:val="single" w:color="000000" w:sz="6" w:space="0"/>
              <w:left w:val="single" w:color="000000" w:sz="4" w:space="0"/>
              <w:bottom w:val="single" w:color="000000" w:sz="6" w:space="0"/>
              <w:right w:val="single" w:color="000000" w:sz="4" w:space="0"/>
            </w:tcBorders>
            <w:vAlign w:val="center"/>
          </w:tcPr>
          <w:p w14:paraId="7CF31939">
            <w:pPr>
              <w:jc w:val="center"/>
              <w:rPr>
                <w:rFonts w:ascii="宋体" w:hAnsi="宋体" w:cs="宋体"/>
                <w:color w:val="auto"/>
                <w:kern w:val="1"/>
                <w:szCs w:val="21"/>
                <w:highlight w:val="none"/>
              </w:rPr>
            </w:pPr>
            <w:r>
              <w:rPr>
                <w:rFonts w:ascii="宋体" w:hAnsi="宋体" w:cs="宋体"/>
                <w:color w:val="auto"/>
                <w:kern w:val="1"/>
                <w:szCs w:val="21"/>
                <w:highlight w:val="none"/>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14:paraId="411783AA">
            <w:pPr>
              <w:spacing w:line="360" w:lineRule="auto"/>
              <w:jc w:val="center"/>
              <w:rPr>
                <w:rFonts w:ascii="宋体" w:hAnsi="宋体" w:cs="宋体"/>
                <w:color w:val="auto"/>
                <w:kern w:val="1"/>
                <w:szCs w:val="21"/>
                <w:highlight w:val="none"/>
              </w:rPr>
            </w:pPr>
          </w:p>
        </w:tc>
      </w:tr>
      <w:tr w14:paraId="13CBC309">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14:paraId="2F59B0F7">
            <w:pPr>
              <w:spacing w:line="480" w:lineRule="auto"/>
              <w:jc w:val="center"/>
              <w:rPr>
                <w:rFonts w:ascii="宋体" w:hAnsi="宋体" w:cs="宋体"/>
                <w:color w:val="auto"/>
                <w:kern w:val="1"/>
                <w:szCs w:val="21"/>
                <w:highlight w:val="none"/>
              </w:rPr>
            </w:pPr>
            <w:r>
              <w:rPr>
                <w:rFonts w:ascii="宋体" w:hAnsi="宋体" w:cs="宋体"/>
                <w:color w:val="auto"/>
                <w:kern w:val="1"/>
                <w:szCs w:val="21"/>
                <w:highlight w:val="none"/>
                <w:lang w:val="zh-CN"/>
              </w:rPr>
              <w:t>主要</w:t>
            </w:r>
          </w:p>
          <w:p w14:paraId="5B1EA810">
            <w:pPr>
              <w:spacing w:line="480" w:lineRule="auto"/>
              <w:jc w:val="center"/>
              <w:rPr>
                <w:rFonts w:ascii="宋体" w:hAnsi="宋体" w:cs="宋体"/>
                <w:color w:val="auto"/>
                <w:kern w:val="1"/>
                <w:szCs w:val="21"/>
                <w:highlight w:val="none"/>
              </w:rPr>
            </w:pPr>
            <w:r>
              <w:rPr>
                <w:rFonts w:ascii="宋体" w:hAnsi="宋体" w:cs="宋体"/>
                <w:color w:val="auto"/>
                <w:kern w:val="1"/>
                <w:szCs w:val="21"/>
                <w:highlight w:val="none"/>
                <w:lang w:val="zh-CN"/>
              </w:rPr>
              <w:t>业绩</w:t>
            </w:r>
          </w:p>
        </w:tc>
        <w:tc>
          <w:tcPr>
            <w:tcW w:w="1469" w:type="dxa"/>
            <w:tcBorders>
              <w:top w:val="single" w:color="000000" w:sz="6" w:space="0"/>
              <w:left w:val="single" w:color="000000" w:sz="6" w:space="0"/>
              <w:bottom w:val="single" w:color="000000" w:sz="4" w:space="0"/>
              <w:right w:val="single" w:color="000000" w:sz="4" w:space="0"/>
            </w:tcBorders>
            <w:vAlign w:val="center"/>
          </w:tcPr>
          <w:p w14:paraId="457A8909">
            <w:pP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lang w:val="zh-CN"/>
              </w:rPr>
              <w:t>时间</w:t>
            </w:r>
          </w:p>
        </w:tc>
        <w:tc>
          <w:tcPr>
            <w:tcW w:w="3989" w:type="dxa"/>
            <w:gridSpan w:val="6"/>
            <w:tcBorders>
              <w:top w:val="single" w:color="000000" w:sz="6" w:space="0"/>
              <w:bottom w:val="single" w:color="000000" w:sz="4" w:space="0"/>
              <w:right w:val="single" w:color="000000" w:sz="4" w:space="0"/>
            </w:tcBorders>
            <w:vAlign w:val="center"/>
          </w:tcPr>
          <w:p w14:paraId="7ECD4610">
            <w:pP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lang w:val="zh-CN"/>
              </w:rPr>
              <w:t>工程名称</w:t>
            </w:r>
          </w:p>
        </w:tc>
        <w:tc>
          <w:tcPr>
            <w:tcW w:w="989" w:type="dxa"/>
            <w:tcBorders>
              <w:top w:val="single" w:color="000000" w:sz="6" w:space="0"/>
              <w:bottom w:val="single" w:color="000000" w:sz="4" w:space="0"/>
              <w:right w:val="single" w:color="000000" w:sz="4" w:space="0"/>
            </w:tcBorders>
            <w:vAlign w:val="center"/>
          </w:tcPr>
          <w:p w14:paraId="2B0E9EA7">
            <w:pP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lang w:val="zh-CN"/>
              </w:rPr>
              <w:t>任职</w:t>
            </w:r>
          </w:p>
        </w:tc>
        <w:tc>
          <w:tcPr>
            <w:tcW w:w="1640" w:type="dxa"/>
            <w:gridSpan w:val="2"/>
            <w:tcBorders>
              <w:top w:val="single" w:color="000000" w:sz="6" w:space="0"/>
              <w:left w:val="single" w:color="000000" w:sz="4" w:space="0"/>
              <w:bottom w:val="single" w:color="000000" w:sz="4" w:space="0"/>
              <w:right w:val="single" w:color="000000" w:sz="12" w:space="0"/>
            </w:tcBorders>
            <w:vAlign w:val="center"/>
          </w:tcPr>
          <w:p w14:paraId="089F92A0">
            <w:pP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lang w:val="zh-CN"/>
              </w:rPr>
              <w:t>工作单位</w:t>
            </w:r>
          </w:p>
        </w:tc>
      </w:tr>
      <w:tr w14:paraId="62E29AB7">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14:paraId="63D4301E">
            <w:pPr>
              <w:jc w:val="left"/>
              <w:rPr>
                <w:rFonts w:ascii="宋体" w:hAnsi="宋体" w:cs="宋体"/>
                <w:color w:val="auto"/>
                <w:kern w:val="1"/>
                <w:szCs w:val="21"/>
                <w:highlight w:val="none"/>
              </w:rPr>
            </w:pPr>
          </w:p>
        </w:tc>
        <w:tc>
          <w:tcPr>
            <w:tcW w:w="1469" w:type="dxa"/>
            <w:tcBorders>
              <w:top w:val="single" w:color="000000" w:sz="6" w:space="0"/>
              <w:left w:val="single" w:color="000000" w:sz="6" w:space="0"/>
              <w:bottom w:val="single" w:color="000000" w:sz="12" w:space="0"/>
              <w:right w:val="single" w:color="000000" w:sz="4" w:space="0"/>
            </w:tcBorders>
            <w:vAlign w:val="center"/>
          </w:tcPr>
          <w:p w14:paraId="680EA64E">
            <w:pPr>
              <w:spacing w:line="360" w:lineRule="auto"/>
              <w:jc w:val="center"/>
              <w:rPr>
                <w:rFonts w:ascii="宋体" w:hAnsi="宋体" w:cs="宋体"/>
                <w:color w:val="auto"/>
                <w:kern w:val="1"/>
                <w:szCs w:val="21"/>
                <w:highlight w:val="none"/>
              </w:rPr>
            </w:pPr>
          </w:p>
        </w:tc>
        <w:tc>
          <w:tcPr>
            <w:tcW w:w="3989" w:type="dxa"/>
            <w:gridSpan w:val="6"/>
            <w:tcBorders>
              <w:top w:val="single" w:color="000000" w:sz="6" w:space="0"/>
              <w:bottom w:val="single" w:color="000000" w:sz="12" w:space="0"/>
              <w:right w:val="single" w:color="000000" w:sz="4" w:space="0"/>
            </w:tcBorders>
            <w:vAlign w:val="center"/>
          </w:tcPr>
          <w:p w14:paraId="4FD7D7E0">
            <w:pPr>
              <w:spacing w:line="360" w:lineRule="auto"/>
              <w:jc w:val="center"/>
              <w:rPr>
                <w:rFonts w:ascii="宋体" w:hAnsi="宋体" w:cs="宋体"/>
                <w:color w:val="auto"/>
                <w:kern w:val="1"/>
                <w:szCs w:val="21"/>
                <w:highlight w:val="none"/>
              </w:rPr>
            </w:pPr>
          </w:p>
        </w:tc>
        <w:tc>
          <w:tcPr>
            <w:tcW w:w="989" w:type="dxa"/>
            <w:tcBorders>
              <w:top w:val="single" w:color="000000" w:sz="6" w:space="0"/>
              <w:bottom w:val="single" w:color="000000" w:sz="12" w:space="0"/>
              <w:right w:val="single" w:color="000000" w:sz="4" w:space="0"/>
            </w:tcBorders>
            <w:vAlign w:val="center"/>
          </w:tcPr>
          <w:p w14:paraId="29DE6A0A">
            <w:pPr>
              <w:spacing w:line="360" w:lineRule="auto"/>
              <w:jc w:val="center"/>
              <w:rPr>
                <w:rFonts w:ascii="宋体" w:hAnsi="宋体" w:cs="宋体"/>
                <w:color w:val="auto"/>
                <w:kern w:val="1"/>
                <w:szCs w:val="21"/>
                <w:highlight w:val="none"/>
              </w:rPr>
            </w:pPr>
          </w:p>
        </w:tc>
        <w:tc>
          <w:tcPr>
            <w:tcW w:w="1640" w:type="dxa"/>
            <w:gridSpan w:val="2"/>
            <w:tcBorders>
              <w:top w:val="single" w:color="000000" w:sz="6" w:space="0"/>
              <w:left w:val="single" w:color="000000" w:sz="4" w:space="0"/>
              <w:bottom w:val="single" w:color="000000" w:sz="12" w:space="0"/>
              <w:right w:val="single" w:color="000000" w:sz="12" w:space="0"/>
            </w:tcBorders>
            <w:vAlign w:val="center"/>
          </w:tcPr>
          <w:p w14:paraId="36AE7DB6">
            <w:pPr>
              <w:spacing w:line="360" w:lineRule="auto"/>
              <w:jc w:val="center"/>
              <w:rPr>
                <w:rFonts w:ascii="宋体" w:hAnsi="宋体" w:cs="宋体"/>
                <w:color w:val="auto"/>
                <w:kern w:val="1"/>
                <w:szCs w:val="21"/>
                <w:highlight w:val="none"/>
              </w:rPr>
            </w:pPr>
          </w:p>
        </w:tc>
      </w:tr>
    </w:tbl>
    <w:p w14:paraId="6258F583">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14:paraId="381E4141">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w:t>
      </w:r>
      <w:r>
        <w:rPr>
          <w:rFonts w:hint="eastAsia" w:ascii="宋体" w:hAnsi="宋体" w:cs="宋体"/>
          <w:color w:val="auto"/>
          <w:kern w:val="1"/>
          <w:sz w:val="18"/>
          <w:szCs w:val="18"/>
          <w:highlight w:val="none"/>
          <w:lang w:val="en-US" w:eastAsia="zh-CN"/>
        </w:rPr>
        <w:t>兼</w:t>
      </w:r>
      <w:r>
        <w:rPr>
          <w:rFonts w:hint="eastAsia" w:ascii="宋体" w:hAnsi="宋体" w:cs="宋体"/>
          <w:color w:val="auto"/>
          <w:kern w:val="1"/>
          <w:sz w:val="18"/>
          <w:szCs w:val="18"/>
          <w:highlight w:val="none"/>
          <w:lang w:val="zh-CN"/>
        </w:rPr>
        <w:t>施工负责人）、技术负责人、设计负责人、专职安全员应附本简历表，其余人员无需本表。</w:t>
      </w:r>
    </w:p>
    <w:p w14:paraId="1638836E">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2、后附身份证、职称证（</w:t>
      </w:r>
      <w:r>
        <w:rPr>
          <w:rFonts w:hint="eastAsia" w:ascii="宋体" w:hAnsi="宋体" w:cs="宋体"/>
          <w:color w:val="auto"/>
          <w:kern w:val="1"/>
          <w:sz w:val="18"/>
          <w:szCs w:val="18"/>
          <w:highlight w:val="none"/>
        </w:rPr>
        <w:t>如有</w:t>
      </w:r>
      <w:r>
        <w:rPr>
          <w:rFonts w:hint="eastAsia" w:ascii="宋体" w:hAnsi="宋体" w:cs="宋体"/>
          <w:color w:val="auto"/>
          <w:kern w:val="1"/>
          <w:sz w:val="18"/>
          <w:szCs w:val="18"/>
          <w:highlight w:val="none"/>
          <w:lang w:val="zh-CN"/>
        </w:rPr>
        <w:t>）、</w:t>
      </w:r>
      <w:r>
        <w:rPr>
          <w:rFonts w:hint="eastAsia" w:ascii="宋体" w:hAnsi="宋体" w:cs="宋体"/>
          <w:color w:val="auto"/>
          <w:kern w:val="1"/>
          <w:sz w:val="18"/>
          <w:szCs w:val="18"/>
          <w:highlight w:val="none"/>
        </w:rPr>
        <w:t>注册证和</w:t>
      </w:r>
      <w:r>
        <w:rPr>
          <w:rFonts w:hint="eastAsia" w:ascii="宋体" w:hAnsi="宋体" w:cs="宋体"/>
          <w:color w:val="auto"/>
          <w:kern w:val="1"/>
          <w:sz w:val="18"/>
          <w:szCs w:val="18"/>
          <w:highlight w:val="none"/>
          <w:lang w:val="zh-CN"/>
        </w:rPr>
        <w:t>执业资格证书（或上岗证书）（</w:t>
      </w:r>
      <w:r>
        <w:rPr>
          <w:rFonts w:hint="eastAsia" w:ascii="宋体" w:hAnsi="宋体" w:cs="宋体"/>
          <w:color w:val="auto"/>
          <w:kern w:val="1"/>
          <w:sz w:val="18"/>
          <w:szCs w:val="18"/>
          <w:highlight w:val="none"/>
        </w:rPr>
        <w:t>如有</w:t>
      </w:r>
      <w:r>
        <w:rPr>
          <w:rFonts w:hint="eastAsia" w:ascii="宋体" w:hAnsi="宋体" w:cs="宋体"/>
          <w:color w:val="auto"/>
          <w:kern w:val="1"/>
          <w:sz w:val="18"/>
          <w:szCs w:val="18"/>
          <w:highlight w:val="none"/>
          <w:lang w:val="zh-CN"/>
        </w:rPr>
        <w:t>）、</w:t>
      </w:r>
      <w:r>
        <w:rPr>
          <w:rFonts w:hint="eastAsia" w:ascii="宋体" w:hAnsi="宋体" w:cs="宋体"/>
          <w:color w:val="auto"/>
          <w:kern w:val="1"/>
          <w:sz w:val="18"/>
          <w:szCs w:val="18"/>
          <w:highlight w:val="none"/>
        </w:rPr>
        <w:t>近一个月（2025年</w:t>
      </w:r>
      <w:r>
        <w:rPr>
          <w:rFonts w:hint="eastAsia" w:ascii="宋体" w:hAnsi="宋体" w:cs="宋体"/>
          <w:color w:val="auto"/>
          <w:kern w:val="1"/>
          <w:sz w:val="18"/>
          <w:szCs w:val="18"/>
          <w:highlight w:val="none"/>
          <w:lang w:val="en-US" w:eastAsia="zh-CN"/>
        </w:rPr>
        <w:t>11</w:t>
      </w:r>
      <w:r>
        <w:rPr>
          <w:rFonts w:hint="eastAsia" w:ascii="宋体" w:hAnsi="宋体" w:cs="宋体"/>
          <w:color w:val="auto"/>
          <w:kern w:val="1"/>
          <w:sz w:val="18"/>
          <w:szCs w:val="18"/>
          <w:highlight w:val="none"/>
        </w:rPr>
        <w:t>月）社保机构提供的</w:t>
      </w:r>
      <w:r>
        <w:rPr>
          <w:rFonts w:hint="eastAsia" w:ascii="宋体" w:hAnsi="宋体" w:cs="宋体"/>
          <w:color w:val="auto"/>
          <w:kern w:val="1"/>
          <w:sz w:val="18"/>
          <w:szCs w:val="18"/>
          <w:highlight w:val="none"/>
          <w:lang w:val="zh-CN"/>
        </w:rPr>
        <w:t>社保证明材料复印件。</w:t>
      </w:r>
    </w:p>
    <w:p w14:paraId="4348D017">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14:paraId="29FEE292">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4、所报人员如有符合评分表中评分项目的，应附相关证明材料。</w:t>
      </w:r>
    </w:p>
    <w:p w14:paraId="3B583657">
      <w:pPr>
        <w:ind w:right="-624" w:firstLine="520"/>
        <w:rPr>
          <w:rFonts w:ascii="宋体" w:hAnsi="宋体" w:cs="宋体"/>
          <w:color w:val="auto"/>
          <w:spacing w:val="-10"/>
          <w:kern w:val="1"/>
          <w:szCs w:val="21"/>
          <w:highlight w:val="none"/>
        </w:rPr>
      </w:pPr>
    </w:p>
    <w:p w14:paraId="522214FF">
      <w:pPr>
        <w:tabs>
          <w:tab w:val="left" w:pos="7655"/>
        </w:tabs>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(盖公章)</w:t>
      </w:r>
      <w:bookmarkStart w:id="659" w:name="_Hlk49259541"/>
    </w:p>
    <w:p w14:paraId="67DD02B9">
      <w:pPr>
        <w:tabs>
          <w:tab w:val="left" w:pos="7655"/>
        </w:tabs>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w:t>
      </w:r>
      <w:bookmarkEnd w:id="659"/>
      <w:r>
        <w:rPr>
          <w:rFonts w:hint="eastAsia" w:ascii="宋体" w:hAnsi="宋体" w:cs="宋体"/>
          <w:color w:val="auto"/>
          <w:spacing w:val="18"/>
          <w:kern w:val="1"/>
          <w:szCs w:val="21"/>
          <w:highlight w:val="none"/>
          <w:lang w:val="zh-CN"/>
        </w:rPr>
        <w:t>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3B899BFB">
      <w:pPr>
        <w:spacing w:line="360" w:lineRule="auto"/>
        <w:jc w:val="right"/>
        <w:rPr>
          <w:rFonts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1E79B700">
      <w:pPr>
        <w:tabs>
          <w:tab w:val="left" w:pos="7655"/>
        </w:tabs>
        <w:spacing w:line="360" w:lineRule="auto"/>
        <w:rPr>
          <w:rFonts w:ascii="宋体" w:hAnsi="宋体" w:cs="宋体"/>
          <w:b/>
          <w:color w:val="auto"/>
          <w:kern w:val="1"/>
          <w:sz w:val="24"/>
          <w:highlight w:val="none"/>
        </w:rPr>
        <w:sectPr>
          <w:headerReference r:id="rId17" w:type="default"/>
          <w:footerReference r:id="rId18" w:type="default"/>
          <w:pgSz w:w="11907" w:h="16840"/>
          <w:pgMar w:top="1361" w:right="1304" w:bottom="1304" w:left="1304" w:header="851" w:footer="720" w:gutter="0"/>
          <w:cols w:space="720" w:num="1"/>
        </w:sectPr>
      </w:pPr>
    </w:p>
    <w:p w14:paraId="76918373">
      <w:pPr>
        <w:widowControl/>
        <w:numPr>
          <w:ilvl w:val="0"/>
          <w:numId w:val="4"/>
        </w:numPr>
        <w:ind w:left="0"/>
        <w:jc w:val="left"/>
        <w:rPr>
          <w:rFonts w:cs="宋体"/>
          <w:b/>
          <w:color w:val="auto"/>
          <w:spacing w:val="4"/>
          <w:sz w:val="32"/>
          <w:szCs w:val="32"/>
          <w:highlight w:val="none"/>
        </w:rPr>
      </w:pPr>
    </w:p>
    <w:p w14:paraId="7BDD32EA">
      <w:pPr>
        <w:pStyle w:val="11"/>
        <w:spacing w:line="360" w:lineRule="auto"/>
        <w:jc w:val="center"/>
        <w:rPr>
          <w:rFonts w:cs="宋体"/>
          <w:b/>
          <w:color w:val="auto"/>
          <w:spacing w:val="4"/>
          <w:sz w:val="32"/>
          <w:szCs w:val="32"/>
          <w:highlight w:val="none"/>
          <w:lang w:val="en-US"/>
        </w:rPr>
      </w:pPr>
      <w:r>
        <w:rPr>
          <w:rFonts w:hint="eastAsia" w:cs="宋体"/>
          <w:b/>
          <w:color w:val="auto"/>
          <w:spacing w:val="4"/>
          <w:sz w:val="32"/>
          <w:szCs w:val="32"/>
          <w:highlight w:val="none"/>
          <w:lang w:val="en-US"/>
        </w:rPr>
        <w:t>工程总承包服务及运营管理方案</w:t>
      </w:r>
    </w:p>
    <w:p w14:paraId="6B740655">
      <w:pPr>
        <w:pStyle w:val="11"/>
        <w:spacing w:line="360" w:lineRule="auto"/>
        <w:jc w:val="center"/>
        <w:rPr>
          <w:rFonts w:cs="宋体"/>
          <w:color w:val="auto"/>
          <w:kern w:val="1"/>
          <w:sz w:val="28"/>
          <w:szCs w:val="28"/>
          <w:highlight w:val="none"/>
          <w:lang w:val="en-US"/>
        </w:rPr>
      </w:pPr>
    </w:p>
    <w:p w14:paraId="01625D79">
      <w:pPr>
        <w:spacing w:line="360" w:lineRule="auto"/>
        <w:rPr>
          <w:color w:val="auto"/>
          <w:sz w:val="24"/>
          <w:szCs w:val="24"/>
          <w:highlight w:val="none"/>
        </w:rPr>
      </w:pPr>
      <w:r>
        <w:rPr>
          <w:rFonts w:hint="eastAsia"/>
          <w:color w:val="auto"/>
          <w:sz w:val="24"/>
          <w:szCs w:val="24"/>
          <w:highlight w:val="none"/>
        </w:rPr>
        <w:t>注：投标人按照《工程总承包实施及运营管理方案评分表》中评审标准提交，格式自拟。</w:t>
      </w:r>
    </w:p>
    <w:p w14:paraId="66AF881A">
      <w:pPr>
        <w:rPr>
          <w:color w:val="auto"/>
          <w:sz w:val="24"/>
          <w:szCs w:val="24"/>
          <w:highlight w:val="none"/>
        </w:rPr>
      </w:pPr>
    </w:p>
    <w:p w14:paraId="7DE00DAC">
      <w:pPr>
        <w:pStyle w:val="30"/>
        <w:rPr>
          <w:color w:val="auto"/>
          <w:highlight w:val="none"/>
        </w:rPr>
      </w:pPr>
    </w:p>
    <w:p w14:paraId="1F654492">
      <w:pPr>
        <w:rPr>
          <w:color w:val="auto"/>
          <w:highlight w:val="none"/>
        </w:rPr>
      </w:pPr>
    </w:p>
    <w:p w14:paraId="191DB4FF">
      <w:pPr>
        <w:widowControl/>
        <w:numPr>
          <w:ilvl w:val="0"/>
          <w:numId w:val="4"/>
        </w:numPr>
        <w:ind w:left="0"/>
        <w:jc w:val="left"/>
        <w:rPr>
          <w:rFonts w:ascii="宋体" w:hAnsi="宋体" w:cs="宋体"/>
          <w:b/>
          <w:bCs/>
          <w:color w:val="auto"/>
          <w:spacing w:val="4"/>
          <w:sz w:val="24"/>
          <w:szCs w:val="24"/>
          <w:highlight w:val="none"/>
          <w:lang w:val="zh-CN"/>
        </w:rPr>
      </w:pPr>
      <w:r>
        <w:rPr>
          <w:rFonts w:cs="宋体"/>
          <w:b/>
          <w:color w:val="auto"/>
          <w:kern w:val="1"/>
          <w:sz w:val="24"/>
          <w:highlight w:val="none"/>
        </w:rPr>
        <w:br w:type="page"/>
      </w:r>
    </w:p>
    <w:p w14:paraId="77D3E8CD">
      <w:pPr>
        <w:rPr>
          <w:rFonts w:ascii="宋体" w:hAnsi="宋体" w:cs="宋体"/>
          <w:b/>
          <w:color w:val="auto"/>
          <w:kern w:val="1"/>
          <w:highlight w:val="none"/>
        </w:rPr>
      </w:pPr>
    </w:p>
    <w:p w14:paraId="017C4C09">
      <w:pPr>
        <w:autoSpaceDE w:val="0"/>
        <w:autoSpaceDN w:val="0"/>
        <w:spacing w:line="360" w:lineRule="auto"/>
        <w:jc w:val="center"/>
        <w:rPr>
          <w:rFonts w:ascii="宋体" w:hAnsi="宋体" w:cs="宋体"/>
          <w:b/>
          <w:bCs/>
          <w:color w:val="auto"/>
          <w:sz w:val="28"/>
          <w:szCs w:val="36"/>
          <w:highlight w:val="none"/>
          <w:lang w:val="zh-CN"/>
        </w:rPr>
      </w:pPr>
      <w:r>
        <w:rPr>
          <w:rFonts w:hint="eastAsia" w:ascii="宋体" w:hAnsi="宋体" w:cs="宋体"/>
          <w:b/>
          <w:bCs/>
          <w:color w:val="auto"/>
          <w:sz w:val="28"/>
          <w:szCs w:val="36"/>
          <w:highlight w:val="none"/>
          <w:lang w:val="zh-CN"/>
        </w:rPr>
        <w:t>参与编制工程总承包实施及运营管理方案技术投标文件人员名单</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29"/>
        <w:gridCol w:w="1463"/>
        <w:gridCol w:w="2590"/>
        <w:gridCol w:w="2734"/>
        <w:gridCol w:w="1638"/>
      </w:tblGrid>
      <w:tr w14:paraId="561FFE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429" w:type="dxa"/>
            <w:vAlign w:val="center"/>
          </w:tcPr>
          <w:p w14:paraId="3FD0908A">
            <w:pPr>
              <w:tabs>
                <w:tab w:val="left" w:pos="0"/>
                <w:tab w:val="left" w:pos="720"/>
              </w:tabs>
              <w:jc w:val="center"/>
              <w:rPr>
                <w:rFonts w:ascii="宋体" w:hAnsi="宋体"/>
                <w:b/>
                <w:color w:val="auto"/>
                <w:sz w:val="24"/>
                <w:highlight w:val="none"/>
              </w:rPr>
            </w:pPr>
            <w:r>
              <w:rPr>
                <w:rFonts w:hint="eastAsia" w:ascii="宋体" w:hAnsi="宋体"/>
                <w:b/>
                <w:color w:val="auto"/>
                <w:sz w:val="24"/>
                <w:highlight w:val="none"/>
              </w:rPr>
              <w:t>姓名</w:t>
            </w:r>
          </w:p>
        </w:tc>
        <w:tc>
          <w:tcPr>
            <w:tcW w:w="1463" w:type="dxa"/>
            <w:vAlign w:val="center"/>
          </w:tcPr>
          <w:p w14:paraId="51773C25">
            <w:pPr>
              <w:tabs>
                <w:tab w:val="left" w:pos="0"/>
                <w:tab w:val="left" w:pos="720"/>
              </w:tabs>
              <w:jc w:val="center"/>
              <w:rPr>
                <w:rFonts w:ascii="宋体" w:hAnsi="宋体"/>
                <w:b/>
                <w:color w:val="auto"/>
                <w:sz w:val="24"/>
                <w:highlight w:val="none"/>
              </w:rPr>
            </w:pPr>
            <w:r>
              <w:rPr>
                <w:rFonts w:hint="eastAsia" w:ascii="宋体" w:hAnsi="宋体"/>
                <w:b/>
                <w:color w:val="auto"/>
                <w:sz w:val="24"/>
                <w:highlight w:val="none"/>
              </w:rPr>
              <w:t>职务</w:t>
            </w:r>
          </w:p>
        </w:tc>
        <w:tc>
          <w:tcPr>
            <w:tcW w:w="2590" w:type="dxa"/>
            <w:vAlign w:val="center"/>
          </w:tcPr>
          <w:p w14:paraId="7A9F2FA6">
            <w:pPr>
              <w:tabs>
                <w:tab w:val="left" w:pos="0"/>
                <w:tab w:val="left" w:pos="720"/>
              </w:tabs>
              <w:jc w:val="center"/>
              <w:rPr>
                <w:rFonts w:ascii="宋体" w:hAnsi="宋体"/>
                <w:b/>
                <w:color w:val="auto"/>
                <w:sz w:val="24"/>
                <w:highlight w:val="none"/>
              </w:rPr>
            </w:pPr>
            <w:r>
              <w:rPr>
                <w:rFonts w:hint="eastAsia" w:ascii="宋体" w:hAnsi="宋体"/>
                <w:b/>
                <w:color w:val="auto"/>
                <w:sz w:val="24"/>
                <w:highlight w:val="none"/>
              </w:rPr>
              <w:t>所承担工作</w:t>
            </w:r>
          </w:p>
        </w:tc>
        <w:tc>
          <w:tcPr>
            <w:tcW w:w="2734" w:type="dxa"/>
            <w:vAlign w:val="center"/>
          </w:tcPr>
          <w:p w14:paraId="4040F5DF">
            <w:pPr>
              <w:tabs>
                <w:tab w:val="left" w:pos="0"/>
                <w:tab w:val="left" w:pos="720"/>
              </w:tabs>
              <w:jc w:val="center"/>
              <w:rPr>
                <w:rFonts w:ascii="宋体" w:hAnsi="宋体"/>
                <w:b/>
                <w:color w:val="auto"/>
                <w:sz w:val="24"/>
                <w:highlight w:val="none"/>
              </w:rPr>
            </w:pPr>
            <w:r>
              <w:rPr>
                <w:rFonts w:hint="eastAsia" w:ascii="宋体" w:hAnsi="宋体"/>
                <w:b/>
                <w:color w:val="auto"/>
                <w:sz w:val="24"/>
                <w:highlight w:val="none"/>
              </w:rPr>
              <w:t>身份证号码</w:t>
            </w:r>
          </w:p>
        </w:tc>
        <w:tc>
          <w:tcPr>
            <w:tcW w:w="1638" w:type="dxa"/>
            <w:vAlign w:val="center"/>
          </w:tcPr>
          <w:p w14:paraId="748231A5">
            <w:pPr>
              <w:tabs>
                <w:tab w:val="left" w:pos="0"/>
                <w:tab w:val="left" w:pos="720"/>
              </w:tabs>
              <w:rPr>
                <w:rFonts w:ascii="宋体" w:hAnsi="宋体"/>
                <w:b/>
                <w:color w:val="auto"/>
                <w:sz w:val="24"/>
                <w:highlight w:val="none"/>
              </w:rPr>
            </w:pPr>
            <w:r>
              <w:rPr>
                <w:rFonts w:hint="eastAsia" w:ascii="宋体" w:hAnsi="宋体"/>
                <w:b/>
                <w:color w:val="auto"/>
                <w:sz w:val="24"/>
                <w:highlight w:val="none"/>
              </w:rPr>
              <w:t>本人签名栏</w:t>
            </w:r>
          </w:p>
        </w:tc>
      </w:tr>
      <w:tr w14:paraId="135317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429" w:type="dxa"/>
            <w:vAlign w:val="center"/>
          </w:tcPr>
          <w:p w14:paraId="5DF82BD3">
            <w:pPr>
              <w:tabs>
                <w:tab w:val="left" w:pos="0"/>
                <w:tab w:val="left" w:pos="720"/>
              </w:tabs>
              <w:jc w:val="center"/>
              <w:rPr>
                <w:rFonts w:ascii="宋体" w:hAnsi="宋体"/>
                <w:color w:val="auto"/>
                <w:sz w:val="24"/>
                <w:highlight w:val="none"/>
              </w:rPr>
            </w:pPr>
          </w:p>
        </w:tc>
        <w:tc>
          <w:tcPr>
            <w:tcW w:w="1463" w:type="dxa"/>
            <w:vAlign w:val="center"/>
          </w:tcPr>
          <w:p w14:paraId="672C65F1">
            <w:pPr>
              <w:tabs>
                <w:tab w:val="left" w:pos="0"/>
                <w:tab w:val="left" w:pos="720"/>
              </w:tabs>
              <w:jc w:val="center"/>
              <w:rPr>
                <w:rFonts w:ascii="宋体" w:hAnsi="宋体"/>
                <w:color w:val="auto"/>
                <w:sz w:val="24"/>
                <w:highlight w:val="none"/>
              </w:rPr>
            </w:pPr>
          </w:p>
        </w:tc>
        <w:tc>
          <w:tcPr>
            <w:tcW w:w="2590" w:type="dxa"/>
            <w:vAlign w:val="center"/>
          </w:tcPr>
          <w:p w14:paraId="5A93BD36">
            <w:pPr>
              <w:tabs>
                <w:tab w:val="left" w:pos="0"/>
                <w:tab w:val="left" w:pos="720"/>
              </w:tabs>
              <w:jc w:val="center"/>
              <w:rPr>
                <w:rFonts w:ascii="宋体" w:hAnsi="宋体"/>
                <w:color w:val="auto"/>
                <w:sz w:val="24"/>
                <w:highlight w:val="none"/>
              </w:rPr>
            </w:pPr>
          </w:p>
        </w:tc>
        <w:tc>
          <w:tcPr>
            <w:tcW w:w="2734" w:type="dxa"/>
            <w:vAlign w:val="center"/>
          </w:tcPr>
          <w:p w14:paraId="51EB11B9">
            <w:pPr>
              <w:tabs>
                <w:tab w:val="left" w:pos="0"/>
                <w:tab w:val="left" w:pos="720"/>
              </w:tabs>
              <w:jc w:val="center"/>
              <w:rPr>
                <w:rFonts w:ascii="宋体" w:hAnsi="宋体"/>
                <w:color w:val="auto"/>
                <w:sz w:val="24"/>
                <w:highlight w:val="none"/>
              </w:rPr>
            </w:pPr>
          </w:p>
        </w:tc>
        <w:tc>
          <w:tcPr>
            <w:tcW w:w="1638" w:type="dxa"/>
            <w:vAlign w:val="center"/>
          </w:tcPr>
          <w:p w14:paraId="3BE2872F">
            <w:pPr>
              <w:tabs>
                <w:tab w:val="left" w:pos="0"/>
                <w:tab w:val="left" w:pos="720"/>
              </w:tabs>
              <w:jc w:val="center"/>
              <w:rPr>
                <w:rFonts w:ascii="宋体" w:hAnsi="宋体"/>
                <w:color w:val="auto"/>
                <w:sz w:val="24"/>
                <w:highlight w:val="none"/>
              </w:rPr>
            </w:pPr>
          </w:p>
        </w:tc>
      </w:tr>
      <w:tr w14:paraId="13DF16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29" w:type="dxa"/>
            <w:vAlign w:val="center"/>
          </w:tcPr>
          <w:p w14:paraId="13D71065">
            <w:pPr>
              <w:tabs>
                <w:tab w:val="left" w:pos="0"/>
                <w:tab w:val="left" w:pos="720"/>
              </w:tabs>
              <w:jc w:val="center"/>
              <w:rPr>
                <w:rFonts w:ascii="宋体" w:hAnsi="宋体"/>
                <w:color w:val="auto"/>
                <w:sz w:val="24"/>
                <w:highlight w:val="none"/>
              </w:rPr>
            </w:pPr>
          </w:p>
        </w:tc>
        <w:tc>
          <w:tcPr>
            <w:tcW w:w="1463" w:type="dxa"/>
            <w:vAlign w:val="center"/>
          </w:tcPr>
          <w:p w14:paraId="0DBB6D63">
            <w:pPr>
              <w:tabs>
                <w:tab w:val="left" w:pos="0"/>
                <w:tab w:val="left" w:pos="720"/>
              </w:tabs>
              <w:jc w:val="center"/>
              <w:rPr>
                <w:rFonts w:ascii="宋体" w:hAnsi="宋体"/>
                <w:color w:val="auto"/>
                <w:sz w:val="24"/>
                <w:highlight w:val="none"/>
              </w:rPr>
            </w:pPr>
          </w:p>
        </w:tc>
        <w:tc>
          <w:tcPr>
            <w:tcW w:w="2590" w:type="dxa"/>
            <w:vAlign w:val="center"/>
          </w:tcPr>
          <w:p w14:paraId="6D1EE2CB">
            <w:pPr>
              <w:tabs>
                <w:tab w:val="left" w:pos="0"/>
                <w:tab w:val="left" w:pos="720"/>
              </w:tabs>
              <w:jc w:val="center"/>
              <w:rPr>
                <w:rFonts w:ascii="宋体" w:hAnsi="宋体"/>
                <w:color w:val="auto"/>
                <w:sz w:val="24"/>
                <w:highlight w:val="none"/>
              </w:rPr>
            </w:pPr>
          </w:p>
        </w:tc>
        <w:tc>
          <w:tcPr>
            <w:tcW w:w="2734" w:type="dxa"/>
            <w:vAlign w:val="center"/>
          </w:tcPr>
          <w:p w14:paraId="30961EC5">
            <w:pPr>
              <w:tabs>
                <w:tab w:val="left" w:pos="0"/>
                <w:tab w:val="left" w:pos="720"/>
              </w:tabs>
              <w:jc w:val="center"/>
              <w:rPr>
                <w:rFonts w:ascii="宋体" w:hAnsi="宋体"/>
                <w:color w:val="auto"/>
                <w:sz w:val="24"/>
                <w:highlight w:val="none"/>
              </w:rPr>
            </w:pPr>
          </w:p>
        </w:tc>
        <w:tc>
          <w:tcPr>
            <w:tcW w:w="1638" w:type="dxa"/>
            <w:vAlign w:val="center"/>
          </w:tcPr>
          <w:p w14:paraId="2D6DBB6D">
            <w:pPr>
              <w:tabs>
                <w:tab w:val="left" w:pos="0"/>
                <w:tab w:val="left" w:pos="720"/>
              </w:tabs>
              <w:jc w:val="center"/>
              <w:rPr>
                <w:rFonts w:ascii="宋体" w:hAnsi="宋体"/>
                <w:color w:val="auto"/>
                <w:sz w:val="24"/>
                <w:highlight w:val="none"/>
              </w:rPr>
            </w:pPr>
          </w:p>
        </w:tc>
      </w:tr>
      <w:tr w14:paraId="7394B5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29" w:type="dxa"/>
            <w:vAlign w:val="center"/>
          </w:tcPr>
          <w:p w14:paraId="1C965692">
            <w:pPr>
              <w:tabs>
                <w:tab w:val="left" w:pos="0"/>
                <w:tab w:val="left" w:pos="720"/>
              </w:tabs>
              <w:jc w:val="center"/>
              <w:rPr>
                <w:rFonts w:ascii="宋体" w:hAnsi="宋体"/>
                <w:color w:val="auto"/>
                <w:sz w:val="24"/>
                <w:highlight w:val="none"/>
              </w:rPr>
            </w:pPr>
          </w:p>
        </w:tc>
        <w:tc>
          <w:tcPr>
            <w:tcW w:w="1463" w:type="dxa"/>
            <w:vAlign w:val="center"/>
          </w:tcPr>
          <w:p w14:paraId="01284A7D">
            <w:pPr>
              <w:tabs>
                <w:tab w:val="left" w:pos="0"/>
                <w:tab w:val="left" w:pos="720"/>
              </w:tabs>
              <w:jc w:val="center"/>
              <w:rPr>
                <w:rFonts w:ascii="宋体" w:hAnsi="宋体"/>
                <w:color w:val="auto"/>
                <w:sz w:val="24"/>
                <w:highlight w:val="none"/>
              </w:rPr>
            </w:pPr>
          </w:p>
        </w:tc>
        <w:tc>
          <w:tcPr>
            <w:tcW w:w="2590" w:type="dxa"/>
            <w:vAlign w:val="center"/>
          </w:tcPr>
          <w:p w14:paraId="2DE70203">
            <w:pPr>
              <w:tabs>
                <w:tab w:val="left" w:pos="0"/>
                <w:tab w:val="left" w:pos="720"/>
              </w:tabs>
              <w:jc w:val="center"/>
              <w:rPr>
                <w:rFonts w:ascii="宋体" w:hAnsi="宋体"/>
                <w:color w:val="auto"/>
                <w:sz w:val="24"/>
                <w:highlight w:val="none"/>
              </w:rPr>
            </w:pPr>
          </w:p>
        </w:tc>
        <w:tc>
          <w:tcPr>
            <w:tcW w:w="2734" w:type="dxa"/>
            <w:vAlign w:val="center"/>
          </w:tcPr>
          <w:p w14:paraId="021142C7">
            <w:pPr>
              <w:tabs>
                <w:tab w:val="left" w:pos="0"/>
                <w:tab w:val="left" w:pos="720"/>
              </w:tabs>
              <w:jc w:val="center"/>
              <w:rPr>
                <w:rFonts w:ascii="宋体" w:hAnsi="宋体"/>
                <w:color w:val="auto"/>
                <w:sz w:val="24"/>
                <w:highlight w:val="none"/>
              </w:rPr>
            </w:pPr>
          </w:p>
        </w:tc>
        <w:tc>
          <w:tcPr>
            <w:tcW w:w="1638" w:type="dxa"/>
            <w:vAlign w:val="center"/>
          </w:tcPr>
          <w:p w14:paraId="6C3F5AF1">
            <w:pPr>
              <w:tabs>
                <w:tab w:val="left" w:pos="0"/>
                <w:tab w:val="left" w:pos="720"/>
              </w:tabs>
              <w:jc w:val="center"/>
              <w:rPr>
                <w:rFonts w:ascii="宋体" w:hAnsi="宋体"/>
                <w:color w:val="auto"/>
                <w:sz w:val="24"/>
                <w:highlight w:val="none"/>
              </w:rPr>
            </w:pPr>
          </w:p>
        </w:tc>
      </w:tr>
      <w:tr w14:paraId="07A64D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29" w:type="dxa"/>
            <w:vAlign w:val="center"/>
          </w:tcPr>
          <w:p w14:paraId="4CD206F0">
            <w:pPr>
              <w:tabs>
                <w:tab w:val="left" w:pos="0"/>
                <w:tab w:val="left" w:pos="720"/>
              </w:tabs>
              <w:jc w:val="center"/>
              <w:rPr>
                <w:rFonts w:ascii="宋体" w:hAnsi="宋体"/>
                <w:color w:val="auto"/>
                <w:sz w:val="24"/>
                <w:highlight w:val="none"/>
              </w:rPr>
            </w:pPr>
          </w:p>
        </w:tc>
        <w:tc>
          <w:tcPr>
            <w:tcW w:w="1463" w:type="dxa"/>
            <w:vAlign w:val="center"/>
          </w:tcPr>
          <w:p w14:paraId="1DA3EA59">
            <w:pPr>
              <w:tabs>
                <w:tab w:val="left" w:pos="0"/>
                <w:tab w:val="left" w:pos="720"/>
              </w:tabs>
              <w:jc w:val="center"/>
              <w:rPr>
                <w:rFonts w:ascii="宋体" w:hAnsi="宋体"/>
                <w:color w:val="auto"/>
                <w:sz w:val="24"/>
                <w:highlight w:val="none"/>
              </w:rPr>
            </w:pPr>
          </w:p>
        </w:tc>
        <w:tc>
          <w:tcPr>
            <w:tcW w:w="2590" w:type="dxa"/>
            <w:vAlign w:val="center"/>
          </w:tcPr>
          <w:p w14:paraId="14D4ADA7">
            <w:pPr>
              <w:tabs>
                <w:tab w:val="left" w:pos="0"/>
                <w:tab w:val="left" w:pos="720"/>
              </w:tabs>
              <w:jc w:val="center"/>
              <w:rPr>
                <w:rFonts w:ascii="宋体" w:hAnsi="宋体"/>
                <w:color w:val="auto"/>
                <w:sz w:val="24"/>
                <w:highlight w:val="none"/>
              </w:rPr>
            </w:pPr>
          </w:p>
        </w:tc>
        <w:tc>
          <w:tcPr>
            <w:tcW w:w="2734" w:type="dxa"/>
            <w:vAlign w:val="center"/>
          </w:tcPr>
          <w:p w14:paraId="4E4C7218">
            <w:pPr>
              <w:tabs>
                <w:tab w:val="left" w:pos="0"/>
                <w:tab w:val="left" w:pos="720"/>
              </w:tabs>
              <w:jc w:val="center"/>
              <w:rPr>
                <w:rFonts w:ascii="宋体" w:hAnsi="宋体"/>
                <w:color w:val="auto"/>
                <w:sz w:val="24"/>
                <w:highlight w:val="none"/>
              </w:rPr>
            </w:pPr>
          </w:p>
        </w:tc>
        <w:tc>
          <w:tcPr>
            <w:tcW w:w="1638" w:type="dxa"/>
            <w:vAlign w:val="center"/>
          </w:tcPr>
          <w:p w14:paraId="6DE7D5DC">
            <w:pPr>
              <w:tabs>
                <w:tab w:val="left" w:pos="0"/>
                <w:tab w:val="left" w:pos="720"/>
              </w:tabs>
              <w:jc w:val="center"/>
              <w:rPr>
                <w:rFonts w:ascii="宋体" w:hAnsi="宋体"/>
                <w:color w:val="auto"/>
                <w:sz w:val="24"/>
                <w:highlight w:val="none"/>
              </w:rPr>
            </w:pPr>
          </w:p>
        </w:tc>
      </w:tr>
      <w:tr w14:paraId="530441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29" w:type="dxa"/>
            <w:vAlign w:val="center"/>
          </w:tcPr>
          <w:p w14:paraId="7B0A8A9A">
            <w:pPr>
              <w:tabs>
                <w:tab w:val="left" w:pos="0"/>
                <w:tab w:val="left" w:pos="720"/>
              </w:tabs>
              <w:jc w:val="center"/>
              <w:rPr>
                <w:rFonts w:ascii="宋体" w:hAnsi="宋体"/>
                <w:color w:val="auto"/>
                <w:sz w:val="24"/>
                <w:highlight w:val="none"/>
              </w:rPr>
            </w:pPr>
          </w:p>
        </w:tc>
        <w:tc>
          <w:tcPr>
            <w:tcW w:w="1463" w:type="dxa"/>
            <w:vAlign w:val="center"/>
          </w:tcPr>
          <w:p w14:paraId="6E5DEF50">
            <w:pPr>
              <w:tabs>
                <w:tab w:val="left" w:pos="0"/>
                <w:tab w:val="left" w:pos="720"/>
              </w:tabs>
              <w:jc w:val="center"/>
              <w:rPr>
                <w:rFonts w:ascii="宋体" w:hAnsi="宋体"/>
                <w:color w:val="auto"/>
                <w:sz w:val="24"/>
                <w:highlight w:val="none"/>
              </w:rPr>
            </w:pPr>
          </w:p>
        </w:tc>
        <w:tc>
          <w:tcPr>
            <w:tcW w:w="2590" w:type="dxa"/>
            <w:vAlign w:val="center"/>
          </w:tcPr>
          <w:p w14:paraId="64BF6112">
            <w:pPr>
              <w:tabs>
                <w:tab w:val="left" w:pos="0"/>
                <w:tab w:val="left" w:pos="720"/>
              </w:tabs>
              <w:jc w:val="center"/>
              <w:rPr>
                <w:rFonts w:ascii="宋体" w:hAnsi="宋体"/>
                <w:color w:val="auto"/>
                <w:sz w:val="24"/>
                <w:highlight w:val="none"/>
              </w:rPr>
            </w:pPr>
          </w:p>
        </w:tc>
        <w:tc>
          <w:tcPr>
            <w:tcW w:w="2734" w:type="dxa"/>
            <w:vAlign w:val="center"/>
          </w:tcPr>
          <w:p w14:paraId="714FB257">
            <w:pPr>
              <w:tabs>
                <w:tab w:val="left" w:pos="0"/>
                <w:tab w:val="left" w:pos="720"/>
              </w:tabs>
              <w:jc w:val="center"/>
              <w:rPr>
                <w:rFonts w:ascii="宋体" w:hAnsi="宋体"/>
                <w:color w:val="auto"/>
                <w:sz w:val="24"/>
                <w:highlight w:val="none"/>
              </w:rPr>
            </w:pPr>
          </w:p>
        </w:tc>
        <w:tc>
          <w:tcPr>
            <w:tcW w:w="1638" w:type="dxa"/>
            <w:vAlign w:val="center"/>
          </w:tcPr>
          <w:p w14:paraId="655959C3">
            <w:pPr>
              <w:tabs>
                <w:tab w:val="left" w:pos="0"/>
                <w:tab w:val="left" w:pos="720"/>
              </w:tabs>
              <w:jc w:val="center"/>
              <w:rPr>
                <w:rFonts w:ascii="宋体" w:hAnsi="宋体"/>
                <w:color w:val="auto"/>
                <w:sz w:val="24"/>
                <w:highlight w:val="none"/>
              </w:rPr>
            </w:pPr>
          </w:p>
        </w:tc>
      </w:tr>
      <w:tr w14:paraId="640C8F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29" w:type="dxa"/>
            <w:vAlign w:val="center"/>
          </w:tcPr>
          <w:p w14:paraId="171DEF9E">
            <w:pPr>
              <w:tabs>
                <w:tab w:val="left" w:pos="0"/>
                <w:tab w:val="left" w:pos="720"/>
              </w:tabs>
              <w:jc w:val="center"/>
              <w:rPr>
                <w:rFonts w:ascii="宋体" w:hAnsi="宋体"/>
                <w:color w:val="auto"/>
                <w:sz w:val="24"/>
                <w:highlight w:val="none"/>
              </w:rPr>
            </w:pPr>
          </w:p>
        </w:tc>
        <w:tc>
          <w:tcPr>
            <w:tcW w:w="1463" w:type="dxa"/>
            <w:vAlign w:val="center"/>
          </w:tcPr>
          <w:p w14:paraId="47C6E4A4">
            <w:pPr>
              <w:tabs>
                <w:tab w:val="left" w:pos="0"/>
                <w:tab w:val="left" w:pos="720"/>
              </w:tabs>
              <w:jc w:val="center"/>
              <w:rPr>
                <w:rFonts w:ascii="宋体" w:hAnsi="宋体"/>
                <w:color w:val="auto"/>
                <w:sz w:val="24"/>
                <w:highlight w:val="none"/>
              </w:rPr>
            </w:pPr>
          </w:p>
        </w:tc>
        <w:tc>
          <w:tcPr>
            <w:tcW w:w="2590" w:type="dxa"/>
            <w:vAlign w:val="center"/>
          </w:tcPr>
          <w:p w14:paraId="24591C49">
            <w:pPr>
              <w:tabs>
                <w:tab w:val="left" w:pos="0"/>
                <w:tab w:val="left" w:pos="720"/>
              </w:tabs>
              <w:jc w:val="center"/>
              <w:rPr>
                <w:rFonts w:ascii="宋体" w:hAnsi="宋体"/>
                <w:color w:val="auto"/>
                <w:sz w:val="24"/>
                <w:highlight w:val="none"/>
              </w:rPr>
            </w:pPr>
          </w:p>
        </w:tc>
        <w:tc>
          <w:tcPr>
            <w:tcW w:w="2734" w:type="dxa"/>
            <w:vAlign w:val="center"/>
          </w:tcPr>
          <w:p w14:paraId="2ADE21C3">
            <w:pPr>
              <w:tabs>
                <w:tab w:val="left" w:pos="0"/>
                <w:tab w:val="left" w:pos="720"/>
              </w:tabs>
              <w:jc w:val="center"/>
              <w:rPr>
                <w:rFonts w:ascii="宋体" w:hAnsi="宋体"/>
                <w:color w:val="auto"/>
                <w:sz w:val="24"/>
                <w:highlight w:val="none"/>
              </w:rPr>
            </w:pPr>
          </w:p>
        </w:tc>
        <w:tc>
          <w:tcPr>
            <w:tcW w:w="1638" w:type="dxa"/>
            <w:vAlign w:val="center"/>
          </w:tcPr>
          <w:p w14:paraId="168358B6">
            <w:pPr>
              <w:tabs>
                <w:tab w:val="left" w:pos="0"/>
                <w:tab w:val="left" w:pos="720"/>
              </w:tabs>
              <w:jc w:val="center"/>
              <w:rPr>
                <w:rFonts w:ascii="宋体" w:hAnsi="宋体"/>
                <w:color w:val="auto"/>
                <w:sz w:val="24"/>
                <w:highlight w:val="none"/>
              </w:rPr>
            </w:pPr>
          </w:p>
        </w:tc>
      </w:tr>
      <w:tr w14:paraId="445C3C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29" w:type="dxa"/>
            <w:vAlign w:val="center"/>
          </w:tcPr>
          <w:p w14:paraId="741D939B">
            <w:pPr>
              <w:tabs>
                <w:tab w:val="left" w:pos="0"/>
                <w:tab w:val="left" w:pos="720"/>
              </w:tabs>
              <w:jc w:val="center"/>
              <w:rPr>
                <w:rFonts w:ascii="宋体" w:hAnsi="宋体"/>
                <w:color w:val="auto"/>
                <w:sz w:val="24"/>
                <w:highlight w:val="none"/>
              </w:rPr>
            </w:pPr>
          </w:p>
        </w:tc>
        <w:tc>
          <w:tcPr>
            <w:tcW w:w="1463" w:type="dxa"/>
            <w:vAlign w:val="center"/>
          </w:tcPr>
          <w:p w14:paraId="109308BF">
            <w:pPr>
              <w:tabs>
                <w:tab w:val="left" w:pos="0"/>
                <w:tab w:val="left" w:pos="720"/>
              </w:tabs>
              <w:jc w:val="center"/>
              <w:rPr>
                <w:rFonts w:ascii="宋体" w:hAnsi="宋体"/>
                <w:color w:val="auto"/>
                <w:sz w:val="24"/>
                <w:highlight w:val="none"/>
              </w:rPr>
            </w:pPr>
          </w:p>
        </w:tc>
        <w:tc>
          <w:tcPr>
            <w:tcW w:w="2590" w:type="dxa"/>
            <w:vAlign w:val="center"/>
          </w:tcPr>
          <w:p w14:paraId="4D7B5DCE">
            <w:pPr>
              <w:tabs>
                <w:tab w:val="left" w:pos="0"/>
                <w:tab w:val="left" w:pos="720"/>
              </w:tabs>
              <w:jc w:val="center"/>
              <w:rPr>
                <w:rFonts w:ascii="宋体" w:hAnsi="宋体"/>
                <w:color w:val="auto"/>
                <w:sz w:val="24"/>
                <w:highlight w:val="none"/>
              </w:rPr>
            </w:pPr>
          </w:p>
        </w:tc>
        <w:tc>
          <w:tcPr>
            <w:tcW w:w="2734" w:type="dxa"/>
            <w:vAlign w:val="center"/>
          </w:tcPr>
          <w:p w14:paraId="5FB0428E">
            <w:pPr>
              <w:tabs>
                <w:tab w:val="left" w:pos="0"/>
                <w:tab w:val="left" w:pos="720"/>
              </w:tabs>
              <w:jc w:val="center"/>
              <w:rPr>
                <w:rFonts w:ascii="宋体" w:hAnsi="宋体"/>
                <w:color w:val="auto"/>
                <w:sz w:val="24"/>
                <w:highlight w:val="none"/>
              </w:rPr>
            </w:pPr>
          </w:p>
        </w:tc>
        <w:tc>
          <w:tcPr>
            <w:tcW w:w="1638" w:type="dxa"/>
            <w:vAlign w:val="center"/>
          </w:tcPr>
          <w:p w14:paraId="4B3DD914">
            <w:pPr>
              <w:tabs>
                <w:tab w:val="left" w:pos="0"/>
                <w:tab w:val="left" w:pos="720"/>
              </w:tabs>
              <w:jc w:val="center"/>
              <w:rPr>
                <w:rFonts w:ascii="宋体" w:hAnsi="宋体"/>
                <w:color w:val="auto"/>
                <w:sz w:val="24"/>
                <w:highlight w:val="none"/>
              </w:rPr>
            </w:pPr>
          </w:p>
        </w:tc>
      </w:tr>
      <w:tr w14:paraId="5D3B61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29" w:type="dxa"/>
            <w:vAlign w:val="center"/>
          </w:tcPr>
          <w:p w14:paraId="5359F33A">
            <w:pPr>
              <w:tabs>
                <w:tab w:val="left" w:pos="0"/>
                <w:tab w:val="left" w:pos="720"/>
              </w:tabs>
              <w:jc w:val="center"/>
              <w:rPr>
                <w:rFonts w:ascii="宋体" w:hAnsi="宋体"/>
                <w:color w:val="auto"/>
                <w:sz w:val="24"/>
                <w:highlight w:val="none"/>
              </w:rPr>
            </w:pPr>
          </w:p>
        </w:tc>
        <w:tc>
          <w:tcPr>
            <w:tcW w:w="1463" w:type="dxa"/>
            <w:vAlign w:val="center"/>
          </w:tcPr>
          <w:p w14:paraId="5129437A">
            <w:pPr>
              <w:tabs>
                <w:tab w:val="left" w:pos="0"/>
                <w:tab w:val="left" w:pos="720"/>
              </w:tabs>
              <w:jc w:val="center"/>
              <w:rPr>
                <w:rFonts w:ascii="宋体" w:hAnsi="宋体"/>
                <w:color w:val="auto"/>
                <w:sz w:val="24"/>
                <w:highlight w:val="none"/>
              </w:rPr>
            </w:pPr>
          </w:p>
        </w:tc>
        <w:tc>
          <w:tcPr>
            <w:tcW w:w="2590" w:type="dxa"/>
            <w:vAlign w:val="center"/>
          </w:tcPr>
          <w:p w14:paraId="12C24827">
            <w:pPr>
              <w:tabs>
                <w:tab w:val="left" w:pos="0"/>
                <w:tab w:val="left" w:pos="720"/>
              </w:tabs>
              <w:jc w:val="center"/>
              <w:rPr>
                <w:rFonts w:ascii="宋体" w:hAnsi="宋体"/>
                <w:color w:val="auto"/>
                <w:sz w:val="24"/>
                <w:highlight w:val="none"/>
              </w:rPr>
            </w:pPr>
          </w:p>
        </w:tc>
        <w:tc>
          <w:tcPr>
            <w:tcW w:w="2734" w:type="dxa"/>
            <w:vAlign w:val="center"/>
          </w:tcPr>
          <w:p w14:paraId="375535EE">
            <w:pPr>
              <w:tabs>
                <w:tab w:val="left" w:pos="0"/>
                <w:tab w:val="left" w:pos="720"/>
              </w:tabs>
              <w:jc w:val="center"/>
              <w:rPr>
                <w:rFonts w:ascii="宋体" w:hAnsi="宋体"/>
                <w:color w:val="auto"/>
                <w:sz w:val="24"/>
                <w:highlight w:val="none"/>
              </w:rPr>
            </w:pPr>
          </w:p>
        </w:tc>
        <w:tc>
          <w:tcPr>
            <w:tcW w:w="1638" w:type="dxa"/>
            <w:vAlign w:val="center"/>
          </w:tcPr>
          <w:p w14:paraId="53A7E353">
            <w:pPr>
              <w:tabs>
                <w:tab w:val="left" w:pos="0"/>
                <w:tab w:val="left" w:pos="720"/>
              </w:tabs>
              <w:jc w:val="center"/>
              <w:rPr>
                <w:rFonts w:ascii="宋体" w:hAnsi="宋体"/>
                <w:color w:val="auto"/>
                <w:sz w:val="24"/>
                <w:highlight w:val="none"/>
              </w:rPr>
            </w:pPr>
          </w:p>
        </w:tc>
      </w:tr>
      <w:tr w14:paraId="47927F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29" w:type="dxa"/>
            <w:vAlign w:val="center"/>
          </w:tcPr>
          <w:p w14:paraId="27A2BBC5">
            <w:pPr>
              <w:tabs>
                <w:tab w:val="left" w:pos="0"/>
                <w:tab w:val="left" w:pos="720"/>
              </w:tabs>
              <w:jc w:val="center"/>
              <w:rPr>
                <w:rFonts w:ascii="宋体" w:hAnsi="宋体"/>
                <w:color w:val="auto"/>
                <w:sz w:val="24"/>
                <w:highlight w:val="none"/>
              </w:rPr>
            </w:pPr>
          </w:p>
        </w:tc>
        <w:tc>
          <w:tcPr>
            <w:tcW w:w="1463" w:type="dxa"/>
            <w:vAlign w:val="center"/>
          </w:tcPr>
          <w:p w14:paraId="6DF6EC36">
            <w:pPr>
              <w:tabs>
                <w:tab w:val="left" w:pos="0"/>
                <w:tab w:val="left" w:pos="720"/>
              </w:tabs>
              <w:jc w:val="center"/>
              <w:rPr>
                <w:rFonts w:ascii="宋体" w:hAnsi="宋体"/>
                <w:color w:val="auto"/>
                <w:sz w:val="24"/>
                <w:highlight w:val="none"/>
              </w:rPr>
            </w:pPr>
          </w:p>
        </w:tc>
        <w:tc>
          <w:tcPr>
            <w:tcW w:w="2590" w:type="dxa"/>
            <w:vAlign w:val="center"/>
          </w:tcPr>
          <w:p w14:paraId="69C7A759">
            <w:pPr>
              <w:tabs>
                <w:tab w:val="left" w:pos="0"/>
                <w:tab w:val="left" w:pos="720"/>
              </w:tabs>
              <w:jc w:val="center"/>
              <w:rPr>
                <w:rFonts w:ascii="宋体" w:hAnsi="宋体"/>
                <w:color w:val="auto"/>
                <w:sz w:val="24"/>
                <w:highlight w:val="none"/>
              </w:rPr>
            </w:pPr>
          </w:p>
        </w:tc>
        <w:tc>
          <w:tcPr>
            <w:tcW w:w="2734" w:type="dxa"/>
            <w:vAlign w:val="center"/>
          </w:tcPr>
          <w:p w14:paraId="7D656BC9">
            <w:pPr>
              <w:tabs>
                <w:tab w:val="left" w:pos="0"/>
                <w:tab w:val="left" w:pos="720"/>
              </w:tabs>
              <w:jc w:val="center"/>
              <w:rPr>
                <w:rFonts w:ascii="宋体" w:hAnsi="宋体"/>
                <w:color w:val="auto"/>
                <w:sz w:val="24"/>
                <w:highlight w:val="none"/>
              </w:rPr>
            </w:pPr>
          </w:p>
        </w:tc>
        <w:tc>
          <w:tcPr>
            <w:tcW w:w="1638" w:type="dxa"/>
            <w:vAlign w:val="center"/>
          </w:tcPr>
          <w:p w14:paraId="0D05A2E1">
            <w:pPr>
              <w:tabs>
                <w:tab w:val="left" w:pos="0"/>
                <w:tab w:val="left" w:pos="720"/>
              </w:tabs>
              <w:jc w:val="center"/>
              <w:rPr>
                <w:rFonts w:ascii="宋体" w:hAnsi="宋体"/>
                <w:color w:val="auto"/>
                <w:sz w:val="24"/>
                <w:highlight w:val="none"/>
              </w:rPr>
            </w:pPr>
          </w:p>
        </w:tc>
      </w:tr>
      <w:tr w14:paraId="5175FE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29" w:type="dxa"/>
            <w:vAlign w:val="center"/>
          </w:tcPr>
          <w:p w14:paraId="5488A7C7">
            <w:pPr>
              <w:tabs>
                <w:tab w:val="left" w:pos="0"/>
                <w:tab w:val="left" w:pos="720"/>
              </w:tabs>
              <w:jc w:val="center"/>
              <w:rPr>
                <w:rFonts w:ascii="宋体" w:hAnsi="宋体"/>
                <w:color w:val="auto"/>
                <w:sz w:val="24"/>
                <w:highlight w:val="none"/>
              </w:rPr>
            </w:pPr>
          </w:p>
        </w:tc>
        <w:tc>
          <w:tcPr>
            <w:tcW w:w="1463" w:type="dxa"/>
            <w:vAlign w:val="center"/>
          </w:tcPr>
          <w:p w14:paraId="24C3A5F4">
            <w:pPr>
              <w:tabs>
                <w:tab w:val="left" w:pos="0"/>
                <w:tab w:val="left" w:pos="720"/>
              </w:tabs>
              <w:jc w:val="center"/>
              <w:rPr>
                <w:rFonts w:ascii="宋体" w:hAnsi="宋体"/>
                <w:color w:val="auto"/>
                <w:sz w:val="24"/>
                <w:highlight w:val="none"/>
              </w:rPr>
            </w:pPr>
          </w:p>
        </w:tc>
        <w:tc>
          <w:tcPr>
            <w:tcW w:w="2590" w:type="dxa"/>
            <w:vAlign w:val="center"/>
          </w:tcPr>
          <w:p w14:paraId="24EF5C0E">
            <w:pPr>
              <w:tabs>
                <w:tab w:val="left" w:pos="0"/>
                <w:tab w:val="left" w:pos="720"/>
              </w:tabs>
              <w:jc w:val="center"/>
              <w:rPr>
                <w:rFonts w:ascii="宋体" w:hAnsi="宋体"/>
                <w:color w:val="auto"/>
                <w:sz w:val="24"/>
                <w:highlight w:val="none"/>
              </w:rPr>
            </w:pPr>
          </w:p>
        </w:tc>
        <w:tc>
          <w:tcPr>
            <w:tcW w:w="2734" w:type="dxa"/>
            <w:vAlign w:val="center"/>
          </w:tcPr>
          <w:p w14:paraId="32ACA469">
            <w:pPr>
              <w:tabs>
                <w:tab w:val="left" w:pos="0"/>
                <w:tab w:val="left" w:pos="720"/>
              </w:tabs>
              <w:jc w:val="center"/>
              <w:rPr>
                <w:rFonts w:ascii="宋体" w:hAnsi="宋体"/>
                <w:color w:val="auto"/>
                <w:sz w:val="24"/>
                <w:highlight w:val="none"/>
              </w:rPr>
            </w:pPr>
          </w:p>
        </w:tc>
        <w:tc>
          <w:tcPr>
            <w:tcW w:w="1638" w:type="dxa"/>
            <w:vAlign w:val="center"/>
          </w:tcPr>
          <w:p w14:paraId="2DE07751">
            <w:pPr>
              <w:tabs>
                <w:tab w:val="left" w:pos="0"/>
                <w:tab w:val="left" w:pos="720"/>
              </w:tabs>
              <w:jc w:val="center"/>
              <w:rPr>
                <w:rFonts w:ascii="宋体" w:hAnsi="宋体"/>
                <w:color w:val="auto"/>
                <w:sz w:val="24"/>
                <w:highlight w:val="none"/>
              </w:rPr>
            </w:pPr>
          </w:p>
        </w:tc>
      </w:tr>
      <w:tr w14:paraId="220026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29" w:type="dxa"/>
            <w:vAlign w:val="center"/>
          </w:tcPr>
          <w:p w14:paraId="4F2DAC86">
            <w:pPr>
              <w:tabs>
                <w:tab w:val="left" w:pos="0"/>
                <w:tab w:val="left" w:pos="720"/>
              </w:tabs>
              <w:jc w:val="center"/>
              <w:rPr>
                <w:rFonts w:ascii="宋体" w:hAnsi="宋体"/>
                <w:color w:val="auto"/>
                <w:sz w:val="24"/>
                <w:highlight w:val="none"/>
              </w:rPr>
            </w:pPr>
          </w:p>
        </w:tc>
        <w:tc>
          <w:tcPr>
            <w:tcW w:w="1463" w:type="dxa"/>
            <w:vAlign w:val="center"/>
          </w:tcPr>
          <w:p w14:paraId="41DD3221">
            <w:pPr>
              <w:tabs>
                <w:tab w:val="left" w:pos="0"/>
                <w:tab w:val="left" w:pos="720"/>
              </w:tabs>
              <w:jc w:val="center"/>
              <w:rPr>
                <w:rFonts w:ascii="宋体" w:hAnsi="宋体"/>
                <w:color w:val="auto"/>
                <w:sz w:val="24"/>
                <w:highlight w:val="none"/>
              </w:rPr>
            </w:pPr>
          </w:p>
        </w:tc>
        <w:tc>
          <w:tcPr>
            <w:tcW w:w="2590" w:type="dxa"/>
            <w:vAlign w:val="center"/>
          </w:tcPr>
          <w:p w14:paraId="29CC2B2C">
            <w:pPr>
              <w:tabs>
                <w:tab w:val="left" w:pos="0"/>
                <w:tab w:val="left" w:pos="720"/>
              </w:tabs>
              <w:jc w:val="center"/>
              <w:rPr>
                <w:rFonts w:ascii="宋体" w:hAnsi="宋体"/>
                <w:color w:val="auto"/>
                <w:sz w:val="24"/>
                <w:highlight w:val="none"/>
              </w:rPr>
            </w:pPr>
          </w:p>
        </w:tc>
        <w:tc>
          <w:tcPr>
            <w:tcW w:w="2734" w:type="dxa"/>
            <w:vAlign w:val="center"/>
          </w:tcPr>
          <w:p w14:paraId="7D83040F">
            <w:pPr>
              <w:tabs>
                <w:tab w:val="left" w:pos="0"/>
                <w:tab w:val="left" w:pos="720"/>
              </w:tabs>
              <w:jc w:val="center"/>
              <w:rPr>
                <w:rFonts w:ascii="宋体" w:hAnsi="宋体"/>
                <w:color w:val="auto"/>
                <w:sz w:val="24"/>
                <w:highlight w:val="none"/>
              </w:rPr>
            </w:pPr>
          </w:p>
        </w:tc>
        <w:tc>
          <w:tcPr>
            <w:tcW w:w="1638" w:type="dxa"/>
            <w:vAlign w:val="center"/>
          </w:tcPr>
          <w:p w14:paraId="55B8C37A">
            <w:pPr>
              <w:tabs>
                <w:tab w:val="left" w:pos="0"/>
                <w:tab w:val="left" w:pos="720"/>
              </w:tabs>
              <w:jc w:val="center"/>
              <w:rPr>
                <w:rFonts w:ascii="宋体" w:hAnsi="宋体"/>
                <w:color w:val="auto"/>
                <w:sz w:val="24"/>
                <w:highlight w:val="none"/>
              </w:rPr>
            </w:pPr>
          </w:p>
        </w:tc>
      </w:tr>
      <w:tr w14:paraId="7CE060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29" w:type="dxa"/>
            <w:vAlign w:val="center"/>
          </w:tcPr>
          <w:p w14:paraId="5A5BE7C2">
            <w:pPr>
              <w:tabs>
                <w:tab w:val="left" w:pos="0"/>
                <w:tab w:val="left" w:pos="720"/>
              </w:tabs>
              <w:jc w:val="center"/>
              <w:rPr>
                <w:rFonts w:ascii="宋体" w:hAnsi="宋体"/>
                <w:color w:val="auto"/>
                <w:sz w:val="24"/>
                <w:highlight w:val="none"/>
              </w:rPr>
            </w:pPr>
          </w:p>
        </w:tc>
        <w:tc>
          <w:tcPr>
            <w:tcW w:w="1463" w:type="dxa"/>
            <w:vAlign w:val="center"/>
          </w:tcPr>
          <w:p w14:paraId="42739023">
            <w:pPr>
              <w:tabs>
                <w:tab w:val="left" w:pos="0"/>
                <w:tab w:val="left" w:pos="720"/>
              </w:tabs>
              <w:jc w:val="center"/>
              <w:rPr>
                <w:rFonts w:ascii="宋体" w:hAnsi="宋体"/>
                <w:color w:val="auto"/>
                <w:sz w:val="24"/>
                <w:highlight w:val="none"/>
              </w:rPr>
            </w:pPr>
          </w:p>
        </w:tc>
        <w:tc>
          <w:tcPr>
            <w:tcW w:w="2590" w:type="dxa"/>
            <w:vAlign w:val="center"/>
          </w:tcPr>
          <w:p w14:paraId="37A3229C">
            <w:pPr>
              <w:tabs>
                <w:tab w:val="left" w:pos="0"/>
                <w:tab w:val="left" w:pos="720"/>
              </w:tabs>
              <w:jc w:val="center"/>
              <w:rPr>
                <w:rFonts w:ascii="宋体" w:hAnsi="宋体"/>
                <w:color w:val="auto"/>
                <w:sz w:val="24"/>
                <w:highlight w:val="none"/>
              </w:rPr>
            </w:pPr>
          </w:p>
        </w:tc>
        <w:tc>
          <w:tcPr>
            <w:tcW w:w="2734" w:type="dxa"/>
            <w:vAlign w:val="center"/>
          </w:tcPr>
          <w:p w14:paraId="03D4B62D">
            <w:pPr>
              <w:tabs>
                <w:tab w:val="left" w:pos="0"/>
                <w:tab w:val="left" w:pos="720"/>
              </w:tabs>
              <w:jc w:val="center"/>
              <w:rPr>
                <w:rFonts w:ascii="宋体" w:hAnsi="宋体"/>
                <w:color w:val="auto"/>
                <w:sz w:val="24"/>
                <w:highlight w:val="none"/>
              </w:rPr>
            </w:pPr>
          </w:p>
        </w:tc>
        <w:tc>
          <w:tcPr>
            <w:tcW w:w="1638" w:type="dxa"/>
            <w:vAlign w:val="center"/>
          </w:tcPr>
          <w:p w14:paraId="0A5A1BF1">
            <w:pPr>
              <w:tabs>
                <w:tab w:val="left" w:pos="0"/>
                <w:tab w:val="left" w:pos="720"/>
              </w:tabs>
              <w:jc w:val="center"/>
              <w:rPr>
                <w:rFonts w:ascii="宋体" w:hAnsi="宋体"/>
                <w:color w:val="auto"/>
                <w:sz w:val="24"/>
                <w:highlight w:val="none"/>
              </w:rPr>
            </w:pPr>
          </w:p>
        </w:tc>
      </w:tr>
      <w:tr w14:paraId="4C68D8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29" w:type="dxa"/>
            <w:vAlign w:val="center"/>
          </w:tcPr>
          <w:p w14:paraId="275E983C">
            <w:pPr>
              <w:tabs>
                <w:tab w:val="left" w:pos="0"/>
                <w:tab w:val="left" w:pos="720"/>
              </w:tabs>
              <w:jc w:val="center"/>
              <w:rPr>
                <w:rFonts w:ascii="宋体" w:hAnsi="宋体"/>
                <w:color w:val="auto"/>
                <w:sz w:val="24"/>
                <w:highlight w:val="none"/>
              </w:rPr>
            </w:pPr>
          </w:p>
        </w:tc>
        <w:tc>
          <w:tcPr>
            <w:tcW w:w="1463" w:type="dxa"/>
            <w:vAlign w:val="center"/>
          </w:tcPr>
          <w:p w14:paraId="0D711314">
            <w:pPr>
              <w:tabs>
                <w:tab w:val="left" w:pos="0"/>
                <w:tab w:val="left" w:pos="720"/>
              </w:tabs>
              <w:jc w:val="center"/>
              <w:rPr>
                <w:rFonts w:ascii="宋体" w:hAnsi="宋体"/>
                <w:color w:val="auto"/>
                <w:sz w:val="24"/>
                <w:highlight w:val="none"/>
              </w:rPr>
            </w:pPr>
          </w:p>
        </w:tc>
        <w:tc>
          <w:tcPr>
            <w:tcW w:w="2590" w:type="dxa"/>
            <w:vAlign w:val="center"/>
          </w:tcPr>
          <w:p w14:paraId="2CEC563E">
            <w:pPr>
              <w:tabs>
                <w:tab w:val="left" w:pos="0"/>
                <w:tab w:val="left" w:pos="720"/>
              </w:tabs>
              <w:jc w:val="center"/>
              <w:rPr>
                <w:rFonts w:ascii="宋体" w:hAnsi="宋体"/>
                <w:color w:val="auto"/>
                <w:sz w:val="24"/>
                <w:highlight w:val="none"/>
              </w:rPr>
            </w:pPr>
          </w:p>
        </w:tc>
        <w:tc>
          <w:tcPr>
            <w:tcW w:w="2734" w:type="dxa"/>
            <w:vAlign w:val="center"/>
          </w:tcPr>
          <w:p w14:paraId="1D63F7B3">
            <w:pPr>
              <w:tabs>
                <w:tab w:val="left" w:pos="0"/>
                <w:tab w:val="left" w:pos="720"/>
              </w:tabs>
              <w:jc w:val="center"/>
              <w:rPr>
                <w:rFonts w:ascii="宋体" w:hAnsi="宋体"/>
                <w:color w:val="auto"/>
                <w:sz w:val="24"/>
                <w:highlight w:val="none"/>
              </w:rPr>
            </w:pPr>
          </w:p>
        </w:tc>
        <w:tc>
          <w:tcPr>
            <w:tcW w:w="1638" w:type="dxa"/>
            <w:vAlign w:val="center"/>
          </w:tcPr>
          <w:p w14:paraId="12C5158A">
            <w:pPr>
              <w:tabs>
                <w:tab w:val="left" w:pos="0"/>
                <w:tab w:val="left" w:pos="720"/>
              </w:tabs>
              <w:jc w:val="center"/>
              <w:rPr>
                <w:rFonts w:ascii="宋体" w:hAnsi="宋体"/>
                <w:color w:val="auto"/>
                <w:sz w:val="24"/>
                <w:highlight w:val="none"/>
              </w:rPr>
            </w:pPr>
          </w:p>
        </w:tc>
      </w:tr>
      <w:tr w14:paraId="537626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29" w:type="dxa"/>
            <w:vAlign w:val="center"/>
          </w:tcPr>
          <w:p w14:paraId="5C2692B2">
            <w:pPr>
              <w:tabs>
                <w:tab w:val="left" w:pos="0"/>
                <w:tab w:val="left" w:pos="720"/>
              </w:tabs>
              <w:jc w:val="center"/>
              <w:rPr>
                <w:rFonts w:ascii="宋体" w:hAnsi="宋体"/>
                <w:color w:val="auto"/>
                <w:sz w:val="24"/>
                <w:highlight w:val="none"/>
              </w:rPr>
            </w:pPr>
          </w:p>
        </w:tc>
        <w:tc>
          <w:tcPr>
            <w:tcW w:w="1463" w:type="dxa"/>
            <w:vAlign w:val="center"/>
          </w:tcPr>
          <w:p w14:paraId="36B4A790">
            <w:pPr>
              <w:tabs>
                <w:tab w:val="left" w:pos="0"/>
                <w:tab w:val="left" w:pos="720"/>
              </w:tabs>
              <w:jc w:val="center"/>
              <w:rPr>
                <w:rFonts w:ascii="宋体" w:hAnsi="宋体"/>
                <w:color w:val="auto"/>
                <w:sz w:val="24"/>
                <w:highlight w:val="none"/>
              </w:rPr>
            </w:pPr>
          </w:p>
        </w:tc>
        <w:tc>
          <w:tcPr>
            <w:tcW w:w="2590" w:type="dxa"/>
            <w:vAlign w:val="center"/>
          </w:tcPr>
          <w:p w14:paraId="580F41B9">
            <w:pPr>
              <w:tabs>
                <w:tab w:val="left" w:pos="0"/>
                <w:tab w:val="left" w:pos="720"/>
              </w:tabs>
              <w:jc w:val="center"/>
              <w:rPr>
                <w:rFonts w:ascii="宋体" w:hAnsi="宋体"/>
                <w:color w:val="auto"/>
                <w:sz w:val="24"/>
                <w:highlight w:val="none"/>
              </w:rPr>
            </w:pPr>
          </w:p>
        </w:tc>
        <w:tc>
          <w:tcPr>
            <w:tcW w:w="2734" w:type="dxa"/>
            <w:vAlign w:val="center"/>
          </w:tcPr>
          <w:p w14:paraId="76E90176">
            <w:pPr>
              <w:tabs>
                <w:tab w:val="left" w:pos="0"/>
                <w:tab w:val="left" w:pos="720"/>
              </w:tabs>
              <w:jc w:val="center"/>
              <w:rPr>
                <w:rFonts w:ascii="宋体" w:hAnsi="宋体"/>
                <w:color w:val="auto"/>
                <w:sz w:val="24"/>
                <w:highlight w:val="none"/>
              </w:rPr>
            </w:pPr>
          </w:p>
        </w:tc>
        <w:tc>
          <w:tcPr>
            <w:tcW w:w="1638" w:type="dxa"/>
            <w:vAlign w:val="center"/>
          </w:tcPr>
          <w:p w14:paraId="24934634">
            <w:pPr>
              <w:tabs>
                <w:tab w:val="left" w:pos="0"/>
                <w:tab w:val="left" w:pos="720"/>
              </w:tabs>
              <w:jc w:val="center"/>
              <w:rPr>
                <w:rFonts w:ascii="宋体" w:hAnsi="宋体"/>
                <w:color w:val="auto"/>
                <w:sz w:val="24"/>
                <w:highlight w:val="none"/>
              </w:rPr>
            </w:pPr>
          </w:p>
        </w:tc>
      </w:tr>
    </w:tbl>
    <w:p w14:paraId="780CE60D">
      <w:pPr>
        <w:autoSpaceDE w:val="0"/>
        <w:autoSpaceDN w:val="0"/>
        <w:rPr>
          <w:rFonts w:ascii="宋体" w:hAnsi="宋体"/>
          <w:color w:val="auto"/>
          <w:szCs w:val="21"/>
          <w:highlight w:val="none"/>
        </w:rPr>
      </w:pPr>
      <w:r>
        <w:rPr>
          <w:rFonts w:hint="eastAsia" w:ascii="宋体" w:hAnsi="宋体"/>
          <w:color w:val="auto"/>
          <w:szCs w:val="21"/>
          <w:highlight w:val="none"/>
        </w:rPr>
        <w:t>注：参与编制</w:t>
      </w:r>
      <w:r>
        <w:rPr>
          <w:rFonts w:hint="eastAsia" w:ascii="宋体" w:hAnsi="宋体"/>
          <w:color w:val="auto"/>
          <w:szCs w:val="21"/>
          <w:highlight w:val="none"/>
          <w:lang w:val="en-US" w:eastAsia="zh-CN"/>
        </w:rPr>
        <w:t>投标文件</w:t>
      </w:r>
      <w:r>
        <w:rPr>
          <w:rFonts w:hint="eastAsia" w:ascii="宋体" w:hAnsi="宋体"/>
          <w:color w:val="auto"/>
          <w:szCs w:val="21"/>
          <w:highlight w:val="none"/>
        </w:rPr>
        <w:t>所有人员名单应包括如负责编制工程总承包实施及运营管理方案技术投标文件、负责清样校对、负责打印及复印等所有人员在内的人员名单。</w:t>
      </w:r>
    </w:p>
    <w:p w14:paraId="68F84638">
      <w:pPr>
        <w:pStyle w:val="11"/>
        <w:rPr>
          <w:color w:val="auto"/>
          <w:highlight w:val="none"/>
          <w:lang w:val="en-US"/>
        </w:rPr>
      </w:pPr>
    </w:p>
    <w:p w14:paraId="4515581F">
      <w:pPr>
        <w:autoSpaceDE w:val="0"/>
        <w:autoSpaceDN w:val="0"/>
        <w:rPr>
          <w:rFonts w:ascii="宋体" w:hAnsi="宋体"/>
          <w:b/>
          <w:color w:val="auto"/>
          <w:sz w:val="24"/>
          <w:highlight w:val="none"/>
        </w:rPr>
      </w:pPr>
    </w:p>
    <w:p w14:paraId="341CA1EF">
      <w:pPr>
        <w:pStyle w:val="31"/>
        <w:spacing w:line="360" w:lineRule="auto"/>
        <w:ind w:right="420" w:firstLine="4320" w:firstLineChars="1800"/>
        <w:rPr>
          <w:rFonts w:ascii="宋体" w:hAnsi="宋体"/>
          <w:color w:val="auto"/>
          <w:sz w:val="24"/>
          <w:szCs w:val="24"/>
          <w:highlight w:val="none"/>
        </w:rPr>
      </w:pPr>
      <w:r>
        <w:rPr>
          <w:rFonts w:hint="eastAsia" w:ascii="宋体" w:hAnsi="宋体"/>
          <w:color w:val="auto"/>
          <w:sz w:val="24"/>
          <w:szCs w:val="24"/>
          <w:highlight w:val="none"/>
        </w:rPr>
        <w:t xml:space="preserve">投标人名称（盖章）： </w:t>
      </w:r>
    </w:p>
    <w:p w14:paraId="512AE78D">
      <w:pPr>
        <w:pStyle w:val="31"/>
        <w:spacing w:line="360" w:lineRule="auto"/>
        <w:ind w:right="420"/>
        <w:jc w:val="center"/>
        <w:rPr>
          <w:rFonts w:ascii="宋体" w:hAnsi="宋体"/>
          <w:color w:val="auto"/>
          <w:sz w:val="24"/>
          <w:szCs w:val="24"/>
          <w:highlight w:val="none"/>
        </w:rPr>
      </w:pPr>
      <w:r>
        <w:rPr>
          <w:rFonts w:hint="eastAsia" w:ascii="宋体" w:hAnsi="宋体"/>
          <w:color w:val="auto"/>
          <w:sz w:val="24"/>
          <w:szCs w:val="24"/>
          <w:highlight w:val="none"/>
        </w:rPr>
        <w:t xml:space="preserve">                                 法定代表人或其授权代表（签字或盖章）：</w:t>
      </w:r>
    </w:p>
    <w:p w14:paraId="6A73A664">
      <w:pPr>
        <w:spacing w:line="360" w:lineRule="auto"/>
        <w:ind w:firstLine="4320" w:firstLineChars="1800"/>
        <w:rPr>
          <w:rFonts w:ascii="宋体" w:hAnsi="宋体"/>
          <w:color w:val="auto"/>
          <w:sz w:val="24"/>
          <w:szCs w:val="24"/>
          <w:highlight w:val="none"/>
        </w:rPr>
      </w:pPr>
      <w:r>
        <w:rPr>
          <w:rFonts w:hint="eastAsia" w:ascii="宋体" w:hAnsi="宋体"/>
          <w:color w:val="auto"/>
          <w:sz w:val="24"/>
          <w:szCs w:val="24"/>
          <w:highlight w:val="none"/>
        </w:rPr>
        <w:t>日期：    年   月   日</w:t>
      </w:r>
    </w:p>
    <w:p w14:paraId="4C9BEB81">
      <w:pPr>
        <w:pStyle w:val="32"/>
        <w:rPr>
          <w:color w:val="auto"/>
          <w:highlight w:val="none"/>
        </w:rPr>
      </w:pPr>
    </w:p>
    <w:p w14:paraId="58C1002B">
      <w:pPr>
        <w:snapToGrid w:val="0"/>
        <w:spacing w:line="320" w:lineRule="exact"/>
        <w:jc w:val="left"/>
        <w:rPr>
          <w:rFonts w:ascii="宋体" w:hAnsi="宋体"/>
          <w:b/>
          <w:bCs/>
          <w:color w:val="auto"/>
          <w:spacing w:val="4"/>
          <w:sz w:val="24"/>
          <w:szCs w:val="24"/>
          <w:highlight w:val="none"/>
        </w:rPr>
      </w:pPr>
      <w:r>
        <w:rPr>
          <w:rFonts w:hint="eastAsia" w:ascii="宋体" w:hAnsi="宋体"/>
          <w:b/>
          <w:bCs/>
          <w:color w:val="auto"/>
          <w:spacing w:val="4"/>
          <w:sz w:val="24"/>
          <w:szCs w:val="24"/>
          <w:highlight w:val="none"/>
        </w:rPr>
        <w:t>注：联合体投标的，“投标人”一栏需书写所有联合体成员的单位全称，可由牵头方签字、盖章。</w:t>
      </w:r>
    </w:p>
    <w:p w14:paraId="2E3DB28E">
      <w:pPr>
        <w:pStyle w:val="11"/>
        <w:rPr>
          <w:color w:val="auto"/>
          <w:highlight w:val="none"/>
          <w:lang w:val="en-US"/>
        </w:rPr>
      </w:pPr>
      <w:r>
        <w:rPr>
          <w:color w:val="auto"/>
          <w:highlight w:val="none"/>
        </w:rPr>
        <w:br w:type="page"/>
      </w:r>
      <w:r>
        <w:rPr>
          <w:rFonts w:hint="eastAsia"/>
          <w:b/>
          <w:bCs/>
          <w:color w:val="auto"/>
          <w:sz w:val="24"/>
          <w:szCs w:val="24"/>
          <w:highlight w:val="none"/>
          <w:lang w:val="en-US"/>
        </w:rPr>
        <w:t>格式10：</w:t>
      </w:r>
    </w:p>
    <w:p w14:paraId="789A9D2C">
      <w:pPr>
        <w:pStyle w:val="11"/>
        <w:spacing w:line="560" w:lineRule="exact"/>
        <w:ind w:firstLine="0" w:firstLineChars="0"/>
        <w:jc w:val="center"/>
        <w:rPr>
          <w:rFonts w:hint="eastAsia"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lang w:val="en-US"/>
        </w:rPr>
        <w:t>投标保证金</w:t>
      </w:r>
    </w:p>
    <w:p w14:paraId="4190E0FA">
      <w:pPr>
        <w:pStyle w:val="11"/>
        <w:spacing w:line="560" w:lineRule="exact"/>
        <w:ind w:firstLine="640" w:firstLineChars="200"/>
        <w:rPr>
          <w:rFonts w:hAnsi="宋体"/>
          <w:color w:val="auto"/>
          <w:sz w:val="32"/>
          <w:szCs w:val="32"/>
          <w:highlight w:val="none"/>
        </w:rPr>
      </w:pPr>
    </w:p>
    <w:p w14:paraId="18F015A9">
      <w:pPr>
        <w:pStyle w:val="9"/>
        <w:spacing w:line="360" w:lineRule="auto"/>
        <w:ind w:right="1280" w:firstLine="314" w:firstLineChars="131"/>
        <w:jc w:val="righ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63AEAC07">
      <w:pPr>
        <w:pStyle w:val="11"/>
        <w:spacing w:line="560" w:lineRule="exact"/>
        <w:ind w:firstLine="0" w:firstLineChars="0"/>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br w:type="page"/>
      </w:r>
    </w:p>
    <w:p w14:paraId="03E0FD86">
      <w:pPr>
        <w:pStyle w:val="11"/>
        <w:spacing w:line="560" w:lineRule="exact"/>
        <w:ind w:firstLine="0" w:firstLineChars="0"/>
        <w:jc w:val="left"/>
        <w:rPr>
          <w:rFonts w:hint="default" w:ascii="宋体" w:hAnsi="宋体" w:eastAsia="宋体"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ascii="宋体" w:hAnsi="宋体" w:eastAsia="宋体" w:cs="Times New Roman"/>
          <w:color w:val="auto"/>
          <w:sz w:val="24"/>
          <w:szCs w:val="24"/>
          <w:highlight w:val="none"/>
        </w:rPr>
        <w:t>免交投标保证金</w:t>
      </w:r>
      <w:r>
        <w:rPr>
          <w:rFonts w:hint="eastAsia" w:cs="Times New Roman"/>
          <w:color w:val="auto"/>
          <w:sz w:val="24"/>
          <w:szCs w:val="24"/>
          <w:highlight w:val="none"/>
          <w:lang w:val="en-US" w:eastAsia="zh-CN"/>
        </w:rPr>
        <w:t>的投标人提交）</w:t>
      </w:r>
    </w:p>
    <w:p w14:paraId="7BD97478">
      <w:pPr>
        <w:pStyle w:val="11"/>
        <w:spacing w:line="560" w:lineRule="exact"/>
        <w:ind w:firstLine="0" w:firstLineChars="0"/>
        <w:jc w:val="center"/>
        <w:rPr>
          <w:rFonts w:hint="eastAsia"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lang w:val="en-US"/>
        </w:rPr>
        <w:t>关于投标保证金的承诺</w:t>
      </w:r>
    </w:p>
    <w:p w14:paraId="5FE3F608">
      <w:pPr>
        <w:pStyle w:val="11"/>
        <w:spacing w:line="560" w:lineRule="exact"/>
        <w:ind w:firstLine="640" w:firstLineChars="200"/>
        <w:rPr>
          <w:rFonts w:hAnsi="宋体"/>
          <w:color w:val="auto"/>
          <w:sz w:val="32"/>
          <w:szCs w:val="32"/>
          <w:highlight w:val="none"/>
        </w:rPr>
      </w:pPr>
    </w:p>
    <w:p w14:paraId="6096BE53">
      <w:pPr>
        <w:spacing w:line="360" w:lineRule="auto"/>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本招标项目招标人及招标监管机构：</w:t>
      </w:r>
    </w:p>
    <w:p w14:paraId="59045FAF">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本公司就参加</w:t>
      </w:r>
      <w:r>
        <w:rPr>
          <w:rFonts w:hint="eastAsia" w:ascii="宋体" w:hAnsi="宋体" w:eastAsia="宋体" w:cs="Times New Roman"/>
          <w:color w:val="auto"/>
          <w:sz w:val="24"/>
          <w:szCs w:val="24"/>
          <w:highlight w:val="none"/>
          <w:u w:val="none"/>
        </w:rPr>
        <w:t xml:space="preserve">      （招标项目名称）     </w:t>
      </w:r>
      <w:r>
        <w:rPr>
          <w:rFonts w:hint="eastAsia" w:ascii="宋体" w:hAnsi="宋体" w:eastAsia="宋体" w:cs="Times New Roman"/>
          <w:color w:val="auto"/>
          <w:sz w:val="24"/>
          <w:szCs w:val="24"/>
          <w:highlight w:val="none"/>
        </w:rPr>
        <w:t>项目的投标工作，作出郑重声明：</w:t>
      </w:r>
    </w:p>
    <w:p w14:paraId="6E03DC0B">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eastAsia="宋体" w:cs="Times New Roman"/>
          <w:color w:val="auto"/>
          <w:kern w:val="2"/>
          <w:sz w:val="24"/>
          <w:szCs w:val="24"/>
          <w:highlight w:val="none"/>
          <w:lang w:val="en-US"/>
        </w:rPr>
        <w:t>一旦发生符合招标文件规定的不予退还投标保证金情形的，将</w:t>
      </w:r>
      <w:r>
        <w:rPr>
          <w:rFonts w:hint="eastAsia" w:ascii="宋体" w:hAnsi="宋体" w:eastAsia="宋体" w:cs="Times New Roman"/>
          <w:color w:val="auto"/>
          <w:sz w:val="24"/>
          <w:szCs w:val="24"/>
          <w:highlight w:val="none"/>
        </w:rPr>
        <w:t>按照招标人的要求，在规定的时间内向招标人足额补交投标保证金。</w:t>
      </w:r>
    </w:p>
    <w:p w14:paraId="72EB2432">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本公司违反上述保证的，将被视为虚假承诺，按相关规定进行信用记录。本公司对失信行为产生的一切后果已知悉，并承担由此产生的相应责任。</w:t>
      </w:r>
    </w:p>
    <w:p w14:paraId="51048DDC">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特此承诺。</w:t>
      </w:r>
    </w:p>
    <w:p w14:paraId="7DD0A5E2">
      <w:pPr>
        <w:spacing w:line="360" w:lineRule="auto"/>
        <w:ind w:firstLine="480" w:firstLineChars="200"/>
        <w:jc w:val="left"/>
        <w:rPr>
          <w:rFonts w:hint="eastAsia" w:ascii="宋体" w:hAnsi="宋体" w:eastAsia="宋体" w:cs="Times New Roman"/>
          <w:color w:val="auto"/>
          <w:sz w:val="24"/>
          <w:szCs w:val="24"/>
          <w:highlight w:val="none"/>
        </w:rPr>
      </w:pPr>
    </w:p>
    <w:p w14:paraId="18F24743">
      <w:pPr>
        <w:spacing w:line="360" w:lineRule="auto"/>
        <w:ind w:firstLine="480" w:firstLineChars="200"/>
        <w:jc w:val="left"/>
        <w:rPr>
          <w:rFonts w:hint="eastAsia" w:ascii="宋体" w:hAnsi="宋体" w:eastAsia="宋体" w:cs="Times New Roman"/>
          <w:color w:val="auto"/>
          <w:sz w:val="24"/>
          <w:szCs w:val="24"/>
          <w:highlight w:val="none"/>
        </w:rPr>
      </w:pPr>
    </w:p>
    <w:p w14:paraId="08E1E96B">
      <w:pPr>
        <w:spacing w:line="360" w:lineRule="auto"/>
        <w:ind w:firstLine="480" w:firstLineChars="200"/>
        <w:jc w:val="left"/>
        <w:rPr>
          <w:rFonts w:hint="eastAsia" w:ascii="宋体" w:hAnsi="宋体" w:eastAsia="宋体" w:cs="Times New Roman"/>
          <w:color w:val="auto"/>
          <w:sz w:val="24"/>
          <w:szCs w:val="24"/>
          <w:highlight w:val="none"/>
        </w:rPr>
      </w:pPr>
    </w:p>
    <w:p w14:paraId="46AEAF0D">
      <w:pPr>
        <w:spacing w:line="360" w:lineRule="auto"/>
        <w:ind w:firstLine="3120" w:firstLineChars="1300"/>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　　（盖章）</w:t>
      </w:r>
    </w:p>
    <w:p w14:paraId="16E2DEBA">
      <w:pP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日  期：  </w:t>
      </w:r>
    </w:p>
    <w:p w14:paraId="75F129F8">
      <w:pP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br w:type="page"/>
      </w:r>
    </w:p>
    <w:p w14:paraId="61B17F57">
      <w:pPr>
        <w:pStyle w:val="11"/>
        <w:rPr>
          <w:b/>
          <w:bCs/>
          <w:color w:val="auto"/>
          <w:sz w:val="24"/>
          <w:szCs w:val="24"/>
          <w:highlight w:val="none"/>
          <w:lang w:val="en-US"/>
        </w:rPr>
      </w:pPr>
      <w:r>
        <w:rPr>
          <w:rFonts w:hint="eastAsia"/>
          <w:b/>
          <w:bCs/>
          <w:color w:val="auto"/>
          <w:sz w:val="24"/>
          <w:szCs w:val="24"/>
          <w:highlight w:val="none"/>
          <w:lang w:val="en-US"/>
        </w:rPr>
        <w:t>格式11：</w:t>
      </w:r>
    </w:p>
    <w:p w14:paraId="0A66DA73">
      <w:pPr>
        <w:spacing w:line="360" w:lineRule="auto"/>
        <w:jc w:val="center"/>
        <w:rPr>
          <w:b/>
          <w:color w:val="auto"/>
          <w:sz w:val="28"/>
          <w:szCs w:val="28"/>
          <w:highlight w:val="none"/>
        </w:rPr>
      </w:pPr>
      <w:r>
        <w:rPr>
          <w:rFonts w:hint="eastAsia"/>
          <w:b/>
          <w:color w:val="auto"/>
          <w:sz w:val="28"/>
          <w:szCs w:val="28"/>
          <w:highlight w:val="none"/>
        </w:rPr>
        <w:t>投标人认为须提供的其他资料</w:t>
      </w:r>
    </w:p>
    <w:p w14:paraId="1E9EB239">
      <w:pPr>
        <w:spacing w:line="360" w:lineRule="auto"/>
        <w:jc w:val="center"/>
        <w:rPr>
          <w:color w:val="auto"/>
          <w:highlight w:val="none"/>
        </w:rPr>
      </w:pPr>
      <w:r>
        <w:rPr>
          <w:rFonts w:hint="eastAsia"/>
          <w:b/>
          <w:color w:val="auto"/>
          <w:sz w:val="28"/>
          <w:szCs w:val="28"/>
          <w:highlight w:val="none"/>
        </w:rPr>
        <w:t>（格式自定）</w:t>
      </w:r>
      <w:r>
        <w:rPr>
          <w:color w:val="auto"/>
          <w:highlight w:val="none"/>
        </w:rPr>
        <w:br w:type="page"/>
      </w:r>
    </w:p>
    <w:p w14:paraId="4765814D">
      <w:pPr>
        <w:pStyle w:val="11"/>
        <w:rPr>
          <w:color w:val="auto"/>
          <w:highlight w:val="none"/>
          <w:lang w:val="en-US"/>
        </w:rPr>
      </w:pPr>
    </w:p>
    <w:p w14:paraId="1F1DE83D">
      <w:pPr>
        <w:rPr>
          <w:color w:val="auto"/>
          <w:highlight w:val="none"/>
        </w:rPr>
      </w:pPr>
    </w:p>
    <w:p w14:paraId="7FFC7C50">
      <w:pPr>
        <w:pStyle w:val="11"/>
        <w:rPr>
          <w:color w:val="auto"/>
          <w:highlight w:val="none"/>
          <w:lang w:val="en-US"/>
        </w:rPr>
      </w:pPr>
    </w:p>
    <w:p w14:paraId="369E1CEE">
      <w:pPr>
        <w:rPr>
          <w:color w:val="auto"/>
          <w:highlight w:val="none"/>
        </w:rPr>
      </w:pPr>
    </w:p>
    <w:p w14:paraId="0ABDE402">
      <w:pPr>
        <w:pStyle w:val="11"/>
        <w:rPr>
          <w:color w:val="auto"/>
          <w:highlight w:val="none"/>
          <w:lang w:val="en-US"/>
        </w:rPr>
      </w:pPr>
    </w:p>
    <w:p w14:paraId="52255EBE">
      <w:pPr>
        <w:rPr>
          <w:color w:val="auto"/>
          <w:highlight w:val="none"/>
        </w:rPr>
      </w:pPr>
    </w:p>
    <w:p w14:paraId="6BE6F580">
      <w:pPr>
        <w:pStyle w:val="11"/>
        <w:rPr>
          <w:color w:val="auto"/>
          <w:highlight w:val="none"/>
          <w:lang w:val="en-US"/>
        </w:rPr>
      </w:pPr>
    </w:p>
    <w:p w14:paraId="19E32FD6">
      <w:pPr>
        <w:rPr>
          <w:color w:val="auto"/>
          <w:highlight w:val="none"/>
        </w:rPr>
      </w:pPr>
    </w:p>
    <w:p w14:paraId="1CA9BBB2">
      <w:pPr>
        <w:pStyle w:val="11"/>
        <w:rPr>
          <w:color w:val="auto"/>
          <w:highlight w:val="none"/>
          <w:lang w:val="en-US"/>
        </w:rPr>
      </w:pPr>
    </w:p>
    <w:p w14:paraId="14F20E46">
      <w:pPr>
        <w:rPr>
          <w:color w:val="auto"/>
          <w:highlight w:val="none"/>
        </w:rPr>
      </w:pPr>
    </w:p>
    <w:p w14:paraId="26D2CAA4">
      <w:pPr>
        <w:pStyle w:val="11"/>
        <w:rPr>
          <w:color w:val="auto"/>
          <w:highlight w:val="none"/>
          <w:lang w:val="en-US"/>
        </w:rPr>
      </w:pPr>
    </w:p>
    <w:p w14:paraId="7C28E0C8">
      <w:pPr>
        <w:rPr>
          <w:color w:val="auto"/>
          <w:highlight w:val="none"/>
        </w:rPr>
      </w:pPr>
    </w:p>
    <w:p w14:paraId="2160BA6C">
      <w:pPr>
        <w:pStyle w:val="11"/>
        <w:rPr>
          <w:color w:val="auto"/>
          <w:highlight w:val="none"/>
          <w:lang w:val="en-US"/>
        </w:rPr>
      </w:pPr>
    </w:p>
    <w:p w14:paraId="7EC6009A">
      <w:pPr>
        <w:rPr>
          <w:color w:val="auto"/>
          <w:highlight w:val="none"/>
        </w:rPr>
      </w:pPr>
    </w:p>
    <w:p w14:paraId="3E430410">
      <w:pPr>
        <w:pStyle w:val="11"/>
        <w:rPr>
          <w:color w:val="auto"/>
          <w:highlight w:val="none"/>
          <w:lang w:val="en-US"/>
        </w:rPr>
      </w:pPr>
    </w:p>
    <w:p w14:paraId="5D3154EE">
      <w:pPr>
        <w:rPr>
          <w:color w:val="auto"/>
          <w:highlight w:val="none"/>
        </w:rPr>
      </w:pPr>
    </w:p>
    <w:p w14:paraId="1251A7E1">
      <w:pPr>
        <w:pStyle w:val="11"/>
        <w:rPr>
          <w:color w:val="auto"/>
          <w:highlight w:val="none"/>
          <w:lang w:val="en-US"/>
        </w:rPr>
      </w:pPr>
    </w:p>
    <w:p w14:paraId="369B6AE9">
      <w:pPr>
        <w:rPr>
          <w:color w:val="auto"/>
          <w:highlight w:val="none"/>
        </w:rPr>
      </w:pPr>
    </w:p>
    <w:p w14:paraId="138C465E">
      <w:pPr>
        <w:pStyle w:val="11"/>
        <w:rPr>
          <w:color w:val="auto"/>
          <w:highlight w:val="none"/>
          <w:lang w:val="en-US"/>
        </w:rPr>
      </w:pPr>
    </w:p>
    <w:p w14:paraId="0A0C923F">
      <w:pPr>
        <w:spacing w:line="360" w:lineRule="auto"/>
        <w:jc w:val="center"/>
        <w:rPr>
          <w:rFonts w:ascii="宋体" w:hAnsi="宋体" w:cs="宋体"/>
          <w:b/>
          <w:color w:val="auto"/>
          <w:kern w:val="1"/>
          <w:sz w:val="36"/>
          <w:szCs w:val="36"/>
          <w:highlight w:val="none"/>
        </w:rPr>
      </w:pPr>
      <w:r>
        <w:rPr>
          <w:rFonts w:hint="eastAsia" w:ascii="宋体" w:hAnsi="宋体" w:cs="宋体"/>
          <w:b/>
          <w:color w:val="auto"/>
          <w:kern w:val="1"/>
          <w:sz w:val="36"/>
          <w:szCs w:val="36"/>
          <w:highlight w:val="none"/>
        </w:rPr>
        <w:t>第二部分  工程总承包实施及运营管理方案经济投标文件格式</w:t>
      </w:r>
    </w:p>
    <w:p w14:paraId="029AD646">
      <w:pPr>
        <w:rPr>
          <w:color w:val="auto"/>
          <w:highlight w:val="none"/>
        </w:rPr>
      </w:pPr>
      <w:r>
        <w:rPr>
          <w:color w:val="auto"/>
          <w:kern w:val="1"/>
          <w:highlight w:val="none"/>
        </w:rPr>
        <w:br w:type="page"/>
      </w:r>
    </w:p>
    <w:p w14:paraId="020FAB72">
      <w:pPr>
        <w:spacing w:line="360" w:lineRule="auto"/>
        <w:jc w:val="center"/>
        <w:rPr>
          <w:rFonts w:ascii="宋体" w:hAnsi="宋体"/>
          <w:b/>
          <w:bCs/>
          <w:color w:val="auto"/>
          <w:sz w:val="56"/>
          <w:szCs w:val="56"/>
          <w:highlight w:val="none"/>
        </w:rPr>
      </w:pPr>
      <w:r>
        <w:rPr>
          <w:rFonts w:hint="eastAsia" w:ascii="宋体" w:hAnsi="宋体" w:cs="宋体"/>
          <w:b/>
          <w:color w:val="auto"/>
          <w:sz w:val="56"/>
          <w:szCs w:val="56"/>
          <w:highlight w:val="none"/>
        </w:rPr>
        <w:t>番禺区桥山村村镇工业集聚区更新改造试点项目（一期、二期、三期）勘察设计施工总承包及运营（EPCO）</w:t>
      </w:r>
    </w:p>
    <w:p w14:paraId="021EB958">
      <w:pPr>
        <w:spacing w:line="360" w:lineRule="auto"/>
        <w:jc w:val="center"/>
        <w:rPr>
          <w:rFonts w:ascii="宋体" w:hAnsi="宋体" w:cs="宋体"/>
          <w:b/>
          <w:color w:val="auto"/>
          <w:sz w:val="56"/>
          <w:szCs w:val="56"/>
          <w:highlight w:val="none"/>
        </w:rPr>
      </w:pPr>
      <w:r>
        <w:rPr>
          <w:rFonts w:hint="eastAsia" w:ascii="宋体" w:hAnsi="宋体" w:cs="宋体"/>
          <w:b/>
          <w:color w:val="auto"/>
          <w:sz w:val="56"/>
          <w:szCs w:val="56"/>
          <w:highlight w:val="none"/>
          <w:lang w:val="zh-CN"/>
        </w:rPr>
        <w:t>工程总承包实施及运营管理方案经济投标文件</w:t>
      </w:r>
    </w:p>
    <w:p w14:paraId="5BBDA206">
      <w:pPr>
        <w:spacing w:line="360" w:lineRule="auto"/>
        <w:jc w:val="center"/>
        <w:rPr>
          <w:rStyle w:val="22"/>
          <w:b/>
          <w:color w:val="auto"/>
          <w:sz w:val="48"/>
          <w:highlight w:val="none"/>
        </w:rPr>
      </w:pPr>
    </w:p>
    <w:p w14:paraId="3C7DCB3B">
      <w:pPr>
        <w:spacing w:line="360" w:lineRule="auto"/>
        <w:jc w:val="center"/>
        <w:rPr>
          <w:rFonts w:ascii="宋体" w:hAnsi="宋体"/>
          <w:b/>
          <w:color w:val="auto"/>
          <w:highlight w:val="none"/>
        </w:rPr>
      </w:pPr>
    </w:p>
    <w:p w14:paraId="73EF80FB">
      <w:pPr>
        <w:spacing w:line="360" w:lineRule="auto"/>
        <w:jc w:val="center"/>
        <w:rPr>
          <w:rFonts w:ascii="宋体" w:hAnsi="宋体"/>
          <w:b/>
          <w:color w:val="auto"/>
          <w:highlight w:val="none"/>
        </w:rPr>
      </w:pPr>
    </w:p>
    <w:p w14:paraId="2DAB0A5C">
      <w:pPr>
        <w:spacing w:line="360" w:lineRule="auto"/>
        <w:jc w:val="center"/>
        <w:rPr>
          <w:rFonts w:ascii="宋体" w:hAnsi="宋体"/>
          <w:b/>
          <w:color w:val="auto"/>
          <w:highlight w:val="none"/>
        </w:rPr>
      </w:pPr>
    </w:p>
    <w:p w14:paraId="5E614049">
      <w:pPr>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投标人名称：</w:t>
      </w:r>
    </w:p>
    <w:p w14:paraId="4EE432A5">
      <w:pPr>
        <w:jc w:val="center"/>
        <w:rPr>
          <w:b/>
          <w:color w:val="auto"/>
          <w:highlight w:val="none"/>
        </w:rPr>
      </w:pPr>
    </w:p>
    <w:p w14:paraId="23F97301">
      <w:pPr>
        <w:spacing w:line="360" w:lineRule="auto"/>
        <w:jc w:val="center"/>
        <w:rPr>
          <w:rFonts w:ascii="宋体" w:hAnsi="宋体"/>
          <w:b/>
          <w:color w:val="auto"/>
          <w:sz w:val="30"/>
          <w:szCs w:val="30"/>
          <w:highlight w:val="none"/>
        </w:rPr>
      </w:pPr>
    </w:p>
    <w:p w14:paraId="12AFD193">
      <w:pPr>
        <w:spacing w:line="360" w:lineRule="auto"/>
        <w:jc w:val="center"/>
        <w:rPr>
          <w:rFonts w:ascii="宋体" w:hAnsi="宋体"/>
          <w:b/>
          <w:color w:val="auto"/>
          <w:sz w:val="30"/>
          <w:szCs w:val="30"/>
          <w:highlight w:val="none"/>
        </w:rPr>
      </w:pPr>
    </w:p>
    <w:p w14:paraId="5A3A40B9">
      <w:pPr>
        <w:jc w:val="center"/>
        <w:rPr>
          <w:b/>
          <w:color w:val="auto"/>
          <w:highlight w:val="none"/>
          <w:lang w:val="zh-CN"/>
        </w:rPr>
      </w:pPr>
      <w:r>
        <w:rPr>
          <w:rFonts w:hint="eastAsia" w:ascii="宋体" w:hAnsi="宋体"/>
          <w:b/>
          <w:color w:val="auto"/>
          <w:sz w:val="30"/>
          <w:szCs w:val="30"/>
          <w:highlight w:val="none"/>
        </w:rPr>
        <w:t>年   月   日</w:t>
      </w:r>
    </w:p>
    <w:p w14:paraId="7B45D735">
      <w:pPr>
        <w:pStyle w:val="11"/>
        <w:rPr>
          <w:color w:val="auto"/>
          <w:highlight w:val="none"/>
        </w:rPr>
      </w:pPr>
    </w:p>
    <w:p w14:paraId="478308B1">
      <w:pPr>
        <w:widowControl/>
        <w:jc w:val="left"/>
        <w:rPr>
          <w:rFonts w:cs="宋体"/>
          <w:b/>
          <w:color w:val="auto"/>
          <w:kern w:val="1"/>
          <w:sz w:val="24"/>
          <w:highlight w:val="none"/>
        </w:rPr>
      </w:pPr>
      <w:r>
        <w:rPr>
          <w:color w:val="auto"/>
          <w:highlight w:val="none"/>
        </w:rPr>
        <w:br w:type="page"/>
      </w:r>
      <w:r>
        <w:rPr>
          <w:rFonts w:hint="eastAsia" w:ascii="宋体" w:hAnsi="宋体" w:cs="Times New Roman"/>
          <w:b/>
          <w:bCs/>
          <w:color w:val="auto"/>
          <w:sz w:val="24"/>
          <w:szCs w:val="24"/>
          <w:highlight w:val="none"/>
        </w:rPr>
        <w:t>格式12：</w:t>
      </w:r>
    </w:p>
    <w:p w14:paraId="0DC9A146">
      <w:pPr>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经济标投标书</w:t>
      </w:r>
    </w:p>
    <w:p w14:paraId="361A55B2">
      <w:pPr>
        <w:spacing w:line="360" w:lineRule="auto"/>
        <w:ind w:right="422"/>
        <w:jc w:val="right"/>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投标日期：   年  月  日</w:t>
      </w:r>
    </w:p>
    <w:tbl>
      <w:tblPr>
        <w:tblStyle w:val="20"/>
        <w:tblW w:w="9257" w:type="dxa"/>
        <w:jc w:val="center"/>
        <w:tblLayout w:type="fixed"/>
        <w:tblCellMar>
          <w:top w:w="0" w:type="dxa"/>
          <w:left w:w="108" w:type="dxa"/>
          <w:bottom w:w="0" w:type="dxa"/>
          <w:right w:w="108" w:type="dxa"/>
        </w:tblCellMar>
      </w:tblPr>
      <w:tblGrid>
        <w:gridCol w:w="2307"/>
        <w:gridCol w:w="6950"/>
      </w:tblGrid>
      <w:tr w14:paraId="01899CDB">
        <w:tblPrEx>
          <w:tblCellMar>
            <w:top w:w="0" w:type="dxa"/>
            <w:left w:w="108" w:type="dxa"/>
            <w:bottom w:w="0" w:type="dxa"/>
            <w:right w:w="108" w:type="dxa"/>
          </w:tblCellMar>
        </w:tblPrEx>
        <w:trPr>
          <w:trHeight w:val="567"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655DED38">
            <w:pPr>
              <w:spacing w:line="300" w:lineRule="exact"/>
              <w:jc w:val="center"/>
              <w:rPr>
                <w:rFonts w:ascii="宋体" w:hAnsi="宋体" w:cs="宋体"/>
                <w:b/>
                <w:color w:val="auto"/>
                <w:kern w:val="1"/>
                <w:szCs w:val="21"/>
                <w:highlight w:val="none"/>
              </w:rPr>
            </w:pPr>
            <w:r>
              <w:rPr>
                <w:rFonts w:ascii="宋体" w:hAnsi="宋体" w:cs="宋体"/>
                <w:b/>
                <w:color w:val="auto"/>
                <w:kern w:val="1"/>
                <w:szCs w:val="21"/>
                <w:highlight w:val="none"/>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14:paraId="080279D1">
            <w:pPr>
              <w:spacing w:line="300" w:lineRule="exact"/>
              <w:rPr>
                <w:rFonts w:ascii="宋体" w:hAnsi="宋体" w:cs="宋体"/>
                <w:b/>
                <w:color w:val="auto"/>
                <w:kern w:val="1"/>
                <w:szCs w:val="21"/>
                <w:highlight w:val="none"/>
              </w:rPr>
            </w:pPr>
          </w:p>
        </w:tc>
      </w:tr>
      <w:tr w14:paraId="59665274">
        <w:tblPrEx>
          <w:tblCellMar>
            <w:top w:w="0" w:type="dxa"/>
            <w:left w:w="108" w:type="dxa"/>
            <w:bottom w:w="0" w:type="dxa"/>
            <w:right w:w="108" w:type="dxa"/>
          </w:tblCellMar>
        </w:tblPrEx>
        <w:trPr>
          <w:trHeight w:val="984"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3EE07293">
            <w:pPr>
              <w:spacing w:line="300" w:lineRule="exact"/>
              <w:jc w:val="center"/>
              <w:rPr>
                <w:rFonts w:ascii="宋体" w:hAnsi="宋体" w:cs="宋体"/>
                <w:b/>
                <w:color w:val="auto"/>
                <w:kern w:val="1"/>
                <w:szCs w:val="21"/>
                <w:highlight w:val="none"/>
              </w:rPr>
            </w:pPr>
            <w:r>
              <w:rPr>
                <w:rFonts w:ascii="宋体" w:hAnsi="宋体" w:cs="宋体"/>
                <w:b/>
                <w:color w:val="auto"/>
                <w:kern w:val="1"/>
                <w:szCs w:val="21"/>
                <w:highlight w:val="none"/>
              </w:rPr>
              <w:t>总</w:t>
            </w:r>
            <w:r>
              <w:rPr>
                <w:rFonts w:ascii="宋体" w:hAnsi="宋体" w:cs="宋体"/>
                <w:b/>
                <w:color w:val="auto"/>
                <w:kern w:val="1"/>
                <w:szCs w:val="21"/>
                <w:highlight w:val="none"/>
                <w:lang w:val="zh-CN"/>
              </w:rPr>
              <w:t>投标报价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66025689">
            <w:pPr>
              <w:spacing w:line="300" w:lineRule="exact"/>
              <w:jc w:val="left"/>
              <w:rPr>
                <w:rFonts w:ascii="宋体" w:hAnsi="宋体" w:cs="宋体"/>
                <w:b/>
                <w:color w:val="auto"/>
                <w:kern w:val="1"/>
                <w:szCs w:val="21"/>
                <w:highlight w:val="none"/>
                <w:u w:val="single"/>
              </w:rPr>
            </w:pPr>
            <w:r>
              <w:rPr>
                <w:rFonts w:ascii="宋体" w:hAnsi="宋体" w:cs="宋体"/>
                <w:b/>
                <w:color w:val="auto"/>
                <w:kern w:val="1"/>
                <w:szCs w:val="21"/>
                <w:highlight w:val="none"/>
              </w:rPr>
              <w:t>大写：</w:t>
            </w:r>
          </w:p>
          <w:p w14:paraId="700A4735">
            <w:pPr>
              <w:spacing w:line="300" w:lineRule="exact"/>
              <w:jc w:val="left"/>
              <w:rPr>
                <w:rFonts w:ascii="宋体" w:hAnsi="宋体" w:cs="宋体"/>
                <w:b/>
                <w:color w:val="auto"/>
                <w:kern w:val="1"/>
                <w:szCs w:val="21"/>
                <w:highlight w:val="none"/>
              </w:rPr>
            </w:pPr>
            <w:r>
              <w:rPr>
                <w:rFonts w:ascii="宋体" w:hAnsi="宋体" w:cs="宋体"/>
                <w:b/>
                <w:color w:val="auto"/>
                <w:kern w:val="1"/>
                <w:szCs w:val="21"/>
                <w:highlight w:val="none"/>
              </w:rPr>
              <w:t>小写：</w:t>
            </w:r>
            <w:r>
              <w:rPr>
                <w:rFonts w:hint="eastAsia" w:ascii="宋体" w:hAnsi="宋体" w:cs="宋体"/>
                <w:b/>
                <w:color w:val="auto"/>
                <w:kern w:val="1"/>
                <w:szCs w:val="21"/>
                <w:highlight w:val="none"/>
              </w:rPr>
              <w:t xml:space="preserve">          </w:t>
            </w:r>
            <w:r>
              <w:rPr>
                <w:rFonts w:ascii="宋体" w:hAnsi="宋体" w:cs="宋体"/>
                <w:b/>
                <w:color w:val="auto"/>
                <w:kern w:val="1"/>
                <w:szCs w:val="21"/>
                <w:highlight w:val="none"/>
                <w:lang w:val="zh-CN"/>
              </w:rPr>
              <w:t>元</w:t>
            </w:r>
          </w:p>
        </w:tc>
      </w:tr>
      <w:tr w14:paraId="6C9A3166">
        <w:tblPrEx>
          <w:tblCellMar>
            <w:top w:w="0" w:type="dxa"/>
            <w:left w:w="108" w:type="dxa"/>
            <w:bottom w:w="0" w:type="dxa"/>
            <w:right w:w="108" w:type="dxa"/>
          </w:tblCellMar>
        </w:tblPrEx>
        <w:trPr>
          <w:trHeight w:val="393"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74122172">
            <w:pPr>
              <w:spacing w:line="300" w:lineRule="exact"/>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rPr>
              <w:t>总勘察费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432360AE">
            <w:pPr>
              <w:jc w:val="left"/>
              <w:rPr>
                <w:rFonts w:ascii="宋体" w:hAnsi="宋体" w:cs="宋体"/>
                <w:b/>
                <w:color w:val="auto"/>
                <w:kern w:val="1"/>
                <w:szCs w:val="21"/>
                <w:highlight w:val="none"/>
                <w:u w:val="single"/>
              </w:rPr>
            </w:pPr>
            <w:r>
              <w:rPr>
                <w:rFonts w:ascii="宋体" w:hAnsi="宋体" w:cs="宋体"/>
                <w:b/>
                <w:color w:val="auto"/>
                <w:kern w:val="1"/>
                <w:szCs w:val="21"/>
                <w:highlight w:val="none"/>
              </w:rPr>
              <w:t>大写：</w:t>
            </w:r>
          </w:p>
          <w:p w14:paraId="100B8C6A">
            <w:pPr>
              <w:jc w:val="left"/>
              <w:rPr>
                <w:rFonts w:ascii="宋体" w:hAnsi="宋体" w:cs="宋体"/>
                <w:b/>
                <w:color w:val="auto"/>
                <w:kern w:val="1"/>
                <w:szCs w:val="21"/>
                <w:highlight w:val="none"/>
              </w:rPr>
            </w:pPr>
            <w:r>
              <w:rPr>
                <w:rFonts w:ascii="宋体" w:hAnsi="宋体" w:cs="宋体"/>
                <w:b/>
                <w:color w:val="auto"/>
                <w:kern w:val="1"/>
                <w:szCs w:val="21"/>
                <w:highlight w:val="none"/>
              </w:rPr>
              <w:t>小写：</w:t>
            </w:r>
            <w:r>
              <w:rPr>
                <w:rFonts w:hint="eastAsia" w:ascii="宋体" w:hAnsi="宋体" w:cs="宋体"/>
                <w:b/>
                <w:color w:val="auto"/>
                <w:kern w:val="1"/>
                <w:szCs w:val="21"/>
                <w:highlight w:val="none"/>
              </w:rPr>
              <w:t xml:space="preserve">          </w:t>
            </w:r>
            <w:r>
              <w:rPr>
                <w:rFonts w:ascii="宋体" w:hAnsi="宋体" w:cs="宋体"/>
                <w:b/>
                <w:color w:val="auto"/>
                <w:kern w:val="1"/>
                <w:szCs w:val="21"/>
                <w:highlight w:val="none"/>
                <w:lang w:val="zh-CN"/>
              </w:rPr>
              <w:t>元</w:t>
            </w:r>
          </w:p>
          <w:p w14:paraId="40E900FF">
            <w:pPr>
              <w:spacing w:line="300" w:lineRule="exact"/>
              <w:jc w:val="left"/>
              <w:rPr>
                <w:rFonts w:ascii="宋体" w:hAnsi="宋体" w:cs="宋体"/>
                <w:b/>
                <w:color w:val="auto"/>
                <w:kern w:val="1"/>
                <w:szCs w:val="21"/>
                <w:highlight w:val="none"/>
              </w:rPr>
            </w:pPr>
            <w:r>
              <w:rPr>
                <w:rFonts w:ascii="宋体" w:hAnsi="宋体" w:cs="宋体"/>
                <w:b/>
                <w:color w:val="auto"/>
                <w:kern w:val="1"/>
                <w:szCs w:val="21"/>
                <w:highlight w:val="none"/>
              </w:rPr>
              <w:t>投标下浮率 %</w:t>
            </w:r>
          </w:p>
          <w:p w14:paraId="5450662A">
            <w:pPr>
              <w:jc w:val="left"/>
              <w:rPr>
                <w:rFonts w:ascii="宋体" w:hAnsi="宋体" w:cs="宋体"/>
                <w:b/>
                <w:color w:val="auto"/>
                <w:kern w:val="1"/>
                <w:szCs w:val="21"/>
                <w:highlight w:val="none"/>
              </w:rPr>
            </w:pPr>
            <w:r>
              <w:rPr>
                <w:rFonts w:ascii="宋体" w:hAnsi="宋体" w:cs="宋体"/>
                <w:b/>
                <w:color w:val="auto"/>
                <w:kern w:val="1"/>
                <w:szCs w:val="21"/>
                <w:highlight w:val="none"/>
              </w:rPr>
              <w:t>【注：</w:t>
            </w:r>
            <w:r>
              <w:rPr>
                <w:rFonts w:hint="eastAsia" w:ascii="宋体" w:hAnsi="宋体" w:cs="宋体"/>
                <w:b/>
                <w:color w:val="auto"/>
                <w:kern w:val="1"/>
                <w:szCs w:val="21"/>
                <w:highlight w:val="none"/>
              </w:rPr>
              <w:t>1、</w:t>
            </w:r>
            <w:r>
              <w:rPr>
                <w:rFonts w:hint="eastAsia" w:ascii="宋体" w:hAnsi="宋体" w:cs="宋体"/>
                <w:b/>
                <w:color w:val="auto"/>
                <w:szCs w:val="21"/>
                <w:highlight w:val="none"/>
              </w:rPr>
              <w:t>一期、二期、三期投标下浮率均需为同一值。2、</w:t>
            </w:r>
            <w:r>
              <w:rPr>
                <w:rFonts w:ascii="宋体" w:hAnsi="宋体" w:cs="宋体"/>
                <w:b/>
                <w:color w:val="auto"/>
                <w:kern w:val="1"/>
                <w:szCs w:val="21"/>
                <w:highlight w:val="none"/>
              </w:rPr>
              <w:t>投标下浮率=1-（</w:t>
            </w:r>
            <w:r>
              <w:rPr>
                <w:rFonts w:hint="eastAsia" w:ascii="宋体" w:hAnsi="宋体" w:cs="宋体"/>
                <w:b/>
                <w:color w:val="auto"/>
                <w:kern w:val="1"/>
                <w:szCs w:val="21"/>
                <w:highlight w:val="none"/>
              </w:rPr>
              <w:t>总</w:t>
            </w:r>
            <w:r>
              <w:rPr>
                <w:rFonts w:ascii="宋体" w:hAnsi="宋体" w:cs="宋体"/>
                <w:b/>
                <w:color w:val="auto"/>
                <w:kern w:val="1"/>
                <w:szCs w:val="21"/>
                <w:highlight w:val="none"/>
              </w:rPr>
              <w:t>勘察费投标报价）/</w:t>
            </w:r>
            <w:r>
              <w:rPr>
                <w:rFonts w:hint="eastAsia" w:ascii="宋体" w:hAnsi="宋体" w:cs="宋体"/>
                <w:b/>
                <w:color w:val="auto"/>
                <w:kern w:val="1"/>
                <w:szCs w:val="21"/>
                <w:highlight w:val="none"/>
              </w:rPr>
              <w:t>总</w:t>
            </w:r>
            <w:r>
              <w:rPr>
                <w:rFonts w:ascii="宋体" w:hAnsi="宋体" w:cs="宋体"/>
                <w:b/>
                <w:color w:val="auto"/>
                <w:kern w:val="1"/>
                <w:szCs w:val="21"/>
                <w:highlight w:val="none"/>
              </w:rPr>
              <w:t xml:space="preserve">勘察费最高投标限价）×100%）】              </w:t>
            </w:r>
          </w:p>
        </w:tc>
      </w:tr>
      <w:tr w14:paraId="223A9260">
        <w:tblPrEx>
          <w:tblCellMar>
            <w:top w:w="0" w:type="dxa"/>
            <w:left w:w="108" w:type="dxa"/>
            <w:bottom w:w="0" w:type="dxa"/>
            <w:right w:w="108" w:type="dxa"/>
          </w:tblCellMar>
        </w:tblPrEx>
        <w:trPr>
          <w:trHeight w:val="393"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0EB155D3">
            <w:pPr>
              <w:spacing w:line="300" w:lineRule="exact"/>
              <w:jc w:val="center"/>
              <w:rPr>
                <w:rFonts w:ascii="宋体" w:hAnsi="宋体" w:cs="宋体"/>
                <w:b/>
                <w:color w:val="auto"/>
                <w:kern w:val="1"/>
                <w:szCs w:val="21"/>
                <w:highlight w:val="none"/>
              </w:rPr>
            </w:pPr>
            <w:r>
              <w:rPr>
                <w:rFonts w:hint="eastAsia" w:ascii="宋体" w:hAnsi="宋体" w:cs="宋体"/>
                <w:b/>
                <w:color w:val="auto"/>
                <w:kern w:val="1"/>
                <w:szCs w:val="21"/>
                <w:highlight w:val="none"/>
              </w:rPr>
              <w:t>一期勘察费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46B750AD">
            <w:pPr>
              <w:jc w:val="left"/>
              <w:rPr>
                <w:rFonts w:ascii="宋体" w:hAnsi="宋体" w:cs="宋体"/>
                <w:b/>
                <w:color w:val="auto"/>
                <w:kern w:val="1"/>
                <w:szCs w:val="21"/>
                <w:highlight w:val="none"/>
                <w:u w:val="single"/>
              </w:rPr>
            </w:pPr>
            <w:r>
              <w:rPr>
                <w:rFonts w:ascii="宋体" w:hAnsi="宋体" w:cs="宋体"/>
                <w:b/>
                <w:color w:val="auto"/>
                <w:kern w:val="1"/>
                <w:szCs w:val="21"/>
                <w:highlight w:val="none"/>
              </w:rPr>
              <w:t>大写：</w:t>
            </w:r>
          </w:p>
          <w:p w14:paraId="1FDBD676">
            <w:pPr>
              <w:jc w:val="left"/>
              <w:rPr>
                <w:rFonts w:ascii="宋体" w:hAnsi="宋体" w:cs="宋体"/>
                <w:b/>
                <w:color w:val="auto"/>
                <w:kern w:val="1"/>
                <w:szCs w:val="21"/>
                <w:highlight w:val="none"/>
              </w:rPr>
            </w:pPr>
            <w:r>
              <w:rPr>
                <w:rFonts w:ascii="宋体" w:hAnsi="宋体" w:cs="宋体"/>
                <w:b/>
                <w:color w:val="auto"/>
                <w:kern w:val="1"/>
                <w:szCs w:val="21"/>
                <w:highlight w:val="none"/>
              </w:rPr>
              <w:t>小写：</w:t>
            </w:r>
            <w:r>
              <w:rPr>
                <w:rFonts w:hint="eastAsia" w:ascii="宋体" w:hAnsi="宋体" w:cs="宋体"/>
                <w:b/>
                <w:color w:val="auto"/>
                <w:kern w:val="1"/>
                <w:szCs w:val="21"/>
                <w:highlight w:val="none"/>
              </w:rPr>
              <w:t xml:space="preserve">          </w:t>
            </w:r>
            <w:r>
              <w:rPr>
                <w:rFonts w:ascii="宋体" w:hAnsi="宋体" w:cs="宋体"/>
                <w:b/>
                <w:color w:val="auto"/>
                <w:kern w:val="1"/>
                <w:szCs w:val="21"/>
                <w:highlight w:val="none"/>
                <w:lang w:val="zh-CN"/>
              </w:rPr>
              <w:t>元</w:t>
            </w:r>
          </w:p>
        </w:tc>
      </w:tr>
      <w:tr w14:paraId="51A783E8">
        <w:tblPrEx>
          <w:tblCellMar>
            <w:top w:w="0" w:type="dxa"/>
            <w:left w:w="108" w:type="dxa"/>
            <w:bottom w:w="0" w:type="dxa"/>
            <w:right w:w="108" w:type="dxa"/>
          </w:tblCellMar>
        </w:tblPrEx>
        <w:trPr>
          <w:trHeight w:val="393"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6C0C9B73">
            <w:pPr>
              <w:jc w:val="center"/>
              <w:rPr>
                <w:rFonts w:ascii="宋体" w:hAnsi="宋体" w:cs="宋体"/>
                <w:b/>
                <w:color w:val="auto"/>
                <w:kern w:val="1"/>
                <w:szCs w:val="21"/>
                <w:highlight w:val="none"/>
              </w:rPr>
            </w:pPr>
            <w:r>
              <w:rPr>
                <w:rFonts w:hint="eastAsia" w:ascii="宋体" w:hAnsi="宋体" w:cs="宋体"/>
                <w:b/>
                <w:color w:val="auto"/>
                <w:kern w:val="1"/>
                <w:szCs w:val="21"/>
                <w:highlight w:val="none"/>
              </w:rPr>
              <w:t>二期勘察费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43FA685E">
            <w:pPr>
              <w:jc w:val="left"/>
              <w:rPr>
                <w:rFonts w:ascii="宋体" w:hAnsi="宋体" w:cs="宋体"/>
                <w:b/>
                <w:color w:val="auto"/>
                <w:kern w:val="1"/>
                <w:szCs w:val="21"/>
                <w:highlight w:val="none"/>
                <w:u w:val="single"/>
              </w:rPr>
            </w:pPr>
            <w:r>
              <w:rPr>
                <w:rFonts w:ascii="宋体" w:hAnsi="宋体" w:cs="宋体"/>
                <w:b/>
                <w:color w:val="auto"/>
                <w:kern w:val="1"/>
                <w:szCs w:val="21"/>
                <w:highlight w:val="none"/>
              </w:rPr>
              <w:t>大写：</w:t>
            </w:r>
          </w:p>
          <w:p w14:paraId="761D0BFD">
            <w:pPr>
              <w:jc w:val="left"/>
              <w:rPr>
                <w:rFonts w:ascii="宋体" w:hAnsi="宋体" w:cs="宋体"/>
                <w:b/>
                <w:color w:val="auto"/>
                <w:kern w:val="1"/>
                <w:szCs w:val="21"/>
                <w:highlight w:val="none"/>
              </w:rPr>
            </w:pPr>
            <w:r>
              <w:rPr>
                <w:rFonts w:ascii="宋体" w:hAnsi="宋体" w:cs="宋体"/>
                <w:b/>
                <w:color w:val="auto"/>
                <w:kern w:val="1"/>
                <w:szCs w:val="21"/>
                <w:highlight w:val="none"/>
              </w:rPr>
              <w:t>小写：</w:t>
            </w:r>
            <w:r>
              <w:rPr>
                <w:rFonts w:hint="eastAsia" w:ascii="宋体" w:hAnsi="宋体" w:cs="宋体"/>
                <w:b/>
                <w:color w:val="auto"/>
                <w:kern w:val="1"/>
                <w:szCs w:val="21"/>
                <w:highlight w:val="none"/>
              </w:rPr>
              <w:t xml:space="preserve">          </w:t>
            </w:r>
            <w:r>
              <w:rPr>
                <w:rFonts w:ascii="宋体" w:hAnsi="宋体" w:cs="宋体"/>
                <w:b/>
                <w:color w:val="auto"/>
                <w:kern w:val="1"/>
                <w:szCs w:val="21"/>
                <w:highlight w:val="none"/>
                <w:lang w:val="zh-CN"/>
              </w:rPr>
              <w:t>元</w:t>
            </w:r>
          </w:p>
        </w:tc>
      </w:tr>
      <w:tr w14:paraId="4A21695D">
        <w:tblPrEx>
          <w:tblCellMar>
            <w:top w:w="0" w:type="dxa"/>
            <w:left w:w="108" w:type="dxa"/>
            <w:bottom w:w="0" w:type="dxa"/>
            <w:right w:w="108" w:type="dxa"/>
          </w:tblCellMar>
        </w:tblPrEx>
        <w:trPr>
          <w:trHeight w:val="393"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3737EF14">
            <w:pPr>
              <w:jc w:val="center"/>
              <w:rPr>
                <w:rFonts w:ascii="宋体" w:hAnsi="宋体" w:cs="宋体"/>
                <w:b/>
                <w:color w:val="auto"/>
                <w:kern w:val="1"/>
                <w:szCs w:val="21"/>
                <w:highlight w:val="none"/>
              </w:rPr>
            </w:pPr>
            <w:r>
              <w:rPr>
                <w:rFonts w:hint="eastAsia" w:ascii="宋体" w:hAnsi="宋体" w:cs="宋体"/>
                <w:b/>
                <w:color w:val="auto"/>
                <w:kern w:val="1"/>
                <w:szCs w:val="21"/>
                <w:highlight w:val="none"/>
              </w:rPr>
              <w:t>三期勘察费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13341D0D">
            <w:pPr>
              <w:jc w:val="left"/>
              <w:rPr>
                <w:rFonts w:ascii="宋体" w:hAnsi="宋体" w:cs="宋体"/>
                <w:b/>
                <w:color w:val="auto"/>
                <w:kern w:val="1"/>
                <w:szCs w:val="21"/>
                <w:highlight w:val="none"/>
                <w:u w:val="single"/>
              </w:rPr>
            </w:pPr>
            <w:r>
              <w:rPr>
                <w:rFonts w:ascii="宋体" w:hAnsi="宋体" w:cs="宋体"/>
                <w:b/>
                <w:color w:val="auto"/>
                <w:kern w:val="1"/>
                <w:szCs w:val="21"/>
                <w:highlight w:val="none"/>
              </w:rPr>
              <w:t>大写：</w:t>
            </w:r>
          </w:p>
          <w:p w14:paraId="59CBB5AC">
            <w:pPr>
              <w:jc w:val="left"/>
              <w:rPr>
                <w:rFonts w:ascii="宋体" w:hAnsi="宋体" w:cs="宋体"/>
                <w:b/>
                <w:color w:val="auto"/>
                <w:kern w:val="1"/>
                <w:szCs w:val="21"/>
                <w:highlight w:val="none"/>
              </w:rPr>
            </w:pPr>
            <w:r>
              <w:rPr>
                <w:rFonts w:ascii="宋体" w:hAnsi="宋体" w:cs="宋体"/>
                <w:b/>
                <w:color w:val="auto"/>
                <w:kern w:val="1"/>
                <w:szCs w:val="21"/>
                <w:highlight w:val="none"/>
              </w:rPr>
              <w:t>小写：</w:t>
            </w:r>
            <w:r>
              <w:rPr>
                <w:rFonts w:hint="eastAsia" w:ascii="宋体" w:hAnsi="宋体" w:cs="宋体"/>
                <w:b/>
                <w:color w:val="auto"/>
                <w:kern w:val="1"/>
                <w:szCs w:val="21"/>
                <w:highlight w:val="none"/>
              </w:rPr>
              <w:t xml:space="preserve">          </w:t>
            </w:r>
            <w:r>
              <w:rPr>
                <w:rFonts w:ascii="宋体" w:hAnsi="宋体" w:cs="宋体"/>
                <w:b/>
                <w:color w:val="auto"/>
                <w:kern w:val="1"/>
                <w:szCs w:val="21"/>
                <w:highlight w:val="none"/>
                <w:lang w:val="zh-CN"/>
              </w:rPr>
              <w:t>元</w:t>
            </w:r>
          </w:p>
        </w:tc>
      </w:tr>
      <w:tr w14:paraId="611BD503">
        <w:tblPrEx>
          <w:tblCellMar>
            <w:top w:w="0" w:type="dxa"/>
            <w:left w:w="108" w:type="dxa"/>
            <w:bottom w:w="0" w:type="dxa"/>
            <w:right w:w="108" w:type="dxa"/>
          </w:tblCellMar>
        </w:tblPrEx>
        <w:trPr>
          <w:trHeight w:val="393"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2A6EB971">
            <w:pPr>
              <w:spacing w:line="300" w:lineRule="exact"/>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rPr>
              <w:t>总设计费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1023B540">
            <w:pPr>
              <w:jc w:val="left"/>
              <w:rPr>
                <w:rFonts w:ascii="宋体" w:hAnsi="宋体" w:cs="宋体"/>
                <w:b/>
                <w:color w:val="auto"/>
                <w:kern w:val="1"/>
                <w:szCs w:val="21"/>
                <w:highlight w:val="none"/>
                <w:u w:val="single"/>
              </w:rPr>
            </w:pPr>
            <w:r>
              <w:rPr>
                <w:rFonts w:ascii="宋体" w:hAnsi="宋体" w:cs="宋体"/>
                <w:b/>
                <w:color w:val="auto"/>
                <w:kern w:val="1"/>
                <w:szCs w:val="21"/>
                <w:highlight w:val="none"/>
              </w:rPr>
              <w:t>大写：</w:t>
            </w:r>
          </w:p>
          <w:p w14:paraId="01CC9410">
            <w:pPr>
              <w:jc w:val="left"/>
              <w:rPr>
                <w:rFonts w:ascii="宋体" w:hAnsi="宋体" w:cs="宋体"/>
                <w:b/>
                <w:color w:val="auto"/>
                <w:kern w:val="1"/>
                <w:szCs w:val="21"/>
                <w:highlight w:val="none"/>
              </w:rPr>
            </w:pPr>
            <w:r>
              <w:rPr>
                <w:rFonts w:ascii="宋体" w:hAnsi="宋体" w:cs="宋体"/>
                <w:b/>
                <w:color w:val="auto"/>
                <w:kern w:val="1"/>
                <w:szCs w:val="21"/>
                <w:highlight w:val="none"/>
              </w:rPr>
              <w:t>小写：</w:t>
            </w:r>
            <w:r>
              <w:rPr>
                <w:rFonts w:hint="eastAsia" w:ascii="宋体" w:hAnsi="宋体" w:cs="宋体"/>
                <w:b/>
                <w:color w:val="auto"/>
                <w:kern w:val="1"/>
                <w:szCs w:val="21"/>
                <w:highlight w:val="none"/>
              </w:rPr>
              <w:t xml:space="preserve">          </w:t>
            </w:r>
            <w:r>
              <w:rPr>
                <w:rFonts w:ascii="宋体" w:hAnsi="宋体" w:cs="宋体"/>
                <w:b/>
                <w:color w:val="auto"/>
                <w:kern w:val="1"/>
                <w:szCs w:val="21"/>
                <w:highlight w:val="none"/>
                <w:lang w:val="zh-CN"/>
              </w:rPr>
              <w:t>元</w:t>
            </w:r>
          </w:p>
          <w:p w14:paraId="4514B4D9">
            <w:pPr>
              <w:spacing w:line="300" w:lineRule="exact"/>
              <w:jc w:val="left"/>
              <w:rPr>
                <w:rFonts w:ascii="宋体" w:hAnsi="宋体" w:cs="宋体"/>
                <w:b/>
                <w:color w:val="auto"/>
                <w:kern w:val="1"/>
                <w:szCs w:val="21"/>
                <w:highlight w:val="none"/>
              </w:rPr>
            </w:pPr>
            <w:r>
              <w:rPr>
                <w:rFonts w:ascii="宋体" w:hAnsi="宋体" w:cs="宋体"/>
                <w:b/>
                <w:color w:val="auto"/>
                <w:kern w:val="1"/>
                <w:szCs w:val="21"/>
                <w:highlight w:val="none"/>
              </w:rPr>
              <w:t>投标下浮率 %</w:t>
            </w:r>
          </w:p>
          <w:p w14:paraId="1F1B1044">
            <w:pPr>
              <w:jc w:val="left"/>
              <w:rPr>
                <w:rFonts w:ascii="宋体" w:hAnsi="宋体" w:cs="宋体"/>
                <w:b/>
                <w:color w:val="auto"/>
                <w:kern w:val="1"/>
                <w:szCs w:val="21"/>
                <w:highlight w:val="none"/>
              </w:rPr>
            </w:pPr>
            <w:r>
              <w:rPr>
                <w:rFonts w:ascii="宋体" w:hAnsi="宋体" w:cs="宋体"/>
                <w:b/>
                <w:color w:val="auto"/>
                <w:kern w:val="1"/>
                <w:szCs w:val="21"/>
                <w:highlight w:val="none"/>
              </w:rPr>
              <w:t>【注：</w:t>
            </w:r>
            <w:r>
              <w:rPr>
                <w:rFonts w:hint="eastAsia" w:ascii="宋体" w:hAnsi="宋体" w:cs="宋体"/>
                <w:b/>
                <w:color w:val="auto"/>
                <w:kern w:val="1"/>
                <w:szCs w:val="21"/>
                <w:highlight w:val="none"/>
              </w:rPr>
              <w:t>1、</w:t>
            </w:r>
            <w:r>
              <w:rPr>
                <w:rFonts w:hint="eastAsia" w:ascii="宋体" w:hAnsi="宋体" w:cs="宋体"/>
                <w:b/>
                <w:color w:val="auto"/>
                <w:szCs w:val="21"/>
                <w:highlight w:val="none"/>
              </w:rPr>
              <w:t>一期、二期、三期投标下浮率均需为同一值。2、</w:t>
            </w:r>
            <w:r>
              <w:rPr>
                <w:rFonts w:ascii="宋体" w:hAnsi="宋体" w:cs="宋体"/>
                <w:b/>
                <w:color w:val="auto"/>
                <w:kern w:val="1"/>
                <w:szCs w:val="21"/>
                <w:highlight w:val="none"/>
              </w:rPr>
              <w:t>投标下浮率=1-（</w:t>
            </w:r>
            <w:r>
              <w:rPr>
                <w:rFonts w:hint="eastAsia" w:ascii="宋体" w:hAnsi="宋体" w:cs="宋体"/>
                <w:b/>
                <w:color w:val="auto"/>
                <w:kern w:val="1"/>
                <w:szCs w:val="21"/>
                <w:highlight w:val="none"/>
              </w:rPr>
              <w:t>总</w:t>
            </w:r>
            <w:r>
              <w:rPr>
                <w:rFonts w:ascii="宋体" w:hAnsi="宋体" w:cs="宋体"/>
                <w:b/>
                <w:color w:val="auto"/>
                <w:kern w:val="1"/>
                <w:szCs w:val="21"/>
                <w:highlight w:val="none"/>
              </w:rPr>
              <w:t>设计费投标报价/</w:t>
            </w:r>
            <w:r>
              <w:rPr>
                <w:rFonts w:hint="eastAsia" w:ascii="宋体" w:hAnsi="宋体" w:cs="宋体"/>
                <w:b/>
                <w:color w:val="auto"/>
                <w:kern w:val="1"/>
                <w:szCs w:val="21"/>
                <w:highlight w:val="none"/>
              </w:rPr>
              <w:t>总</w:t>
            </w:r>
            <w:r>
              <w:rPr>
                <w:rFonts w:ascii="宋体" w:hAnsi="宋体" w:cs="宋体"/>
                <w:b/>
                <w:color w:val="auto"/>
                <w:kern w:val="1"/>
                <w:szCs w:val="21"/>
                <w:highlight w:val="none"/>
              </w:rPr>
              <w:t xml:space="preserve">设计费最高投标限价×100%）】              </w:t>
            </w:r>
          </w:p>
        </w:tc>
      </w:tr>
      <w:tr w14:paraId="197D496E">
        <w:tblPrEx>
          <w:tblCellMar>
            <w:top w:w="0" w:type="dxa"/>
            <w:left w:w="108" w:type="dxa"/>
            <w:bottom w:w="0" w:type="dxa"/>
            <w:right w:w="108" w:type="dxa"/>
          </w:tblCellMar>
        </w:tblPrEx>
        <w:trPr>
          <w:trHeight w:val="393"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2DC2B731">
            <w:pPr>
              <w:spacing w:line="300" w:lineRule="exact"/>
              <w:jc w:val="center"/>
              <w:rPr>
                <w:rFonts w:ascii="宋体" w:hAnsi="宋体" w:cs="宋体"/>
                <w:b/>
                <w:color w:val="auto"/>
                <w:kern w:val="1"/>
                <w:szCs w:val="21"/>
                <w:highlight w:val="none"/>
              </w:rPr>
            </w:pPr>
            <w:r>
              <w:rPr>
                <w:rFonts w:hint="eastAsia" w:ascii="宋体" w:hAnsi="宋体" w:cs="宋体"/>
                <w:b/>
                <w:color w:val="auto"/>
                <w:kern w:val="1"/>
                <w:szCs w:val="21"/>
                <w:highlight w:val="none"/>
              </w:rPr>
              <w:t>一期设计费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2D25A1CA">
            <w:pPr>
              <w:jc w:val="left"/>
              <w:rPr>
                <w:rFonts w:ascii="宋体" w:hAnsi="宋体" w:cs="宋体"/>
                <w:b/>
                <w:color w:val="auto"/>
                <w:kern w:val="1"/>
                <w:szCs w:val="21"/>
                <w:highlight w:val="none"/>
                <w:u w:val="single"/>
              </w:rPr>
            </w:pPr>
            <w:r>
              <w:rPr>
                <w:rFonts w:ascii="宋体" w:hAnsi="宋体" w:cs="宋体"/>
                <w:b/>
                <w:color w:val="auto"/>
                <w:kern w:val="1"/>
                <w:szCs w:val="21"/>
                <w:highlight w:val="none"/>
              </w:rPr>
              <w:t>大写：</w:t>
            </w:r>
          </w:p>
          <w:p w14:paraId="777F8949">
            <w:pPr>
              <w:jc w:val="left"/>
              <w:rPr>
                <w:rFonts w:ascii="宋体" w:hAnsi="宋体" w:cs="宋体"/>
                <w:b/>
                <w:color w:val="auto"/>
                <w:kern w:val="1"/>
                <w:szCs w:val="21"/>
                <w:highlight w:val="none"/>
              </w:rPr>
            </w:pPr>
            <w:r>
              <w:rPr>
                <w:rFonts w:ascii="宋体" w:hAnsi="宋体" w:cs="宋体"/>
                <w:b/>
                <w:color w:val="auto"/>
                <w:kern w:val="1"/>
                <w:szCs w:val="21"/>
                <w:highlight w:val="none"/>
              </w:rPr>
              <w:t>小写：</w:t>
            </w:r>
            <w:r>
              <w:rPr>
                <w:rFonts w:hint="eastAsia" w:ascii="宋体" w:hAnsi="宋体" w:cs="宋体"/>
                <w:b/>
                <w:color w:val="auto"/>
                <w:kern w:val="1"/>
                <w:szCs w:val="21"/>
                <w:highlight w:val="none"/>
              </w:rPr>
              <w:t xml:space="preserve">          </w:t>
            </w:r>
            <w:r>
              <w:rPr>
                <w:rFonts w:ascii="宋体" w:hAnsi="宋体" w:cs="宋体"/>
                <w:b/>
                <w:color w:val="auto"/>
                <w:kern w:val="1"/>
                <w:szCs w:val="21"/>
                <w:highlight w:val="none"/>
                <w:lang w:val="zh-CN"/>
              </w:rPr>
              <w:t>元</w:t>
            </w:r>
          </w:p>
        </w:tc>
      </w:tr>
      <w:tr w14:paraId="5AB78033">
        <w:tblPrEx>
          <w:tblCellMar>
            <w:top w:w="0" w:type="dxa"/>
            <w:left w:w="108" w:type="dxa"/>
            <w:bottom w:w="0" w:type="dxa"/>
            <w:right w:w="108" w:type="dxa"/>
          </w:tblCellMar>
        </w:tblPrEx>
        <w:trPr>
          <w:trHeight w:val="393"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62D4BFC3">
            <w:pPr>
              <w:jc w:val="center"/>
              <w:rPr>
                <w:rFonts w:ascii="宋体" w:hAnsi="宋体" w:cs="宋体"/>
                <w:b/>
                <w:color w:val="auto"/>
                <w:kern w:val="1"/>
                <w:szCs w:val="21"/>
                <w:highlight w:val="none"/>
              </w:rPr>
            </w:pPr>
            <w:r>
              <w:rPr>
                <w:rFonts w:hint="eastAsia" w:ascii="宋体" w:hAnsi="宋体" w:cs="宋体"/>
                <w:b/>
                <w:color w:val="auto"/>
                <w:kern w:val="1"/>
                <w:szCs w:val="21"/>
                <w:highlight w:val="none"/>
              </w:rPr>
              <w:t>二期设计费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7A2D6BAB">
            <w:pPr>
              <w:jc w:val="left"/>
              <w:rPr>
                <w:rFonts w:ascii="宋体" w:hAnsi="宋体" w:cs="宋体"/>
                <w:b/>
                <w:color w:val="auto"/>
                <w:kern w:val="1"/>
                <w:szCs w:val="21"/>
                <w:highlight w:val="none"/>
                <w:u w:val="single"/>
              </w:rPr>
            </w:pPr>
            <w:r>
              <w:rPr>
                <w:rFonts w:ascii="宋体" w:hAnsi="宋体" w:cs="宋体"/>
                <w:b/>
                <w:color w:val="auto"/>
                <w:kern w:val="1"/>
                <w:szCs w:val="21"/>
                <w:highlight w:val="none"/>
              </w:rPr>
              <w:t>大写：</w:t>
            </w:r>
          </w:p>
          <w:p w14:paraId="61D7C48C">
            <w:pPr>
              <w:jc w:val="left"/>
              <w:rPr>
                <w:rFonts w:ascii="宋体" w:hAnsi="宋体" w:cs="宋体"/>
                <w:b/>
                <w:color w:val="auto"/>
                <w:kern w:val="1"/>
                <w:szCs w:val="21"/>
                <w:highlight w:val="none"/>
              </w:rPr>
            </w:pPr>
            <w:r>
              <w:rPr>
                <w:rFonts w:ascii="宋体" w:hAnsi="宋体" w:cs="宋体"/>
                <w:b/>
                <w:color w:val="auto"/>
                <w:kern w:val="1"/>
                <w:szCs w:val="21"/>
                <w:highlight w:val="none"/>
              </w:rPr>
              <w:t>小写：</w:t>
            </w:r>
            <w:r>
              <w:rPr>
                <w:rFonts w:hint="eastAsia" w:ascii="宋体" w:hAnsi="宋体" w:cs="宋体"/>
                <w:b/>
                <w:color w:val="auto"/>
                <w:kern w:val="1"/>
                <w:szCs w:val="21"/>
                <w:highlight w:val="none"/>
              </w:rPr>
              <w:t xml:space="preserve">          </w:t>
            </w:r>
            <w:r>
              <w:rPr>
                <w:rFonts w:ascii="宋体" w:hAnsi="宋体" w:cs="宋体"/>
                <w:b/>
                <w:color w:val="auto"/>
                <w:kern w:val="1"/>
                <w:szCs w:val="21"/>
                <w:highlight w:val="none"/>
                <w:lang w:val="zh-CN"/>
              </w:rPr>
              <w:t>元</w:t>
            </w:r>
          </w:p>
        </w:tc>
      </w:tr>
      <w:tr w14:paraId="24D6B67D">
        <w:tblPrEx>
          <w:tblCellMar>
            <w:top w:w="0" w:type="dxa"/>
            <w:left w:w="108" w:type="dxa"/>
            <w:bottom w:w="0" w:type="dxa"/>
            <w:right w:w="108" w:type="dxa"/>
          </w:tblCellMar>
        </w:tblPrEx>
        <w:trPr>
          <w:trHeight w:val="393"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02A08F79">
            <w:pPr>
              <w:jc w:val="center"/>
              <w:rPr>
                <w:rFonts w:ascii="宋体" w:hAnsi="宋体" w:cs="宋体"/>
                <w:b/>
                <w:color w:val="auto"/>
                <w:kern w:val="1"/>
                <w:szCs w:val="21"/>
                <w:highlight w:val="none"/>
              </w:rPr>
            </w:pPr>
            <w:r>
              <w:rPr>
                <w:rFonts w:hint="eastAsia" w:ascii="宋体" w:hAnsi="宋体" w:cs="宋体"/>
                <w:b/>
                <w:color w:val="auto"/>
                <w:kern w:val="1"/>
                <w:szCs w:val="21"/>
                <w:highlight w:val="none"/>
              </w:rPr>
              <w:t>三期设计费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6448005A">
            <w:pPr>
              <w:jc w:val="left"/>
              <w:rPr>
                <w:rFonts w:ascii="宋体" w:hAnsi="宋体" w:cs="宋体"/>
                <w:b/>
                <w:color w:val="auto"/>
                <w:kern w:val="1"/>
                <w:szCs w:val="21"/>
                <w:highlight w:val="none"/>
                <w:u w:val="single"/>
              </w:rPr>
            </w:pPr>
            <w:r>
              <w:rPr>
                <w:rFonts w:ascii="宋体" w:hAnsi="宋体" w:cs="宋体"/>
                <w:b/>
                <w:color w:val="auto"/>
                <w:kern w:val="1"/>
                <w:szCs w:val="21"/>
                <w:highlight w:val="none"/>
              </w:rPr>
              <w:t>大写：</w:t>
            </w:r>
          </w:p>
          <w:p w14:paraId="5F68CB3C">
            <w:pPr>
              <w:jc w:val="left"/>
              <w:rPr>
                <w:rFonts w:ascii="宋体" w:hAnsi="宋体" w:cs="宋体"/>
                <w:b/>
                <w:color w:val="auto"/>
                <w:kern w:val="1"/>
                <w:szCs w:val="21"/>
                <w:highlight w:val="none"/>
              </w:rPr>
            </w:pPr>
            <w:r>
              <w:rPr>
                <w:rFonts w:ascii="宋体" w:hAnsi="宋体" w:cs="宋体"/>
                <w:b/>
                <w:color w:val="auto"/>
                <w:kern w:val="1"/>
                <w:szCs w:val="21"/>
                <w:highlight w:val="none"/>
              </w:rPr>
              <w:t>小写：</w:t>
            </w:r>
            <w:r>
              <w:rPr>
                <w:rFonts w:hint="eastAsia" w:ascii="宋体" w:hAnsi="宋体" w:cs="宋体"/>
                <w:b/>
                <w:color w:val="auto"/>
                <w:kern w:val="1"/>
                <w:szCs w:val="21"/>
                <w:highlight w:val="none"/>
              </w:rPr>
              <w:t xml:space="preserve">          </w:t>
            </w:r>
            <w:r>
              <w:rPr>
                <w:rFonts w:ascii="宋体" w:hAnsi="宋体" w:cs="宋体"/>
                <w:b/>
                <w:color w:val="auto"/>
                <w:kern w:val="1"/>
                <w:szCs w:val="21"/>
                <w:highlight w:val="none"/>
                <w:lang w:val="zh-CN"/>
              </w:rPr>
              <w:t>元</w:t>
            </w:r>
          </w:p>
        </w:tc>
      </w:tr>
      <w:tr w14:paraId="7CFE8941">
        <w:tblPrEx>
          <w:tblCellMar>
            <w:top w:w="0" w:type="dxa"/>
            <w:left w:w="108" w:type="dxa"/>
            <w:bottom w:w="0" w:type="dxa"/>
            <w:right w:w="108" w:type="dxa"/>
          </w:tblCellMar>
        </w:tblPrEx>
        <w:trPr>
          <w:trHeight w:val="393"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44D66C0C">
            <w:pPr>
              <w:spacing w:line="300" w:lineRule="exact"/>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rPr>
              <w:t>总</w:t>
            </w:r>
            <w:r>
              <w:rPr>
                <w:rFonts w:ascii="宋体" w:hAnsi="宋体" w:cs="宋体"/>
                <w:b/>
                <w:color w:val="auto"/>
                <w:kern w:val="1"/>
                <w:szCs w:val="21"/>
                <w:highlight w:val="none"/>
              </w:rPr>
              <w:t>建安工程</w:t>
            </w:r>
            <w:r>
              <w:rPr>
                <w:rFonts w:ascii="宋体" w:hAnsi="宋体" w:cs="宋体"/>
                <w:b/>
                <w:color w:val="auto"/>
                <w:kern w:val="1"/>
                <w:szCs w:val="21"/>
                <w:highlight w:val="none"/>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23CEA9B2">
            <w:pPr>
              <w:jc w:val="left"/>
              <w:rPr>
                <w:rFonts w:ascii="宋体" w:hAnsi="宋体" w:cs="宋体"/>
                <w:b/>
                <w:color w:val="auto"/>
                <w:kern w:val="1"/>
                <w:szCs w:val="21"/>
                <w:highlight w:val="none"/>
                <w:u w:val="single"/>
              </w:rPr>
            </w:pPr>
            <w:r>
              <w:rPr>
                <w:rFonts w:ascii="宋体" w:hAnsi="宋体" w:cs="宋体"/>
                <w:b/>
                <w:color w:val="auto"/>
                <w:kern w:val="1"/>
                <w:szCs w:val="21"/>
                <w:highlight w:val="none"/>
              </w:rPr>
              <w:t>大写：</w:t>
            </w:r>
          </w:p>
          <w:p w14:paraId="5BE9745A">
            <w:pPr>
              <w:jc w:val="left"/>
              <w:rPr>
                <w:rFonts w:ascii="宋体" w:hAnsi="宋体" w:cs="宋体"/>
                <w:b/>
                <w:color w:val="auto"/>
                <w:kern w:val="1"/>
                <w:szCs w:val="21"/>
                <w:highlight w:val="none"/>
              </w:rPr>
            </w:pPr>
            <w:r>
              <w:rPr>
                <w:rFonts w:ascii="宋体" w:hAnsi="宋体" w:cs="宋体"/>
                <w:b/>
                <w:color w:val="auto"/>
                <w:kern w:val="1"/>
                <w:szCs w:val="21"/>
                <w:highlight w:val="none"/>
              </w:rPr>
              <w:t>小写：</w:t>
            </w:r>
            <w:r>
              <w:rPr>
                <w:rFonts w:hint="eastAsia" w:ascii="宋体" w:hAnsi="宋体" w:cs="宋体"/>
                <w:b/>
                <w:color w:val="auto"/>
                <w:kern w:val="1"/>
                <w:szCs w:val="21"/>
                <w:highlight w:val="none"/>
              </w:rPr>
              <w:t xml:space="preserve">          </w:t>
            </w:r>
            <w:r>
              <w:rPr>
                <w:rFonts w:ascii="宋体" w:hAnsi="宋体" w:cs="宋体"/>
                <w:b/>
                <w:color w:val="auto"/>
                <w:kern w:val="1"/>
                <w:szCs w:val="21"/>
                <w:highlight w:val="none"/>
                <w:lang w:val="zh-CN"/>
              </w:rPr>
              <w:t>元</w:t>
            </w:r>
          </w:p>
          <w:p w14:paraId="0621D65A">
            <w:pPr>
              <w:spacing w:line="300" w:lineRule="exact"/>
              <w:jc w:val="left"/>
              <w:rPr>
                <w:rFonts w:ascii="宋体" w:hAnsi="宋体" w:cs="宋体"/>
                <w:b/>
                <w:color w:val="auto"/>
                <w:kern w:val="1"/>
                <w:szCs w:val="21"/>
                <w:highlight w:val="none"/>
              </w:rPr>
            </w:pPr>
            <w:r>
              <w:rPr>
                <w:rFonts w:ascii="宋体" w:hAnsi="宋体" w:cs="宋体"/>
                <w:b/>
                <w:color w:val="auto"/>
                <w:kern w:val="1"/>
                <w:szCs w:val="21"/>
                <w:highlight w:val="none"/>
              </w:rPr>
              <w:t>投标下浮率 %</w:t>
            </w:r>
          </w:p>
          <w:p w14:paraId="3D59F085">
            <w:pPr>
              <w:jc w:val="left"/>
              <w:rPr>
                <w:rFonts w:ascii="宋体" w:hAnsi="宋体" w:cs="宋体"/>
                <w:b/>
                <w:color w:val="auto"/>
                <w:kern w:val="1"/>
                <w:szCs w:val="21"/>
                <w:highlight w:val="none"/>
              </w:rPr>
            </w:pPr>
            <w:r>
              <w:rPr>
                <w:rFonts w:ascii="宋体" w:hAnsi="宋体" w:cs="宋体"/>
                <w:b/>
                <w:color w:val="auto"/>
                <w:kern w:val="1"/>
                <w:szCs w:val="21"/>
                <w:highlight w:val="none"/>
              </w:rPr>
              <w:t>【注：</w:t>
            </w:r>
            <w:r>
              <w:rPr>
                <w:rFonts w:hint="eastAsia" w:ascii="宋体" w:hAnsi="宋体" w:cs="宋体"/>
                <w:b/>
                <w:color w:val="auto"/>
                <w:kern w:val="1"/>
                <w:szCs w:val="21"/>
                <w:highlight w:val="none"/>
              </w:rPr>
              <w:t>1、</w:t>
            </w:r>
            <w:r>
              <w:rPr>
                <w:rFonts w:hint="eastAsia" w:ascii="宋体" w:hAnsi="宋体" w:cs="宋体"/>
                <w:b/>
                <w:color w:val="auto"/>
                <w:szCs w:val="21"/>
                <w:highlight w:val="none"/>
              </w:rPr>
              <w:t>一期、二期、三期投标下浮率均需为同一值。2、</w:t>
            </w:r>
            <w:r>
              <w:rPr>
                <w:rFonts w:ascii="宋体" w:hAnsi="宋体" w:cs="宋体"/>
                <w:b/>
                <w:color w:val="auto"/>
                <w:kern w:val="1"/>
                <w:szCs w:val="21"/>
                <w:highlight w:val="none"/>
              </w:rPr>
              <w:t>投标下浮率=1-（</w:t>
            </w:r>
            <w:r>
              <w:rPr>
                <w:rFonts w:hint="eastAsia" w:ascii="宋体" w:hAnsi="宋体" w:cs="宋体"/>
                <w:b/>
                <w:color w:val="auto"/>
                <w:kern w:val="1"/>
                <w:szCs w:val="21"/>
                <w:highlight w:val="none"/>
              </w:rPr>
              <w:t>总</w:t>
            </w:r>
            <w:r>
              <w:rPr>
                <w:rFonts w:ascii="宋体" w:hAnsi="宋体" w:cs="宋体"/>
                <w:b/>
                <w:color w:val="auto"/>
                <w:kern w:val="1"/>
                <w:szCs w:val="21"/>
                <w:highlight w:val="none"/>
              </w:rPr>
              <w:t>建安工程费投标报价/</w:t>
            </w:r>
            <w:r>
              <w:rPr>
                <w:rFonts w:hint="eastAsia" w:ascii="宋体" w:hAnsi="宋体" w:cs="宋体"/>
                <w:b/>
                <w:color w:val="auto"/>
                <w:kern w:val="1"/>
                <w:szCs w:val="21"/>
                <w:highlight w:val="none"/>
              </w:rPr>
              <w:t>总</w:t>
            </w:r>
            <w:r>
              <w:rPr>
                <w:rFonts w:ascii="宋体" w:hAnsi="宋体" w:cs="宋体"/>
                <w:b/>
                <w:color w:val="auto"/>
                <w:kern w:val="1"/>
                <w:szCs w:val="21"/>
                <w:highlight w:val="none"/>
              </w:rPr>
              <w:t xml:space="preserve">建安工程费最高投标限价×100%）】                 </w:t>
            </w:r>
          </w:p>
        </w:tc>
      </w:tr>
      <w:tr w14:paraId="43642DDB">
        <w:tblPrEx>
          <w:tblCellMar>
            <w:top w:w="0" w:type="dxa"/>
            <w:left w:w="108" w:type="dxa"/>
            <w:bottom w:w="0" w:type="dxa"/>
            <w:right w:w="108" w:type="dxa"/>
          </w:tblCellMar>
        </w:tblPrEx>
        <w:trPr>
          <w:trHeight w:val="393"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502B090F">
            <w:pPr>
              <w:jc w:val="center"/>
              <w:rPr>
                <w:rFonts w:ascii="宋体" w:hAnsi="宋体" w:cs="宋体"/>
                <w:b/>
                <w:color w:val="auto"/>
                <w:kern w:val="1"/>
                <w:szCs w:val="21"/>
                <w:highlight w:val="none"/>
              </w:rPr>
            </w:pPr>
            <w:r>
              <w:rPr>
                <w:rFonts w:hint="eastAsia" w:ascii="宋体" w:hAnsi="宋体" w:cs="宋体"/>
                <w:b/>
                <w:color w:val="auto"/>
                <w:kern w:val="1"/>
                <w:szCs w:val="21"/>
                <w:highlight w:val="none"/>
              </w:rPr>
              <w:t>一期</w:t>
            </w:r>
            <w:r>
              <w:rPr>
                <w:rFonts w:ascii="宋体" w:hAnsi="宋体" w:cs="宋体"/>
                <w:b/>
                <w:color w:val="auto"/>
                <w:kern w:val="1"/>
                <w:szCs w:val="21"/>
                <w:highlight w:val="none"/>
              </w:rPr>
              <w:t>建安工程</w:t>
            </w:r>
            <w:r>
              <w:rPr>
                <w:rFonts w:ascii="宋体" w:hAnsi="宋体" w:cs="宋体"/>
                <w:b/>
                <w:color w:val="auto"/>
                <w:kern w:val="1"/>
                <w:szCs w:val="21"/>
                <w:highlight w:val="none"/>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4250C337">
            <w:pPr>
              <w:jc w:val="left"/>
              <w:rPr>
                <w:rFonts w:ascii="宋体" w:hAnsi="宋体" w:cs="宋体"/>
                <w:b/>
                <w:color w:val="auto"/>
                <w:kern w:val="1"/>
                <w:szCs w:val="21"/>
                <w:highlight w:val="none"/>
                <w:u w:val="single"/>
              </w:rPr>
            </w:pPr>
            <w:r>
              <w:rPr>
                <w:rFonts w:ascii="宋体" w:hAnsi="宋体" w:cs="宋体"/>
                <w:b/>
                <w:color w:val="auto"/>
                <w:kern w:val="1"/>
                <w:szCs w:val="21"/>
                <w:highlight w:val="none"/>
              </w:rPr>
              <w:t>大写：</w:t>
            </w:r>
          </w:p>
          <w:p w14:paraId="000D796A">
            <w:pPr>
              <w:jc w:val="left"/>
              <w:rPr>
                <w:rFonts w:ascii="宋体" w:hAnsi="宋体" w:cs="宋体"/>
                <w:b/>
                <w:color w:val="auto"/>
                <w:kern w:val="1"/>
                <w:szCs w:val="21"/>
                <w:highlight w:val="none"/>
              </w:rPr>
            </w:pPr>
            <w:r>
              <w:rPr>
                <w:rFonts w:ascii="宋体" w:hAnsi="宋体" w:cs="宋体"/>
                <w:b/>
                <w:color w:val="auto"/>
                <w:kern w:val="1"/>
                <w:szCs w:val="21"/>
                <w:highlight w:val="none"/>
              </w:rPr>
              <w:t>小写：</w:t>
            </w:r>
            <w:r>
              <w:rPr>
                <w:rFonts w:hint="eastAsia" w:ascii="宋体" w:hAnsi="宋体" w:cs="宋体"/>
                <w:b/>
                <w:color w:val="auto"/>
                <w:kern w:val="1"/>
                <w:szCs w:val="21"/>
                <w:highlight w:val="none"/>
              </w:rPr>
              <w:t xml:space="preserve">          </w:t>
            </w:r>
            <w:r>
              <w:rPr>
                <w:rFonts w:ascii="宋体" w:hAnsi="宋体" w:cs="宋体"/>
                <w:b/>
                <w:color w:val="auto"/>
                <w:kern w:val="1"/>
                <w:szCs w:val="21"/>
                <w:highlight w:val="none"/>
                <w:lang w:val="zh-CN"/>
              </w:rPr>
              <w:t>元</w:t>
            </w:r>
          </w:p>
        </w:tc>
      </w:tr>
      <w:tr w14:paraId="3A7D3EBD">
        <w:tblPrEx>
          <w:tblCellMar>
            <w:top w:w="0" w:type="dxa"/>
            <w:left w:w="108" w:type="dxa"/>
            <w:bottom w:w="0" w:type="dxa"/>
            <w:right w:w="108" w:type="dxa"/>
          </w:tblCellMar>
        </w:tblPrEx>
        <w:trPr>
          <w:trHeight w:val="393"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655E4E17">
            <w:pPr>
              <w:jc w:val="center"/>
              <w:rPr>
                <w:rFonts w:ascii="宋体" w:hAnsi="宋体" w:cs="宋体"/>
                <w:b/>
                <w:color w:val="auto"/>
                <w:kern w:val="1"/>
                <w:szCs w:val="21"/>
                <w:highlight w:val="none"/>
              </w:rPr>
            </w:pPr>
            <w:r>
              <w:rPr>
                <w:rFonts w:hint="eastAsia" w:ascii="宋体" w:hAnsi="宋体" w:cs="宋体"/>
                <w:b/>
                <w:color w:val="auto"/>
                <w:kern w:val="1"/>
                <w:szCs w:val="21"/>
                <w:highlight w:val="none"/>
              </w:rPr>
              <w:t>二期</w:t>
            </w:r>
            <w:r>
              <w:rPr>
                <w:rFonts w:ascii="宋体" w:hAnsi="宋体" w:cs="宋体"/>
                <w:b/>
                <w:color w:val="auto"/>
                <w:kern w:val="1"/>
                <w:szCs w:val="21"/>
                <w:highlight w:val="none"/>
              </w:rPr>
              <w:t>建安工程</w:t>
            </w:r>
            <w:r>
              <w:rPr>
                <w:rFonts w:ascii="宋体" w:hAnsi="宋体" w:cs="宋体"/>
                <w:b/>
                <w:color w:val="auto"/>
                <w:kern w:val="1"/>
                <w:szCs w:val="21"/>
                <w:highlight w:val="none"/>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57E96260">
            <w:pPr>
              <w:jc w:val="left"/>
              <w:rPr>
                <w:rFonts w:ascii="宋体" w:hAnsi="宋体" w:cs="宋体"/>
                <w:b/>
                <w:color w:val="auto"/>
                <w:kern w:val="1"/>
                <w:szCs w:val="21"/>
                <w:highlight w:val="none"/>
                <w:u w:val="single"/>
              </w:rPr>
            </w:pPr>
            <w:r>
              <w:rPr>
                <w:rFonts w:ascii="宋体" w:hAnsi="宋体" w:cs="宋体"/>
                <w:b/>
                <w:color w:val="auto"/>
                <w:kern w:val="1"/>
                <w:szCs w:val="21"/>
                <w:highlight w:val="none"/>
              </w:rPr>
              <w:t>大写：</w:t>
            </w:r>
          </w:p>
          <w:p w14:paraId="38778379">
            <w:pPr>
              <w:jc w:val="left"/>
              <w:rPr>
                <w:rFonts w:ascii="宋体" w:hAnsi="宋体" w:cs="宋体"/>
                <w:b/>
                <w:color w:val="auto"/>
                <w:kern w:val="1"/>
                <w:szCs w:val="21"/>
                <w:highlight w:val="none"/>
              </w:rPr>
            </w:pPr>
            <w:r>
              <w:rPr>
                <w:rFonts w:ascii="宋体" w:hAnsi="宋体" w:cs="宋体"/>
                <w:b/>
                <w:color w:val="auto"/>
                <w:kern w:val="1"/>
                <w:szCs w:val="21"/>
                <w:highlight w:val="none"/>
              </w:rPr>
              <w:t>小写：</w:t>
            </w:r>
            <w:r>
              <w:rPr>
                <w:rFonts w:hint="eastAsia" w:ascii="宋体" w:hAnsi="宋体" w:cs="宋体"/>
                <w:b/>
                <w:color w:val="auto"/>
                <w:kern w:val="1"/>
                <w:szCs w:val="21"/>
                <w:highlight w:val="none"/>
              </w:rPr>
              <w:t xml:space="preserve">          </w:t>
            </w:r>
            <w:r>
              <w:rPr>
                <w:rFonts w:ascii="宋体" w:hAnsi="宋体" w:cs="宋体"/>
                <w:b/>
                <w:color w:val="auto"/>
                <w:kern w:val="1"/>
                <w:szCs w:val="21"/>
                <w:highlight w:val="none"/>
                <w:lang w:val="zh-CN"/>
              </w:rPr>
              <w:t>元</w:t>
            </w:r>
          </w:p>
        </w:tc>
      </w:tr>
      <w:tr w14:paraId="541E9053">
        <w:tblPrEx>
          <w:tblCellMar>
            <w:top w:w="0" w:type="dxa"/>
            <w:left w:w="108" w:type="dxa"/>
            <w:bottom w:w="0" w:type="dxa"/>
            <w:right w:w="108" w:type="dxa"/>
          </w:tblCellMar>
        </w:tblPrEx>
        <w:trPr>
          <w:trHeight w:val="393"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6930A0EE">
            <w:pPr>
              <w:jc w:val="center"/>
              <w:rPr>
                <w:rFonts w:ascii="宋体" w:hAnsi="宋体" w:cs="宋体"/>
                <w:b/>
                <w:color w:val="auto"/>
                <w:kern w:val="1"/>
                <w:szCs w:val="21"/>
                <w:highlight w:val="none"/>
              </w:rPr>
            </w:pPr>
            <w:r>
              <w:rPr>
                <w:rFonts w:hint="eastAsia" w:ascii="宋体" w:hAnsi="宋体" w:cs="宋体"/>
                <w:b/>
                <w:color w:val="auto"/>
                <w:kern w:val="1"/>
                <w:szCs w:val="21"/>
                <w:highlight w:val="none"/>
              </w:rPr>
              <w:t>三期</w:t>
            </w:r>
            <w:r>
              <w:rPr>
                <w:rFonts w:ascii="宋体" w:hAnsi="宋体" w:cs="宋体"/>
                <w:b/>
                <w:color w:val="auto"/>
                <w:kern w:val="1"/>
                <w:szCs w:val="21"/>
                <w:highlight w:val="none"/>
              </w:rPr>
              <w:t>建安工程</w:t>
            </w:r>
            <w:r>
              <w:rPr>
                <w:rFonts w:ascii="宋体" w:hAnsi="宋体" w:cs="宋体"/>
                <w:b/>
                <w:color w:val="auto"/>
                <w:kern w:val="1"/>
                <w:szCs w:val="21"/>
                <w:highlight w:val="none"/>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6C83E2B4">
            <w:pPr>
              <w:jc w:val="left"/>
              <w:rPr>
                <w:rFonts w:ascii="宋体" w:hAnsi="宋体" w:cs="宋体"/>
                <w:b/>
                <w:color w:val="auto"/>
                <w:kern w:val="1"/>
                <w:szCs w:val="21"/>
                <w:highlight w:val="none"/>
                <w:u w:val="single"/>
              </w:rPr>
            </w:pPr>
            <w:r>
              <w:rPr>
                <w:rFonts w:ascii="宋体" w:hAnsi="宋体" w:cs="宋体"/>
                <w:b/>
                <w:color w:val="auto"/>
                <w:kern w:val="1"/>
                <w:szCs w:val="21"/>
                <w:highlight w:val="none"/>
              </w:rPr>
              <w:t>大写：</w:t>
            </w:r>
          </w:p>
          <w:p w14:paraId="7407A04D">
            <w:pPr>
              <w:jc w:val="left"/>
              <w:rPr>
                <w:rFonts w:ascii="宋体" w:hAnsi="宋体" w:cs="宋体"/>
                <w:b/>
                <w:color w:val="auto"/>
                <w:kern w:val="1"/>
                <w:szCs w:val="21"/>
                <w:highlight w:val="none"/>
              </w:rPr>
            </w:pPr>
            <w:r>
              <w:rPr>
                <w:rFonts w:ascii="宋体" w:hAnsi="宋体" w:cs="宋体"/>
                <w:b/>
                <w:color w:val="auto"/>
                <w:kern w:val="1"/>
                <w:szCs w:val="21"/>
                <w:highlight w:val="none"/>
              </w:rPr>
              <w:t>小写：</w:t>
            </w:r>
            <w:r>
              <w:rPr>
                <w:rFonts w:hint="eastAsia" w:ascii="宋体" w:hAnsi="宋体" w:cs="宋体"/>
                <w:b/>
                <w:color w:val="auto"/>
                <w:kern w:val="1"/>
                <w:szCs w:val="21"/>
                <w:highlight w:val="none"/>
              </w:rPr>
              <w:t xml:space="preserve">          </w:t>
            </w:r>
            <w:r>
              <w:rPr>
                <w:rFonts w:ascii="宋体" w:hAnsi="宋体" w:cs="宋体"/>
                <w:b/>
                <w:color w:val="auto"/>
                <w:kern w:val="1"/>
                <w:szCs w:val="21"/>
                <w:highlight w:val="none"/>
                <w:lang w:val="zh-CN"/>
              </w:rPr>
              <w:t>元</w:t>
            </w:r>
          </w:p>
        </w:tc>
      </w:tr>
      <w:tr w14:paraId="6BB54B9B">
        <w:tblPrEx>
          <w:tblCellMar>
            <w:top w:w="0" w:type="dxa"/>
            <w:left w:w="108" w:type="dxa"/>
            <w:bottom w:w="0" w:type="dxa"/>
            <w:right w:w="108" w:type="dxa"/>
          </w:tblCellMar>
        </w:tblPrEx>
        <w:trPr>
          <w:trHeight w:val="756"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458A8F96">
            <w:pPr>
              <w:spacing w:line="300" w:lineRule="exact"/>
              <w:jc w:val="center"/>
              <w:rPr>
                <w:rFonts w:ascii="宋体" w:hAnsi="宋体" w:cs="宋体"/>
                <w:b/>
                <w:color w:val="auto"/>
                <w:kern w:val="1"/>
                <w:szCs w:val="21"/>
                <w:highlight w:val="none"/>
              </w:rPr>
            </w:pPr>
            <w:r>
              <w:rPr>
                <w:rFonts w:ascii="宋体" w:hAnsi="宋体" w:cs="宋体"/>
                <w:b/>
                <w:color w:val="auto"/>
                <w:kern w:val="1"/>
                <w:szCs w:val="21"/>
                <w:highlight w:val="none"/>
              </w:rPr>
              <w:t>法 定 代 表 人</w:t>
            </w:r>
          </w:p>
          <w:p w14:paraId="0336366F">
            <w:pPr>
              <w:spacing w:line="300" w:lineRule="exact"/>
              <w:jc w:val="center"/>
              <w:rPr>
                <w:rFonts w:ascii="宋体" w:hAnsi="宋体" w:cs="宋体"/>
                <w:b/>
                <w:color w:val="auto"/>
                <w:kern w:val="1"/>
                <w:szCs w:val="21"/>
                <w:highlight w:val="none"/>
                <w:lang w:val="zh-CN"/>
              </w:rPr>
            </w:pPr>
            <w:r>
              <w:rPr>
                <w:rFonts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454E79CA">
            <w:pPr>
              <w:spacing w:line="300" w:lineRule="exact"/>
              <w:rPr>
                <w:rFonts w:ascii="宋体" w:hAnsi="宋体" w:cs="宋体"/>
                <w:b/>
                <w:color w:val="auto"/>
                <w:kern w:val="1"/>
                <w:szCs w:val="21"/>
                <w:highlight w:val="none"/>
              </w:rPr>
            </w:pPr>
          </w:p>
        </w:tc>
      </w:tr>
      <w:tr w14:paraId="409D96AA">
        <w:tblPrEx>
          <w:tblCellMar>
            <w:top w:w="0" w:type="dxa"/>
            <w:left w:w="108" w:type="dxa"/>
            <w:bottom w:w="0" w:type="dxa"/>
            <w:right w:w="108" w:type="dxa"/>
          </w:tblCellMar>
        </w:tblPrEx>
        <w:trPr>
          <w:trHeight w:val="526"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0BE012ED">
            <w:pPr>
              <w:spacing w:line="300" w:lineRule="exact"/>
              <w:jc w:val="center"/>
              <w:rPr>
                <w:rFonts w:ascii="宋体" w:hAnsi="宋体" w:cs="宋体"/>
                <w:b/>
                <w:color w:val="auto"/>
                <w:kern w:val="1"/>
                <w:szCs w:val="21"/>
                <w:highlight w:val="none"/>
              </w:rPr>
            </w:pPr>
            <w:r>
              <w:rPr>
                <w:rFonts w:ascii="宋体" w:hAnsi="宋体" w:cs="宋体"/>
                <w:b/>
                <w:color w:val="auto"/>
                <w:kern w:val="1"/>
                <w:szCs w:val="21"/>
                <w:highlight w:val="none"/>
              </w:rPr>
              <w:t>授 权 委 托 人</w:t>
            </w:r>
          </w:p>
          <w:p w14:paraId="649CCB28">
            <w:pPr>
              <w:spacing w:line="300" w:lineRule="exact"/>
              <w:jc w:val="center"/>
              <w:rPr>
                <w:rFonts w:ascii="宋体" w:hAnsi="宋体" w:cs="宋体"/>
                <w:b/>
                <w:color w:val="auto"/>
                <w:kern w:val="1"/>
                <w:szCs w:val="21"/>
                <w:highlight w:val="none"/>
                <w:lang w:val="zh-CN"/>
              </w:rPr>
            </w:pPr>
            <w:r>
              <w:rPr>
                <w:rFonts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28D822C2">
            <w:pPr>
              <w:spacing w:line="300" w:lineRule="exact"/>
              <w:rPr>
                <w:rFonts w:ascii="宋体" w:hAnsi="宋体" w:cs="宋体"/>
                <w:b/>
                <w:color w:val="auto"/>
                <w:kern w:val="1"/>
                <w:szCs w:val="21"/>
                <w:highlight w:val="none"/>
              </w:rPr>
            </w:pPr>
          </w:p>
        </w:tc>
      </w:tr>
      <w:tr w14:paraId="084FA64B">
        <w:tblPrEx>
          <w:tblCellMar>
            <w:top w:w="0" w:type="dxa"/>
            <w:left w:w="108" w:type="dxa"/>
            <w:bottom w:w="0" w:type="dxa"/>
            <w:right w:w="108" w:type="dxa"/>
          </w:tblCellMar>
        </w:tblPrEx>
        <w:trPr>
          <w:trHeight w:val="696"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051DE6B2">
            <w:pPr>
              <w:spacing w:line="300" w:lineRule="exact"/>
              <w:jc w:val="center"/>
              <w:rPr>
                <w:rFonts w:ascii="宋体" w:hAnsi="宋体" w:cs="宋体"/>
                <w:b/>
                <w:color w:val="auto"/>
                <w:kern w:val="1"/>
                <w:szCs w:val="21"/>
                <w:highlight w:val="none"/>
                <w:lang w:val="zh-CN"/>
              </w:rPr>
            </w:pPr>
            <w:r>
              <w:rPr>
                <w:rFonts w:ascii="宋体" w:hAnsi="宋体" w:cs="宋体"/>
                <w:b/>
                <w:color w:val="auto"/>
                <w:kern w:val="1"/>
                <w:szCs w:val="21"/>
                <w:highlight w:val="none"/>
                <w:lang w:val="zh-CN"/>
              </w:rPr>
              <w:t>投  标  单  位</w:t>
            </w:r>
          </w:p>
          <w:p w14:paraId="3D0F13D3">
            <w:pPr>
              <w:spacing w:line="300" w:lineRule="exact"/>
              <w:jc w:val="center"/>
              <w:rPr>
                <w:rFonts w:ascii="宋体" w:hAnsi="宋体" w:cs="宋体"/>
                <w:b/>
                <w:color w:val="auto"/>
                <w:kern w:val="1"/>
                <w:szCs w:val="21"/>
                <w:highlight w:val="none"/>
                <w:lang w:val="zh-CN"/>
              </w:rPr>
            </w:pPr>
            <w:r>
              <w:rPr>
                <w:rFonts w:ascii="宋体" w:hAnsi="宋体" w:cs="宋体"/>
                <w:b/>
                <w:color w:val="auto"/>
                <w:kern w:val="1"/>
                <w:szCs w:val="21"/>
                <w:highlight w:val="none"/>
                <w:lang w:val="zh-CN"/>
              </w:rPr>
              <w:t>（盖章）</w:t>
            </w:r>
          </w:p>
        </w:tc>
        <w:tc>
          <w:tcPr>
            <w:tcW w:w="6950" w:type="dxa"/>
            <w:tcBorders>
              <w:top w:val="single" w:color="000000" w:sz="4" w:space="0"/>
              <w:left w:val="single" w:color="000000" w:sz="4" w:space="0"/>
              <w:bottom w:val="single" w:color="000000" w:sz="4" w:space="0"/>
              <w:right w:val="single" w:color="000000" w:sz="4" w:space="0"/>
            </w:tcBorders>
          </w:tcPr>
          <w:p w14:paraId="0A1BD710">
            <w:pPr>
              <w:spacing w:line="300" w:lineRule="exact"/>
              <w:rPr>
                <w:rFonts w:ascii="宋体" w:hAnsi="宋体" w:cs="宋体"/>
                <w:b/>
                <w:color w:val="auto"/>
                <w:kern w:val="1"/>
                <w:szCs w:val="21"/>
                <w:highlight w:val="none"/>
              </w:rPr>
            </w:pPr>
          </w:p>
        </w:tc>
      </w:tr>
    </w:tbl>
    <w:p w14:paraId="072AA570">
      <w:pPr>
        <w:pStyle w:val="11"/>
        <w:spacing w:line="360" w:lineRule="auto"/>
        <w:rPr>
          <w:rFonts w:cs="宋体"/>
          <w:b/>
          <w:color w:val="auto"/>
          <w:sz w:val="21"/>
          <w:szCs w:val="21"/>
          <w:highlight w:val="none"/>
        </w:rPr>
      </w:pPr>
      <w:r>
        <w:rPr>
          <w:rFonts w:hint="eastAsia" w:cs="宋体"/>
          <w:b/>
          <w:color w:val="auto"/>
          <w:sz w:val="21"/>
          <w:szCs w:val="21"/>
          <w:highlight w:val="none"/>
        </w:rPr>
        <w:t>注：</w:t>
      </w:r>
    </w:p>
    <w:p w14:paraId="1A36B850">
      <w:pPr>
        <w:pStyle w:val="11"/>
        <w:spacing w:line="360" w:lineRule="auto"/>
        <w:rPr>
          <w:rFonts w:cs="宋体"/>
          <w:b/>
          <w:color w:val="auto"/>
          <w:sz w:val="21"/>
          <w:szCs w:val="21"/>
          <w:highlight w:val="none"/>
        </w:rPr>
      </w:pPr>
      <w:r>
        <w:rPr>
          <w:rFonts w:hint="eastAsia" w:cs="宋体"/>
          <w:b/>
          <w:color w:val="auto"/>
          <w:sz w:val="21"/>
          <w:szCs w:val="21"/>
          <w:highlight w:val="none"/>
        </w:rPr>
        <w:t>（1）联合体投标的，“投标单位”一栏需书写所有联合体成员的单位全称，可由牵头单位签署、盖章。</w:t>
      </w:r>
    </w:p>
    <w:p w14:paraId="07D84BA2">
      <w:pPr>
        <w:pStyle w:val="11"/>
        <w:spacing w:line="360" w:lineRule="auto"/>
        <w:rPr>
          <w:rFonts w:cs="宋体"/>
          <w:b/>
          <w:color w:val="auto"/>
          <w:sz w:val="21"/>
          <w:szCs w:val="21"/>
          <w:highlight w:val="none"/>
        </w:rPr>
      </w:pPr>
      <w:r>
        <w:rPr>
          <w:rFonts w:hint="eastAsia" w:cs="宋体"/>
          <w:b/>
          <w:color w:val="auto"/>
          <w:sz w:val="21"/>
          <w:szCs w:val="21"/>
          <w:highlight w:val="none"/>
        </w:rPr>
        <w:t>（2）投标报价的大写金额和小写金额不一致的，以大写金额为准。</w:t>
      </w:r>
    </w:p>
    <w:p w14:paraId="2897212E">
      <w:pPr>
        <w:pStyle w:val="11"/>
        <w:spacing w:line="360" w:lineRule="auto"/>
        <w:rPr>
          <w:rFonts w:cs="宋体"/>
          <w:b/>
          <w:color w:val="auto"/>
          <w:sz w:val="21"/>
          <w:szCs w:val="21"/>
          <w:highlight w:val="none"/>
        </w:rPr>
      </w:pPr>
      <w:r>
        <w:rPr>
          <w:rFonts w:hint="eastAsia" w:cs="宋体"/>
          <w:b/>
          <w:color w:val="auto"/>
          <w:sz w:val="21"/>
          <w:szCs w:val="21"/>
          <w:highlight w:val="none"/>
        </w:rPr>
        <w:t>（3）投标报价为完成本次招标内容及《勘察设计和</w:t>
      </w:r>
      <w:r>
        <w:rPr>
          <w:rFonts w:hint="eastAsia" w:cs="宋体"/>
          <w:b/>
          <w:color w:val="auto"/>
          <w:sz w:val="21"/>
          <w:szCs w:val="21"/>
          <w:highlight w:val="none"/>
          <w:lang w:val="en-US"/>
        </w:rPr>
        <w:t>运营</w:t>
      </w:r>
      <w:r>
        <w:rPr>
          <w:rFonts w:hint="eastAsia" w:cs="宋体"/>
          <w:b/>
          <w:color w:val="auto"/>
          <w:sz w:val="21"/>
          <w:szCs w:val="21"/>
          <w:highlight w:val="none"/>
        </w:rPr>
        <w:t>任务书》内的全部内容的费用。</w:t>
      </w:r>
    </w:p>
    <w:p w14:paraId="7CE019C5">
      <w:pPr>
        <w:pStyle w:val="11"/>
        <w:spacing w:line="360" w:lineRule="auto"/>
        <w:rPr>
          <w:rFonts w:cs="宋体"/>
          <w:b/>
          <w:color w:val="auto"/>
          <w:sz w:val="21"/>
          <w:szCs w:val="21"/>
          <w:highlight w:val="none"/>
        </w:rPr>
      </w:pPr>
      <w:r>
        <w:rPr>
          <w:rFonts w:hint="eastAsia" w:cs="宋体"/>
          <w:b/>
          <w:color w:val="auto"/>
          <w:sz w:val="21"/>
          <w:szCs w:val="21"/>
          <w:highlight w:val="none"/>
        </w:rPr>
        <w:t>（4）投标人须按招标文件要求报价，且不超过总投标报价最高投标限价、总勘察费最高投标限价、总设计费最高投标限价、总建安工程费最高投标限价，否则视为无效标。</w:t>
      </w:r>
    </w:p>
    <w:p w14:paraId="5A3253CB">
      <w:pPr>
        <w:rPr>
          <w:rFonts w:ascii="宋体" w:hAnsi="宋体" w:cs="宋体"/>
          <w:color w:val="auto"/>
          <w:spacing w:val="18"/>
          <w:kern w:val="1"/>
          <w:szCs w:val="21"/>
          <w:highlight w:val="none"/>
          <w:lang w:val="zh-CN"/>
        </w:rPr>
        <w:sectPr>
          <w:pgSz w:w="11906" w:h="16838"/>
          <w:pgMar w:top="1417" w:right="1134" w:bottom="1417" w:left="1134" w:header="851" w:footer="992" w:gutter="0"/>
          <w:cols w:space="720" w:num="1"/>
          <w:docGrid w:type="lines" w:linePitch="321" w:charSpace="0"/>
        </w:sectPr>
      </w:pPr>
      <w:r>
        <w:rPr>
          <w:rFonts w:hint="eastAsia" w:ascii="宋体" w:hAnsi="宋体" w:cs="宋体"/>
          <w:b/>
          <w:color w:val="auto"/>
          <w:szCs w:val="21"/>
          <w:highlight w:val="none"/>
        </w:rPr>
        <w:t>（5）</w:t>
      </w:r>
      <w:r>
        <w:rPr>
          <w:rFonts w:hint="eastAsia" w:cs="宋体"/>
          <w:b/>
          <w:color w:val="auto"/>
          <w:szCs w:val="21"/>
          <w:highlight w:val="none"/>
        </w:rPr>
        <w:t>本表中的报价以元为单位，小数点后保留两位小数，第三位小数四舍五入。</w:t>
      </w:r>
    </w:p>
    <w:p w14:paraId="4599FEAC">
      <w:pPr>
        <w:widowControl/>
        <w:jc w:val="left"/>
        <w:rPr>
          <w:rFonts w:cs="宋体"/>
          <w:b/>
          <w:color w:val="auto"/>
          <w:kern w:val="1"/>
          <w:sz w:val="24"/>
          <w:highlight w:val="none"/>
        </w:rPr>
      </w:pPr>
      <w:r>
        <w:rPr>
          <w:rFonts w:hint="eastAsia" w:cs="宋体"/>
          <w:b/>
          <w:color w:val="auto"/>
          <w:kern w:val="1"/>
          <w:sz w:val="24"/>
          <w:highlight w:val="none"/>
        </w:rPr>
        <w:t>格式13：</w:t>
      </w:r>
    </w:p>
    <w:p w14:paraId="4272F5D0">
      <w:pPr>
        <w:pStyle w:val="18"/>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参与编制工程总承包实施及运营管理方案经济投标文件人员名单</w:t>
      </w:r>
    </w:p>
    <w:tbl>
      <w:tblPr>
        <w:tblStyle w:val="20"/>
        <w:tblW w:w="9453" w:type="dxa"/>
        <w:tblInd w:w="0" w:type="dxa"/>
        <w:tblLayout w:type="fixed"/>
        <w:tblCellMar>
          <w:top w:w="0" w:type="dxa"/>
          <w:left w:w="108" w:type="dxa"/>
          <w:bottom w:w="0" w:type="dxa"/>
          <w:right w:w="108" w:type="dxa"/>
        </w:tblCellMar>
      </w:tblPr>
      <w:tblGrid>
        <w:gridCol w:w="1182"/>
        <w:gridCol w:w="1375"/>
        <w:gridCol w:w="3221"/>
        <w:gridCol w:w="3675"/>
      </w:tblGrid>
      <w:tr w14:paraId="4B18DEE0">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14:paraId="4C710B0C">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14:paraId="7D2B6F2D">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14:paraId="42735AD4">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14:paraId="30B3290E">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18039DAC">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6B6A41EB">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1BCE13DC">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309DB18">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0F6C2ECB">
            <w:pPr>
              <w:tabs>
                <w:tab w:val="left" w:pos="0"/>
                <w:tab w:val="left" w:pos="720"/>
              </w:tabs>
              <w:spacing w:line="360" w:lineRule="auto"/>
              <w:jc w:val="center"/>
              <w:rPr>
                <w:rFonts w:ascii="宋体" w:hAnsi="宋体" w:cs="宋体"/>
                <w:color w:val="auto"/>
                <w:kern w:val="1"/>
                <w:szCs w:val="21"/>
                <w:highlight w:val="none"/>
              </w:rPr>
            </w:pPr>
          </w:p>
        </w:tc>
      </w:tr>
      <w:tr w14:paraId="35C21FCC">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4A25B607">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383E0ADC">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0C12C042">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ED5ED5A">
            <w:pPr>
              <w:tabs>
                <w:tab w:val="left" w:pos="0"/>
                <w:tab w:val="left" w:pos="720"/>
              </w:tabs>
              <w:spacing w:line="360" w:lineRule="auto"/>
              <w:jc w:val="center"/>
              <w:rPr>
                <w:rFonts w:ascii="宋体" w:hAnsi="宋体" w:cs="宋体"/>
                <w:color w:val="auto"/>
                <w:kern w:val="1"/>
                <w:szCs w:val="21"/>
                <w:highlight w:val="none"/>
              </w:rPr>
            </w:pPr>
          </w:p>
        </w:tc>
      </w:tr>
      <w:tr w14:paraId="4C47DD9A">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05AD70D4">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6CB77556">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4FE057FF">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48777C9F">
            <w:pPr>
              <w:tabs>
                <w:tab w:val="left" w:pos="0"/>
                <w:tab w:val="left" w:pos="720"/>
              </w:tabs>
              <w:spacing w:line="360" w:lineRule="auto"/>
              <w:jc w:val="center"/>
              <w:rPr>
                <w:rFonts w:ascii="宋体" w:hAnsi="宋体" w:cs="宋体"/>
                <w:color w:val="auto"/>
                <w:kern w:val="1"/>
                <w:szCs w:val="21"/>
                <w:highlight w:val="none"/>
              </w:rPr>
            </w:pPr>
          </w:p>
        </w:tc>
      </w:tr>
      <w:tr w14:paraId="5F4028C8">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6BA700DC">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16594B39">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4773EF61">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0B1BC20B">
            <w:pPr>
              <w:tabs>
                <w:tab w:val="left" w:pos="0"/>
                <w:tab w:val="left" w:pos="720"/>
              </w:tabs>
              <w:spacing w:line="360" w:lineRule="auto"/>
              <w:jc w:val="center"/>
              <w:rPr>
                <w:rFonts w:ascii="宋体" w:hAnsi="宋体" w:cs="宋体"/>
                <w:color w:val="auto"/>
                <w:kern w:val="1"/>
                <w:szCs w:val="21"/>
                <w:highlight w:val="none"/>
              </w:rPr>
            </w:pPr>
          </w:p>
        </w:tc>
      </w:tr>
      <w:tr w14:paraId="089E6980">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1FD61AC6">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5A87FC25">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5175A286">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E0E3FCB">
            <w:pPr>
              <w:tabs>
                <w:tab w:val="left" w:pos="0"/>
                <w:tab w:val="left" w:pos="720"/>
              </w:tabs>
              <w:spacing w:line="360" w:lineRule="auto"/>
              <w:jc w:val="center"/>
              <w:rPr>
                <w:rFonts w:ascii="宋体" w:hAnsi="宋体" w:cs="宋体"/>
                <w:color w:val="auto"/>
                <w:kern w:val="1"/>
                <w:szCs w:val="21"/>
                <w:highlight w:val="none"/>
              </w:rPr>
            </w:pPr>
          </w:p>
        </w:tc>
      </w:tr>
      <w:tr w14:paraId="4A0E2E83">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044BE6E7">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3516928B">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48B2037A">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0889E4A5">
            <w:pPr>
              <w:tabs>
                <w:tab w:val="left" w:pos="0"/>
                <w:tab w:val="left" w:pos="720"/>
              </w:tabs>
              <w:spacing w:line="360" w:lineRule="auto"/>
              <w:jc w:val="center"/>
              <w:rPr>
                <w:rFonts w:ascii="宋体" w:hAnsi="宋体" w:cs="宋体"/>
                <w:color w:val="auto"/>
                <w:kern w:val="1"/>
                <w:szCs w:val="21"/>
                <w:highlight w:val="none"/>
              </w:rPr>
            </w:pPr>
          </w:p>
        </w:tc>
      </w:tr>
      <w:tr w14:paraId="5B3FB560">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6DDC874B">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B275559">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338564D2">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3FB3E36">
            <w:pPr>
              <w:tabs>
                <w:tab w:val="left" w:pos="0"/>
                <w:tab w:val="left" w:pos="720"/>
              </w:tabs>
              <w:spacing w:line="360" w:lineRule="auto"/>
              <w:jc w:val="center"/>
              <w:rPr>
                <w:rFonts w:ascii="宋体" w:hAnsi="宋体" w:cs="宋体"/>
                <w:color w:val="auto"/>
                <w:kern w:val="1"/>
                <w:szCs w:val="21"/>
                <w:highlight w:val="none"/>
              </w:rPr>
            </w:pPr>
          </w:p>
        </w:tc>
      </w:tr>
      <w:tr w14:paraId="79DFE343">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14:paraId="543E6497">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4" w:space="0"/>
              <w:right w:val="single" w:color="000000" w:sz="6" w:space="0"/>
            </w:tcBorders>
            <w:vAlign w:val="center"/>
          </w:tcPr>
          <w:p w14:paraId="11174151">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4" w:space="0"/>
              <w:right w:val="single" w:color="000000" w:sz="6" w:space="0"/>
            </w:tcBorders>
            <w:vAlign w:val="center"/>
          </w:tcPr>
          <w:p w14:paraId="15354984">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4" w:space="0"/>
              <w:right w:val="single" w:color="000000" w:sz="4" w:space="0"/>
            </w:tcBorders>
            <w:vAlign w:val="center"/>
          </w:tcPr>
          <w:p w14:paraId="1BA57418">
            <w:pPr>
              <w:tabs>
                <w:tab w:val="left" w:pos="0"/>
                <w:tab w:val="left" w:pos="720"/>
              </w:tabs>
              <w:spacing w:line="360" w:lineRule="auto"/>
              <w:jc w:val="center"/>
              <w:rPr>
                <w:rFonts w:ascii="宋体" w:hAnsi="宋体" w:cs="宋体"/>
                <w:color w:val="auto"/>
                <w:kern w:val="1"/>
                <w:szCs w:val="21"/>
                <w:highlight w:val="none"/>
              </w:rPr>
            </w:pPr>
          </w:p>
        </w:tc>
      </w:tr>
    </w:tbl>
    <w:p w14:paraId="57FC009F">
      <w:pPr>
        <w:tabs>
          <w:tab w:val="left" w:pos="720"/>
        </w:tabs>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注：参与编制</w:t>
      </w:r>
      <w:r>
        <w:rPr>
          <w:rFonts w:hint="eastAsia" w:ascii="宋体" w:hAnsi="宋体" w:cs="宋体"/>
          <w:color w:val="auto"/>
          <w:kern w:val="1"/>
          <w:sz w:val="18"/>
          <w:szCs w:val="18"/>
          <w:highlight w:val="none"/>
          <w:lang w:val="en-US" w:eastAsia="zh-CN"/>
        </w:rPr>
        <w:t>投标文件</w:t>
      </w:r>
      <w:r>
        <w:rPr>
          <w:rFonts w:hint="eastAsia" w:ascii="宋体" w:hAnsi="宋体" w:cs="宋体"/>
          <w:color w:val="auto"/>
          <w:kern w:val="1"/>
          <w:sz w:val="18"/>
          <w:szCs w:val="18"/>
          <w:highlight w:val="none"/>
        </w:rPr>
        <w:t>所有人员名单应包括编制投标报价、负责清样校对、负责打印及复印等所有人员在内的人员名单。</w:t>
      </w:r>
    </w:p>
    <w:p w14:paraId="51ECCFB4">
      <w:pPr>
        <w:spacing w:line="360" w:lineRule="auto"/>
        <w:jc w:val="center"/>
        <w:rPr>
          <w:rFonts w:ascii="宋体" w:hAnsi="宋体" w:cs="宋体"/>
          <w:color w:val="auto"/>
          <w:sz w:val="56"/>
          <w:szCs w:val="56"/>
          <w:highlight w:val="none"/>
          <w:lang w:val="zh-CN"/>
        </w:rPr>
      </w:pPr>
    </w:p>
    <w:p w14:paraId="2B0BC35F">
      <w:pPr>
        <w:widowControl/>
        <w:jc w:val="left"/>
        <w:rPr>
          <w:rFonts w:cs="宋体"/>
          <w:b/>
          <w:color w:val="auto"/>
          <w:kern w:val="1"/>
          <w:sz w:val="24"/>
          <w:highlight w:val="none"/>
        </w:rPr>
      </w:pPr>
      <w:r>
        <w:rPr>
          <w:color w:val="auto"/>
          <w:highlight w:val="none"/>
        </w:rPr>
        <w:br w:type="page"/>
      </w:r>
      <w:r>
        <w:rPr>
          <w:rFonts w:hint="eastAsia" w:cs="宋体"/>
          <w:b/>
          <w:color w:val="auto"/>
          <w:kern w:val="1"/>
          <w:sz w:val="24"/>
          <w:highlight w:val="none"/>
        </w:rPr>
        <w:t>格式14：</w:t>
      </w:r>
    </w:p>
    <w:p w14:paraId="6BB07B3E">
      <w:pPr>
        <w:pStyle w:val="18"/>
        <w:spacing w:line="360" w:lineRule="auto"/>
        <w:ind w:firstLine="0"/>
        <w:rPr>
          <w:b/>
          <w:color w:val="auto"/>
          <w:sz w:val="28"/>
          <w:szCs w:val="28"/>
          <w:highlight w:val="none"/>
        </w:rPr>
      </w:pPr>
    </w:p>
    <w:p w14:paraId="478DC76D">
      <w:pPr>
        <w:pStyle w:val="18"/>
        <w:spacing w:line="360" w:lineRule="auto"/>
        <w:ind w:firstLine="0"/>
        <w:jc w:val="center"/>
        <w:rPr>
          <w:b/>
          <w:color w:val="auto"/>
          <w:sz w:val="28"/>
          <w:szCs w:val="28"/>
          <w:highlight w:val="none"/>
        </w:rPr>
      </w:pPr>
      <w:r>
        <w:rPr>
          <w:rFonts w:hint="eastAsia"/>
          <w:b/>
          <w:color w:val="auto"/>
          <w:sz w:val="28"/>
          <w:szCs w:val="28"/>
          <w:highlight w:val="none"/>
        </w:rPr>
        <w:t>投标人认为须提供的其他资料</w:t>
      </w:r>
    </w:p>
    <w:p w14:paraId="15DF2DED">
      <w:pPr>
        <w:pStyle w:val="18"/>
        <w:spacing w:line="360" w:lineRule="auto"/>
        <w:ind w:firstLine="0"/>
        <w:jc w:val="center"/>
        <w:rPr>
          <w:color w:val="auto"/>
          <w:sz w:val="28"/>
          <w:szCs w:val="28"/>
          <w:highlight w:val="none"/>
        </w:rPr>
      </w:pPr>
      <w:r>
        <w:rPr>
          <w:rFonts w:hint="eastAsia"/>
          <w:b/>
          <w:color w:val="auto"/>
          <w:sz w:val="28"/>
          <w:szCs w:val="28"/>
          <w:highlight w:val="none"/>
        </w:rPr>
        <w:t>（格式自定）</w:t>
      </w:r>
    </w:p>
    <w:p w14:paraId="43F670D5">
      <w:pPr>
        <w:rPr>
          <w:color w:val="auto"/>
          <w:highlight w:val="none"/>
        </w:rPr>
      </w:pPr>
    </w:p>
    <w:p w14:paraId="038BB35F">
      <w:pPr>
        <w:rPr>
          <w:color w:val="auto"/>
          <w:highlight w:val="none"/>
        </w:rPr>
      </w:pPr>
      <w:r>
        <w:rPr>
          <w:color w:val="auto"/>
          <w:highlight w:val="none"/>
        </w:rPr>
        <w:br w:type="page"/>
      </w:r>
    </w:p>
    <w:p w14:paraId="23491947">
      <w:pPr>
        <w:rPr>
          <w:rFonts w:hint="eastAsia" w:cs="宋体"/>
          <w:b/>
          <w:color w:val="000000" w:themeColor="text1"/>
          <w:kern w:val="1"/>
          <w:sz w:val="24"/>
          <w14:textFill>
            <w14:solidFill>
              <w14:schemeClr w14:val="tx1"/>
            </w14:solidFill>
          </w14:textFill>
        </w:rPr>
      </w:pPr>
      <w:r>
        <w:rPr>
          <w:rFonts w:hint="eastAsia" w:cs="宋体"/>
          <w:b/>
          <w:color w:val="000000" w:themeColor="text1"/>
          <w:kern w:val="1"/>
          <w:sz w:val="24"/>
          <w14:textFill>
            <w14:solidFill>
              <w14:schemeClr w14:val="tx1"/>
            </w14:solidFill>
          </w14:textFill>
        </w:rPr>
        <w:t>格式1</w:t>
      </w:r>
      <w:r>
        <w:rPr>
          <w:rFonts w:hint="eastAsia" w:cs="宋体"/>
          <w:b/>
          <w:color w:val="000000" w:themeColor="text1"/>
          <w:kern w:val="1"/>
          <w:sz w:val="24"/>
          <w:lang w:val="en-US" w:eastAsia="zh-CN"/>
          <w14:textFill>
            <w14:solidFill>
              <w14:schemeClr w14:val="tx1"/>
            </w14:solidFill>
          </w14:textFill>
        </w:rPr>
        <w:t>5</w:t>
      </w:r>
      <w:r>
        <w:rPr>
          <w:rFonts w:hint="eastAsia" w:cs="宋体"/>
          <w:b/>
          <w:color w:val="000000" w:themeColor="text1"/>
          <w:kern w:val="1"/>
          <w:sz w:val="24"/>
          <w14:textFill>
            <w14:solidFill>
              <w14:schemeClr w14:val="tx1"/>
            </w14:solidFill>
          </w14:textFill>
        </w:rPr>
        <w:t>：</w:t>
      </w:r>
    </w:p>
    <w:p w14:paraId="52408BCD">
      <w:pPr>
        <w:bidi w:val="0"/>
        <w:jc w:val="center"/>
        <w:rPr>
          <w:rFonts w:hint="eastAsia"/>
          <w:b/>
          <w:bCs/>
          <w:sz w:val="32"/>
          <w:szCs w:val="32"/>
          <w:lang w:eastAsia="zh-CN"/>
        </w:rPr>
      </w:pPr>
      <w:r>
        <w:rPr>
          <w:rFonts w:hint="eastAsia"/>
          <w:b/>
          <w:bCs/>
          <w:sz w:val="32"/>
          <w:szCs w:val="32"/>
        </w:rPr>
        <w:t>中小企业声明函</w:t>
      </w:r>
      <w:r>
        <w:rPr>
          <w:rFonts w:hint="eastAsia"/>
          <w:b/>
          <w:bCs/>
          <w:sz w:val="32"/>
          <w:szCs w:val="32"/>
          <w:lang w:eastAsia="zh-CN"/>
        </w:rPr>
        <w:t>（</w:t>
      </w:r>
      <w:r>
        <w:rPr>
          <w:rFonts w:hint="eastAsia"/>
          <w:b/>
          <w:bCs/>
          <w:sz w:val="32"/>
          <w:szCs w:val="32"/>
          <w:lang w:val="en-US" w:eastAsia="zh-CN"/>
        </w:rPr>
        <w:t>如有</w:t>
      </w:r>
      <w:r>
        <w:rPr>
          <w:rFonts w:hint="eastAsia"/>
          <w:b/>
          <w:bCs/>
          <w:sz w:val="32"/>
          <w:szCs w:val="32"/>
          <w:lang w:eastAsia="zh-CN"/>
        </w:rPr>
        <w:t>）</w:t>
      </w:r>
    </w:p>
    <w:p w14:paraId="2989FF95">
      <w:pPr>
        <w:tabs>
          <w:tab w:val="left" w:pos="720"/>
        </w:tabs>
        <w:snapToGrid w:val="0"/>
        <w:spacing w:line="360" w:lineRule="auto"/>
        <w:ind w:firstLine="0" w:firstLineChars="0"/>
        <w:jc w:val="center"/>
        <w:rPr>
          <w:rFonts w:hint="eastAsia" w:ascii="宋体" w:hAnsi="宋体" w:eastAsia="宋体" w:cs="宋体"/>
          <w:b/>
          <w:color w:val="auto"/>
          <w:sz w:val="32"/>
          <w:szCs w:val="32"/>
          <w:highlight w:val="none"/>
        </w:rPr>
      </w:pPr>
    </w:p>
    <w:p w14:paraId="19C16F85">
      <w:pPr>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Fonts w:hint="default" w:ascii="宋体" w:hAnsi="宋体" w:cs="宋体"/>
          <w:color w:val="auto"/>
          <w:sz w:val="24"/>
          <w:szCs w:val="20"/>
          <w:highlight w:val="none"/>
          <w:u w:val="singl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p>
    <w:p w14:paraId="2D03781E">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cs="宋体"/>
          <w:color w:val="auto"/>
          <w:sz w:val="24"/>
          <w:szCs w:val="20"/>
          <w:highlight w:val="none"/>
        </w:rPr>
      </w:pPr>
      <w:r>
        <w:rPr>
          <w:rFonts w:hint="eastAsia" w:ascii="宋体" w:hAnsi="宋体" w:cs="宋体"/>
          <w:color w:val="auto"/>
          <w:sz w:val="24"/>
          <w:szCs w:val="20"/>
          <w:highlight w:val="none"/>
        </w:rPr>
        <w:t>本公司郑重声明，根据《政府采购促进中小企业发展管理办法》（财库﹝2020﹞46号）的规定，本公司参加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项目</w:t>
      </w:r>
      <w:r>
        <w:rPr>
          <w:rFonts w:hint="eastAsia" w:ascii="宋体" w:hAnsi="宋体" w:cs="宋体"/>
          <w:color w:val="auto"/>
          <w:sz w:val="24"/>
          <w:szCs w:val="20"/>
          <w:highlight w:val="none"/>
          <w:u w:val="single"/>
        </w:rPr>
        <w:t>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招标</w:t>
      </w:r>
      <w:r>
        <w:rPr>
          <w:rFonts w:hint="eastAsia" w:ascii="宋体" w:hAnsi="宋体" w:cs="宋体"/>
          <w:color w:val="auto"/>
          <w:sz w:val="24"/>
          <w:szCs w:val="20"/>
          <w:highlight w:val="none"/>
        </w:rPr>
        <w:t>活动，工程的施工单位全部为符合政策要求的中小企业。相关企业（含签订分包意向协议的中小企业）的具体情况如下：</w:t>
      </w:r>
    </w:p>
    <w:p w14:paraId="020E6209">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项目</w:t>
      </w:r>
      <w:r>
        <w:rPr>
          <w:rFonts w:hint="eastAsia" w:ascii="宋体" w:hAnsi="宋体" w:cs="宋体"/>
          <w:color w:val="auto"/>
          <w:sz w:val="24"/>
          <w:szCs w:val="20"/>
          <w:highlight w:val="none"/>
          <w:u w:val="single"/>
        </w:rPr>
        <w:t>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中型企业、</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；在本</w:t>
      </w:r>
      <w:r>
        <w:rPr>
          <w:rFonts w:hint="eastAsia" w:ascii="宋体" w:hAnsi="宋体" w:cs="宋体"/>
          <w:color w:val="auto"/>
          <w:sz w:val="24"/>
          <w:szCs w:val="20"/>
          <w:highlight w:val="none"/>
          <w:lang w:val="en-US" w:eastAsia="zh-CN"/>
        </w:rPr>
        <w:t>项目</w:t>
      </w:r>
      <w:r>
        <w:rPr>
          <w:rFonts w:hint="eastAsia" w:ascii="宋体" w:hAnsi="宋体" w:cs="宋体"/>
          <w:color w:val="auto"/>
          <w:sz w:val="24"/>
          <w:szCs w:val="20"/>
          <w:highlight w:val="none"/>
        </w:rPr>
        <w:t>中拟承担工作，在本</w:t>
      </w:r>
      <w:r>
        <w:rPr>
          <w:rFonts w:hint="eastAsia" w:ascii="宋体" w:hAnsi="宋体" w:cs="宋体"/>
          <w:color w:val="auto"/>
          <w:sz w:val="24"/>
          <w:szCs w:val="20"/>
          <w:highlight w:val="none"/>
          <w:lang w:val="en-US" w:eastAsia="zh-CN"/>
        </w:rPr>
        <w:t>项目</w:t>
      </w:r>
      <w:r>
        <w:rPr>
          <w:rFonts w:hint="eastAsia" w:ascii="宋体" w:hAnsi="宋体" w:cs="宋体"/>
          <w:color w:val="auto"/>
          <w:sz w:val="24"/>
          <w:szCs w:val="20"/>
          <w:highlight w:val="none"/>
        </w:rPr>
        <w:t>的</w:t>
      </w:r>
      <w:r>
        <w:rPr>
          <w:rFonts w:hint="eastAsia" w:ascii="宋体" w:hAnsi="宋体" w:cs="宋体"/>
          <w:color w:val="auto"/>
          <w:sz w:val="24"/>
          <w:szCs w:val="20"/>
          <w:highlight w:val="none"/>
          <w:lang w:eastAsia="zh-CN"/>
        </w:rPr>
        <w:t>施工</w:t>
      </w:r>
      <w:r>
        <w:rPr>
          <w:rFonts w:hint="eastAsia" w:ascii="宋体" w:hAnsi="宋体" w:cs="宋体"/>
          <w:color w:val="auto"/>
          <w:sz w:val="24"/>
          <w:szCs w:val="20"/>
          <w:highlight w:val="none"/>
        </w:rPr>
        <w:t>合同份额占</w:t>
      </w:r>
      <w:r>
        <w:rPr>
          <w:rFonts w:hint="eastAsia" w:ascii="宋体" w:hAnsi="宋体" w:cs="宋体"/>
          <w:color w:val="auto"/>
          <w:sz w:val="24"/>
          <w:szCs w:val="20"/>
          <w:highlight w:val="none"/>
          <w:lang w:eastAsia="zh-CN"/>
        </w:rPr>
        <w:t>本</w:t>
      </w:r>
      <w:r>
        <w:rPr>
          <w:rFonts w:hint="eastAsia" w:ascii="宋体" w:hAnsi="宋体" w:cs="宋体"/>
          <w:color w:val="auto"/>
          <w:sz w:val="24"/>
          <w:szCs w:val="20"/>
          <w:highlight w:val="none"/>
          <w:lang w:val="en-US" w:eastAsia="zh-CN"/>
        </w:rPr>
        <w:t>项目施工</w:t>
      </w:r>
      <w:r>
        <w:rPr>
          <w:rFonts w:hint="eastAsia" w:ascii="宋体" w:hAnsi="宋体" w:cs="宋体"/>
          <w:color w:val="auto"/>
          <w:sz w:val="24"/>
          <w:szCs w:val="20"/>
          <w:highlight w:val="none"/>
        </w:rPr>
        <w:t>合同总金额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p>
    <w:p w14:paraId="0010A1EB">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cs="宋体"/>
          <w:color w:val="auto"/>
          <w:sz w:val="24"/>
          <w:szCs w:val="20"/>
          <w:highlight w:val="none"/>
        </w:rPr>
      </w:pPr>
      <w:r>
        <w:rPr>
          <w:rFonts w:hint="eastAsia" w:ascii="宋体" w:hAnsi="宋体" w:cs="宋体"/>
          <w:color w:val="auto"/>
          <w:sz w:val="24"/>
          <w:szCs w:val="20"/>
          <w:highlight w:val="none"/>
        </w:rPr>
        <w:t>2.</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项目</w:t>
      </w:r>
      <w:r>
        <w:rPr>
          <w:rFonts w:hint="eastAsia" w:ascii="宋体" w:hAnsi="宋体" w:cs="宋体"/>
          <w:color w:val="auto"/>
          <w:sz w:val="24"/>
          <w:szCs w:val="20"/>
          <w:highlight w:val="none"/>
          <w:u w:val="single"/>
        </w:rPr>
        <w:t>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中型企业、</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；在本</w:t>
      </w:r>
      <w:r>
        <w:rPr>
          <w:rFonts w:hint="eastAsia" w:ascii="宋体" w:hAnsi="宋体" w:cs="宋体"/>
          <w:color w:val="auto"/>
          <w:sz w:val="24"/>
          <w:szCs w:val="20"/>
          <w:highlight w:val="none"/>
          <w:lang w:val="en-US" w:eastAsia="zh-CN"/>
        </w:rPr>
        <w:t>项目</w:t>
      </w:r>
      <w:r>
        <w:rPr>
          <w:rFonts w:hint="eastAsia" w:ascii="宋体" w:hAnsi="宋体" w:cs="宋体"/>
          <w:color w:val="auto"/>
          <w:sz w:val="24"/>
          <w:szCs w:val="20"/>
          <w:highlight w:val="none"/>
        </w:rPr>
        <w:t>中拟承担工作，在本</w:t>
      </w:r>
      <w:r>
        <w:rPr>
          <w:rFonts w:hint="eastAsia" w:ascii="宋体" w:hAnsi="宋体" w:cs="宋体"/>
          <w:color w:val="auto"/>
          <w:sz w:val="24"/>
          <w:szCs w:val="20"/>
          <w:highlight w:val="none"/>
          <w:lang w:val="en-US" w:eastAsia="zh-CN"/>
        </w:rPr>
        <w:t>项目</w:t>
      </w:r>
      <w:r>
        <w:rPr>
          <w:rFonts w:hint="eastAsia" w:ascii="宋体" w:hAnsi="宋体" w:cs="宋体"/>
          <w:color w:val="auto"/>
          <w:sz w:val="24"/>
          <w:szCs w:val="20"/>
          <w:highlight w:val="none"/>
        </w:rPr>
        <w:t>的</w:t>
      </w:r>
      <w:r>
        <w:rPr>
          <w:rFonts w:hint="eastAsia" w:ascii="宋体" w:hAnsi="宋体" w:cs="宋体"/>
          <w:color w:val="auto"/>
          <w:sz w:val="24"/>
          <w:szCs w:val="20"/>
          <w:highlight w:val="none"/>
          <w:lang w:eastAsia="zh-CN"/>
        </w:rPr>
        <w:t>施工</w:t>
      </w:r>
      <w:r>
        <w:rPr>
          <w:rFonts w:hint="eastAsia" w:ascii="宋体" w:hAnsi="宋体" w:cs="宋体"/>
          <w:color w:val="auto"/>
          <w:sz w:val="24"/>
          <w:szCs w:val="20"/>
          <w:highlight w:val="none"/>
        </w:rPr>
        <w:t>合同份额占</w:t>
      </w:r>
      <w:r>
        <w:rPr>
          <w:rFonts w:hint="eastAsia" w:ascii="宋体" w:hAnsi="宋体" w:cs="宋体"/>
          <w:color w:val="auto"/>
          <w:sz w:val="24"/>
          <w:szCs w:val="20"/>
          <w:highlight w:val="none"/>
          <w:lang w:eastAsia="zh-CN"/>
        </w:rPr>
        <w:t>本</w:t>
      </w:r>
      <w:r>
        <w:rPr>
          <w:rFonts w:hint="eastAsia" w:ascii="宋体" w:hAnsi="宋体" w:cs="宋体"/>
          <w:color w:val="auto"/>
          <w:sz w:val="24"/>
          <w:szCs w:val="20"/>
          <w:highlight w:val="none"/>
          <w:lang w:val="en-US" w:eastAsia="zh-CN"/>
        </w:rPr>
        <w:t>项目施工</w:t>
      </w:r>
      <w:r>
        <w:rPr>
          <w:rFonts w:hint="eastAsia" w:ascii="宋体" w:hAnsi="宋体" w:cs="宋体"/>
          <w:color w:val="auto"/>
          <w:sz w:val="24"/>
          <w:szCs w:val="20"/>
          <w:highlight w:val="none"/>
        </w:rPr>
        <w:t>合同总金额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p>
    <w:p w14:paraId="0B1D570F">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32E9F16C">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2EC090B9">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159C92CA">
      <w:pPr>
        <w:pStyle w:val="11"/>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4"/>
          <w:szCs w:val="20"/>
          <w:highlight w:val="none"/>
        </w:rPr>
      </w:pPr>
    </w:p>
    <w:p w14:paraId="10EA1377">
      <w:pPr>
        <w:keepNext w:val="0"/>
        <w:keepLines w:val="0"/>
        <w:pageBreakBefore w:val="0"/>
        <w:widowControl w:val="0"/>
        <w:kinsoku/>
        <w:wordWrap/>
        <w:overflowPunct/>
        <w:topLinePunct w:val="0"/>
        <w:autoSpaceDE/>
        <w:autoSpaceDN/>
        <w:bidi w:val="0"/>
        <w:adjustRightInd/>
        <w:snapToGrid/>
        <w:spacing w:line="312" w:lineRule="auto"/>
        <w:jc w:val="right"/>
        <w:textAlignment w:val="auto"/>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投标人</w:t>
      </w:r>
      <w:r>
        <w:rPr>
          <w:rFonts w:hint="eastAsia" w:ascii="宋体" w:hAnsi="宋体" w:cs="宋体"/>
          <w:color w:val="auto"/>
          <w:sz w:val="24"/>
          <w:szCs w:val="20"/>
          <w:highlight w:val="none"/>
        </w:rPr>
        <w:t>名称（盖章</w:t>
      </w:r>
      <w:r>
        <w:rPr>
          <w:rFonts w:hint="eastAsia" w:ascii="宋体" w:hAnsi="宋体" w:eastAsia="宋体" w:cs="宋体"/>
          <w:color w:val="auto"/>
          <w:sz w:val="24"/>
          <w:szCs w:val="20"/>
          <w:highlight w:val="none"/>
          <w:lang w:val="en-US" w:eastAsia="zh-CN"/>
        </w:rPr>
        <w:t>或电子印章</w:t>
      </w:r>
      <w:r>
        <w:rPr>
          <w:rFonts w:hint="eastAsia" w:ascii="宋体" w:hAnsi="宋体" w:cs="宋体"/>
          <w:color w:val="auto"/>
          <w:sz w:val="24"/>
          <w:szCs w:val="20"/>
          <w:highlight w:val="none"/>
        </w:rPr>
        <w:t>）：</w:t>
      </w:r>
    </w:p>
    <w:p w14:paraId="1A3C9E1C">
      <w:pPr>
        <w:keepNext w:val="0"/>
        <w:keepLines w:val="0"/>
        <w:pageBreakBefore w:val="0"/>
        <w:widowControl w:val="0"/>
        <w:kinsoku/>
        <w:wordWrap/>
        <w:overflowPunct/>
        <w:topLinePunct w:val="0"/>
        <w:autoSpaceDE/>
        <w:autoSpaceDN/>
        <w:bidi w:val="0"/>
        <w:adjustRightInd/>
        <w:snapToGrid/>
        <w:spacing w:line="312" w:lineRule="auto"/>
        <w:ind w:firstLine="0" w:firstLineChars="0"/>
        <w:jc w:val="right"/>
        <w:textAlignment w:val="auto"/>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rPr>
        <w:t xml:space="preserve">日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期：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年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日</w:t>
      </w:r>
      <w:r>
        <w:rPr>
          <w:rFonts w:hint="eastAsia" w:ascii="宋体" w:hAnsi="宋体" w:cs="宋体"/>
          <w:color w:val="auto"/>
          <w:sz w:val="24"/>
          <w:szCs w:val="20"/>
          <w:highlight w:val="none"/>
          <w:lang w:val="en-US" w:eastAsia="zh-CN"/>
        </w:rPr>
        <w:t xml:space="preserve"> </w:t>
      </w:r>
    </w:p>
    <w:p w14:paraId="26DB9379">
      <w:pPr>
        <w:pStyle w:val="11"/>
        <w:rPr>
          <w:rFonts w:hint="eastAsia" w:ascii="宋体" w:hAnsi="宋体" w:cs="宋体"/>
          <w:color w:val="auto"/>
          <w:sz w:val="24"/>
          <w:szCs w:val="20"/>
          <w:highlight w:val="none"/>
        </w:rPr>
      </w:pPr>
    </w:p>
    <w:p w14:paraId="7005FCB6">
      <w:pPr>
        <w:snapToGrid/>
        <w:spacing w:line="360" w:lineRule="auto"/>
        <w:ind w:firstLine="422" w:firstLineChars="200"/>
        <w:jc w:val="both"/>
        <w:rPr>
          <w:rFonts w:hint="eastAsia" w:ascii="宋体" w:hAnsi="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注：1、</w:t>
      </w:r>
      <w:r>
        <w:rPr>
          <w:rFonts w:hint="eastAsia" w:ascii="宋体" w:hAnsi="宋体" w:cs="宋体"/>
          <w:b/>
          <w:bCs/>
          <w:color w:val="auto"/>
          <w:sz w:val="21"/>
          <w:szCs w:val="21"/>
          <w:highlight w:val="none"/>
        </w:rPr>
        <w:t>从业人员、营业收入、资产总额填报上一年度数据，无上一年度数据的新成立企业可不填报。</w:t>
      </w:r>
    </w:p>
    <w:p w14:paraId="33531E85">
      <w:pPr>
        <w:pStyle w:val="11"/>
        <w:spacing w:line="360" w:lineRule="auto"/>
        <w:ind w:firstLine="843" w:firstLineChars="400"/>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lang w:val="en-US" w:eastAsia="zh-CN"/>
        </w:rPr>
        <w:t>2、《中小企业声明函》（如有）</w:t>
      </w:r>
      <w:r>
        <w:rPr>
          <w:rFonts w:hint="eastAsia" w:ascii="宋体" w:hAnsi="宋体" w:eastAsia="宋体" w:cs="宋体"/>
          <w:b/>
          <w:bCs/>
          <w:color w:val="auto"/>
          <w:sz w:val="21"/>
          <w:szCs w:val="21"/>
          <w:highlight w:val="none"/>
          <w:u w:val="single"/>
        </w:rPr>
        <w:t>适用于小</w:t>
      </w:r>
      <w:r>
        <w:rPr>
          <w:rFonts w:hint="eastAsia" w:ascii="宋体" w:hAnsi="宋体" w:eastAsia="宋体" w:cs="宋体"/>
          <w:b/>
          <w:bCs/>
          <w:color w:val="auto"/>
          <w:sz w:val="21"/>
          <w:szCs w:val="21"/>
          <w:highlight w:val="none"/>
          <w:u w:val="single"/>
          <w:lang w:val="en-US" w:eastAsia="zh-CN"/>
        </w:rPr>
        <w:t>微</w:t>
      </w:r>
      <w:r>
        <w:rPr>
          <w:rFonts w:hint="eastAsia" w:ascii="宋体" w:hAnsi="宋体" w:eastAsia="宋体" w:cs="宋体"/>
          <w:b/>
          <w:bCs/>
          <w:color w:val="auto"/>
          <w:sz w:val="21"/>
          <w:szCs w:val="21"/>
          <w:highlight w:val="none"/>
          <w:u w:val="single"/>
        </w:rPr>
        <w:t>企业参加招投标活动的</w:t>
      </w:r>
      <w:r>
        <w:rPr>
          <w:rFonts w:hint="eastAsia" w:ascii="宋体" w:hAnsi="宋体" w:eastAsia="宋体" w:cs="宋体"/>
          <w:b/>
          <w:bCs/>
          <w:color w:val="auto"/>
          <w:sz w:val="21"/>
          <w:szCs w:val="21"/>
          <w:highlight w:val="none"/>
          <w:u w:val="single"/>
          <w:lang w:eastAsia="zh-CN"/>
        </w:rPr>
        <w:t>。投标人应当自行核实是否属于小微企业，并认真填写，若有虚假将追究其责任。</w:t>
      </w:r>
    </w:p>
    <w:p w14:paraId="6280A716">
      <w:pPr>
        <w:pStyle w:val="11"/>
        <w:spacing w:line="360" w:lineRule="auto"/>
        <w:ind w:firstLine="843" w:firstLineChars="400"/>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lang w:eastAsia="zh-CN"/>
        </w:rPr>
        <w:t>需按照本</w:t>
      </w:r>
      <w:r>
        <w:rPr>
          <w:rFonts w:hint="eastAsia" w:hAnsi="宋体" w:cs="宋体"/>
          <w:b/>
          <w:bCs/>
          <w:color w:val="auto"/>
          <w:sz w:val="21"/>
          <w:szCs w:val="21"/>
          <w:highlight w:val="none"/>
          <w:u w:val="single"/>
          <w:lang w:val="en-US" w:eastAsia="zh-CN"/>
        </w:rPr>
        <w:t>项目</w:t>
      </w:r>
      <w:r>
        <w:rPr>
          <w:rFonts w:hint="eastAsia" w:ascii="宋体" w:hAnsi="宋体" w:eastAsia="宋体" w:cs="宋体"/>
          <w:b/>
          <w:bCs/>
          <w:color w:val="auto"/>
          <w:sz w:val="21"/>
          <w:szCs w:val="21"/>
          <w:highlight w:val="none"/>
          <w:u w:val="single"/>
          <w:lang w:eastAsia="zh-CN"/>
        </w:rPr>
        <w:t>对应行业出具</w:t>
      </w:r>
      <w:r>
        <w:rPr>
          <w:rFonts w:hint="eastAsia" w:ascii="宋体" w:hAnsi="宋体" w:eastAsia="宋体" w:cs="宋体"/>
          <w:b/>
          <w:bCs/>
          <w:color w:val="auto"/>
          <w:sz w:val="21"/>
          <w:szCs w:val="21"/>
          <w:highlight w:val="none"/>
          <w:u w:val="single"/>
          <w:lang w:val="en-US" w:eastAsia="zh-CN"/>
        </w:rPr>
        <w:t>《中小企业声明函》</w:t>
      </w:r>
      <w:r>
        <w:rPr>
          <w:rFonts w:hint="eastAsia" w:ascii="宋体" w:hAnsi="宋体" w:eastAsia="宋体" w:cs="宋体"/>
          <w:b/>
          <w:bCs/>
          <w:color w:val="auto"/>
          <w:sz w:val="21"/>
          <w:szCs w:val="21"/>
          <w:highlight w:val="none"/>
          <w:u w:val="single"/>
          <w:lang w:eastAsia="zh-CN"/>
        </w:rPr>
        <w:t>，而非按照供应商的经营范围出具。</w:t>
      </w:r>
    </w:p>
    <w:p w14:paraId="56C15E6C">
      <w:pPr>
        <w:rPr>
          <w:rFonts w:hint="eastAsia" w:ascii="宋体" w:hAnsi="宋体" w:eastAsia="宋体" w:cs="宋体"/>
          <w:b/>
          <w:bCs/>
          <w:color w:val="auto"/>
          <w:kern w:val="0"/>
          <w:sz w:val="21"/>
          <w:szCs w:val="21"/>
          <w:highlight w:val="none"/>
          <w:u w:val="none"/>
          <w:lang w:val="en-US" w:eastAsia="zh-CN" w:bidi="ar-SA"/>
        </w:rPr>
      </w:pPr>
      <w:r>
        <w:rPr>
          <w:rFonts w:hint="eastAsia" w:ascii="宋体" w:hAnsi="宋体" w:eastAsia="宋体" w:cs="宋体"/>
          <w:b/>
          <w:bCs/>
          <w:color w:val="auto"/>
          <w:kern w:val="0"/>
          <w:sz w:val="21"/>
          <w:szCs w:val="21"/>
          <w:highlight w:val="none"/>
          <w:u w:val="none"/>
          <w:lang w:val="en-US" w:eastAsia="zh-CN" w:bidi="ar-SA"/>
        </w:rPr>
        <w:t>（此格式不作为废标条款）</w:t>
      </w:r>
    </w:p>
    <w:p w14:paraId="78E45811">
      <w:pPr>
        <w:rPr>
          <w:rFonts w:hint="eastAsia" w:cs="宋体"/>
          <w:b/>
          <w:color w:val="000000" w:themeColor="text1"/>
          <w:kern w:val="1"/>
          <w:sz w:val="24"/>
          <w14:textFill>
            <w14:solidFill>
              <w14:schemeClr w14:val="tx1"/>
            </w14:solidFill>
          </w14:textFill>
        </w:rPr>
      </w:pPr>
      <w:r>
        <w:rPr>
          <w:rFonts w:hint="eastAsia" w:ascii="宋体" w:hAnsi="宋体" w:eastAsia="宋体" w:cs="宋体"/>
          <w:color w:val="auto"/>
          <w:sz w:val="32"/>
          <w:szCs w:val="32"/>
          <w:highlight w:val="none"/>
          <w:lang w:val="en-US" w:eastAsia="zh-CN"/>
        </w:rPr>
        <w:br w:type="page"/>
      </w:r>
      <w:r>
        <w:rPr>
          <w:rFonts w:hint="eastAsia" w:cs="宋体"/>
          <w:b/>
          <w:color w:val="000000" w:themeColor="text1"/>
          <w:kern w:val="1"/>
          <w:sz w:val="24"/>
          <w14:textFill>
            <w14:solidFill>
              <w14:schemeClr w14:val="tx1"/>
            </w14:solidFill>
          </w14:textFill>
        </w:rPr>
        <w:t>格式1</w:t>
      </w:r>
      <w:r>
        <w:rPr>
          <w:rFonts w:hint="eastAsia" w:cs="宋体"/>
          <w:b/>
          <w:color w:val="000000" w:themeColor="text1"/>
          <w:kern w:val="1"/>
          <w:sz w:val="24"/>
          <w:lang w:val="en-US" w:eastAsia="zh-CN"/>
          <w14:textFill>
            <w14:solidFill>
              <w14:schemeClr w14:val="tx1"/>
            </w14:solidFill>
          </w14:textFill>
        </w:rPr>
        <w:t>6</w:t>
      </w:r>
      <w:r>
        <w:rPr>
          <w:rFonts w:hint="eastAsia" w:cs="宋体"/>
          <w:b/>
          <w:color w:val="000000" w:themeColor="text1"/>
          <w:kern w:val="1"/>
          <w:sz w:val="24"/>
          <w14:textFill>
            <w14:solidFill>
              <w14:schemeClr w14:val="tx1"/>
            </w14:solidFill>
          </w14:textFill>
        </w:rPr>
        <w:t>：</w:t>
      </w:r>
    </w:p>
    <w:p w14:paraId="2ABB1557">
      <w:pPr>
        <w:autoSpaceDE w:val="0"/>
        <w:autoSpaceDN w:val="0"/>
        <w:adjustRightInd w:val="0"/>
        <w:spacing w:after="0"/>
        <w:ind w:left="0" w:leftChars="0" w:firstLineChars="0"/>
        <w:jc w:val="left"/>
        <w:rPr>
          <w:rFonts w:hint="eastAsia" w:ascii="宋体" w:hAnsi="宋体" w:eastAsia="宋体" w:cs="宋体"/>
          <w:color w:val="auto"/>
          <w:sz w:val="32"/>
          <w:szCs w:val="32"/>
          <w:highlight w:val="none"/>
          <w:lang w:val="en-US" w:eastAsia="zh-CN"/>
        </w:rPr>
      </w:pPr>
    </w:p>
    <w:p w14:paraId="43FAEB38">
      <w:pPr>
        <w:bidi w:val="0"/>
        <w:jc w:val="center"/>
        <w:rPr>
          <w:rFonts w:hint="eastAsia"/>
          <w:b/>
          <w:bCs/>
          <w:sz w:val="32"/>
          <w:szCs w:val="32"/>
          <w:lang w:eastAsia="zh-CN"/>
        </w:rPr>
      </w:pPr>
      <w:r>
        <w:rPr>
          <w:rFonts w:hint="eastAsia"/>
          <w:b/>
          <w:bCs/>
          <w:sz w:val="32"/>
          <w:szCs w:val="32"/>
          <w:lang w:eastAsia="zh-CN"/>
        </w:rPr>
        <w:t>监狱企业</w:t>
      </w:r>
      <w:r>
        <w:rPr>
          <w:rFonts w:hint="eastAsia"/>
          <w:b/>
          <w:bCs/>
          <w:sz w:val="32"/>
          <w:szCs w:val="32"/>
          <w:lang w:val="en-US" w:eastAsia="zh-CN"/>
        </w:rPr>
        <w:t>证明文件</w:t>
      </w:r>
      <w:r>
        <w:rPr>
          <w:rFonts w:hint="eastAsia"/>
          <w:b/>
          <w:bCs/>
          <w:sz w:val="32"/>
          <w:szCs w:val="32"/>
          <w:lang w:eastAsia="zh-CN"/>
        </w:rPr>
        <w:t>（</w:t>
      </w:r>
      <w:r>
        <w:rPr>
          <w:rFonts w:hint="eastAsia"/>
          <w:b/>
          <w:bCs/>
          <w:sz w:val="32"/>
          <w:szCs w:val="32"/>
          <w:lang w:val="en-US" w:eastAsia="zh-CN"/>
        </w:rPr>
        <w:t>如有</w:t>
      </w:r>
      <w:r>
        <w:rPr>
          <w:rFonts w:hint="eastAsia"/>
          <w:b/>
          <w:bCs/>
          <w:sz w:val="32"/>
          <w:szCs w:val="32"/>
          <w:lang w:eastAsia="zh-CN"/>
        </w:rPr>
        <w:t>）</w:t>
      </w:r>
    </w:p>
    <w:p w14:paraId="73ECA7F2">
      <w:pPr>
        <w:pStyle w:val="35"/>
        <w:ind w:firstLine="480"/>
        <w:rPr>
          <w:rFonts w:hint="eastAsia"/>
          <w:color w:val="auto"/>
          <w:highlight w:val="none"/>
          <w:lang w:val="en-US" w:eastAsia="zh-CN"/>
        </w:rPr>
      </w:pPr>
    </w:p>
    <w:p w14:paraId="6C09F5F8">
      <w:pPr>
        <w:pStyle w:val="35"/>
        <w:ind w:firstLine="480"/>
        <w:rPr>
          <w:rFonts w:hint="eastAsia"/>
          <w:color w:val="auto"/>
          <w:highlight w:val="none"/>
          <w:lang w:val="en-US" w:eastAsia="zh-CN"/>
        </w:rPr>
      </w:pPr>
    </w:p>
    <w:p w14:paraId="4F3AD4B1">
      <w:pPr>
        <w:pStyle w:val="35"/>
        <w:ind w:firstLine="480"/>
        <w:rPr>
          <w:rFonts w:hint="eastAsia"/>
          <w:color w:val="auto"/>
          <w:highlight w:val="none"/>
          <w:lang w:val="en-US" w:eastAsia="zh-CN"/>
        </w:rPr>
      </w:pPr>
    </w:p>
    <w:p w14:paraId="749A9EF1">
      <w:pPr>
        <w:pStyle w:val="35"/>
        <w:ind w:firstLine="480"/>
        <w:rPr>
          <w:rFonts w:hint="eastAsia"/>
          <w:color w:val="auto"/>
          <w:highlight w:val="none"/>
          <w:lang w:val="en-US" w:eastAsia="zh-CN"/>
        </w:rPr>
      </w:pPr>
    </w:p>
    <w:p w14:paraId="3F4505F9">
      <w:pPr>
        <w:pStyle w:val="35"/>
        <w:ind w:firstLine="480"/>
        <w:rPr>
          <w:rFonts w:hint="eastAsia"/>
          <w:color w:val="auto"/>
          <w:highlight w:val="none"/>
          <w:lang w:val="en-US" w:eastAsia="zh-CN"/>
        </w:rPr>
      </w:pPr>
    </w:p>
    <w:p w14:paraId="69D8DEBE">
      <w:pPr>
        <w:pStyle w:val="35"/>
        <w:ind w:firstLine="480"/>
        <w:rPr>
          <w:rFonts w:hint="eastAsia"/>
          <w:color w:val="auto"/>
          <w:highlight w:val="none"/>
          <w:lang w:val="en-US" w:eastAsia="zh-CN"/>
        </w:rPr>
      </w:pPr>
    </w:p>
    <w:p w14:paraId="2F69564B">
      <w:pPr>
        <w:pStyle w:val="35"/>
        <w:ind w:firstLine="480"/>
        <w:rPr>
          <w:rFonts w:hint="eastAsia"/>
          <w:color w:val="auto"/>
          <w:highlight w:val="none"/>
          <w:lang w:val="en-US" w:eastAsia="zh-CN"/>
        </w:rPr>
      </w:pPr>
    </w:p>
    <w:p w14:paraId="1DE2C571">
      <w:pPr>
        <w:pStyle w:val="35"/>
        <w:ind w:firstLine="480"/>
        <w:rPr>
          <w:rFonts w:hint="eastAsia"/>
          <w:color w:val="auto"/>
          <w:highlight w:val="none"/>
          <w:lang w:val="en-US" w:eastAsia="zh-CN"/>
        </w:rPr>
      </w:pPr>
    </w:p>
    <w:p w14:paraId="6FF7CEC5">
      <w:pPr>
        <w:pStyle w:val="35"/>
        <w:ind w:firstLine="480"/>
        <w:rPr>
          <w:rFonts w:hint="eastAsia"/>
          <w:color w:val="auto"/>
          <w:highlight w:val="none"/>
          <w:lang w:val="en-US" w:eastAsia="zh-CN"/>
        </w:rPr>
      </w:pPr>
    </w:p>
    <w:p w14:paraId="23386367">
      <w:pPr>
        <w:pStyle w:val="35"/>
        <w:ind w:firstLine="480"/>
        <w:rPr>
          <w:rFonts w:hint="eastAsia"/>
          <w:color w:val="auto"/>
          <w:highlight w:val="none"/>
          <w:lang w:val="en-US" w:eastAsia="zh-CN"/>
        </w:rPr>
      </w:pPr>
    </w:p>
    <w:p w14:paraId="0222EBDA">
      <w:pPr>
        <w:pStyle w:val="35"/>
        <w:ind w:firstLine="480"/>
        <w:rPr>
          <w:rFonts w:hint="eastAsia"/>
          <w:color w:val="auto"/>
          <w:highlight w:val="none"/>
          <w:lang w:val="en-US" w:eastAsia="zh-CN"/>
        </w:rPr>
      </w:pPr>
    </w:p>
    <w:p w14:paraId="4A2FE9B4">
      <w:pPr>
        <w:pStyle w:val="35"/>
        <w:ind w:firstLine="480"/>
        <w:rPr>
          <w:rFonts w:hint="eastAsia"/>
          <w:color w:val="auto"/>
          <w:highlight w:val="none"/>
          <w:lang w:val="en-US" w:eastAsia="zh-CN"/>
        </w:rPr>
      </w:pPr>
    </w:p>
    <w:p w14:paraId="36985961">
      <w:pPr>
        <w:pStyle w:val="35"/>
        <w:ind w:firstLine="480"/>
        <w:rPr>
          <w:rFonts w:hint="eastAsia"/>
          <w:color w:val="auto"/>
          <w:highlight w:val="none"/>
          <w:lang w:val="en-US" w:eastAsia="zh-CN"/>
        </w:rPr>
      </w:pPr>
    </w:p>
    <w:p w14:paraId="09EC4F7F">
      <w:pPr>
        <w:pStyle w:val="35"/>
        <w:ind w:firstLine="480"/>
        <w:rPr>
          <w:rFonts w:hint="eastAsia"/>
          <w:color w:val="auto"/>
          <w:highlight w:val="none"/>
          <w:lang w:val="en-US" w:eastAsia="zh-CN"/>
        </w:rPr>
      </w:pPr>
    </w:p>
    <w:p w14:paraId="2630C3C4">
      <w:pPr>
        <w:pStyle w:val="35"/>
        <w:ind w:firstLine="480"/>
        <w:rPr>
          <w:rFonts w:hint="eastAsia"/>
          <w:color w:val="auto"/>
          <w:highlight w:val="none"/>
          <w:lang w:val="en-US" w:eastAsia="zh-CN"/>
        </w:rPr>
      </w:pPr>
    </w:p>
    <w:p w14:paraId="49A58C06">
      <w:pPr>
        <w:pStyle w:val="35"/>
        <w:ind w:firstLine="480"/>
        <w:rPr>
          <w:rFonts w:hint="eastAsia"/>
          <w:color w:val="auto"/>
          <w:highlight w:val="none"/>
          <w:lang w:val="en-US" w:eastAsia="zh-CN"/>
        </w:rPr>
      </w:pPr>
    </w:p>
    <w:p w14:paraId="2EDC152E">
      <w:pPr>
        <w:pStyle w:val="35"/>
        <w:ind w:firstLine="480"/>
        <w:rPr>
          <w:rFonts w:hint="eastAsia"/>
          <w:color w:val="auto"/>
          <w:highlight w:val="none"/>
          <w:lang w:val="en-US" w:eastAsia="zh-CN"/>
        </w:rPr>
      </w:pPr>
    </w:p>
    <w:p w14:paraId="07B11D76">
      <w:pPr>
        <w:pStyle w:val="35"/>
        <w:ind w:firstLine="480"/>
        <w:rPr>
          <w:rFonts w:hint="eastAsia"/>
          <w:color w:val="auto"/>
          <w:highlight w:val="none"/>
          <w:lang w:val="en-US" w:eastAsia="zh-CN"/>
        </w:rPr>
      </w:pPr>
    </w:p>
    <w:p w14:paraId="1B49168B">
      <w:pPr>
        <w:pStyle w:val="35"/>
        <w:ind w:firstLine="480"/>
        <w:rPr>
          <w:rFonts w:hint="eastAsia"/>
          <w:color w:val="auto"/>
          <w:highlight w:val="none"/>
          <w:lang w:val="en-US" w:eastAsia="zh-CN"/>
        </w:rPr>
      </w:pPr>
    </w:p>
    <w:p w14:paraId="4F7F2966">
      <w:pPr>
        <w:pStyle w:val="35"/>
        <w:ind w:firstLine="480"/>
        <w:rPr>
          <w:rFonts w:hint="eastAsia"/>
          <w:color w:val="auto"/>
          <w:highlight w:val="none"/>
          <w:lang w:val="en-US" w:eastAsia="zh-CN"/>
        </w:rPr>
      </w:pPr>
    </w:p>
    <w:p w14:paraId="785055A0">
      <w:pPr>
        <w:pStyle w:val="35"/>
        <w:ind w:firstLine="480"/>
        <w:rPr>
          <w:rFonts w:hint="eastAsia"/>
          <w:color w:val="auto"/>
          <w:highlight w:val="none"/>
          <w:lang w:val="en-US" w:eastAsia="zh-CN"/>
        </w:rPr>
      </w:pPr>
    </w:p>
    <w:p w14:paraId="50873353">
      <w:pPr>
        <w:pStyle w:val="35"/>
        <w:ind w:firstLine="480"/>
        <w:rPr>
          <w:rFonts w:hint="eastAsia"/>
          <w:color w:val="auto"/>
          <w:highlight w:val="none"/>
          <w:lang w:val="en-US" w:eastAsia="zh-CN"/>
        </w:rPr>
      </w:pPr>
    </w:p>
    <w:p w14:paraId="0D97F677">
      <w:pPr>
        <w:pStyle w:val="35"/>
        <w:ind w:firstLine="480"/>
        <w:rPr>
          <w:rFonts w:hint="eastAsia"/>
          <w:color w:val="auto"/>
          <w:highlight w:val="none"/>
          <w:lang w:val="en-US" w:eastAsia="zh-CN"/>
        </w:rPr>
      </w:pPr>
    </w:p>
    <w:p w14:paraId="5F0D73C5">
      <w:pPr>
        <w:pStyle w:val="35"/>
        <w:ind w:firstLine="0"/>
        <w:rPr>
          <w:rFonts w:hint="eastAsia"/>
          <w:color w:val="auto"/>
          <w:highlight w:val="none"/>
          <w:lang w:val="en-US" w:eastAsia="zh-CN"/>
        </w:rPr>
      </w:pPr>
    </w:p>
    <w:p w14:paraId="5C329338">
      <w:pPr>
        <w:pStyle w:val="35"/>
        <w:ind w:firstLine="480"/>
        <w:rPr>
          <w:rFonts w:hint="eastAsia"/>
          <w:color w:val="auto"/>
          <w:highlight w:val="none"/>
          <w:lang w:val="en-US" w:eastAsia="zh-CN"/>
        </w:rPr>
      </w:pPr>
    </w:p>
    <w:p w14:paraId="7814F200">
      <w:pPr>
        <w:pStyle w:val="35"/>
        <w:ind w:firstLine="480"/>
        <w:rPr>
          <w:rFonts w:hint="eastAsia"/>
          <w:color w:val="auto"/>
          <w:highlight w:val="none"/>
          <w:lang w:val="en-US" w:eastAsia="zh-CN"/>
        </w:rPr>
      </w:pPr>
    </w:p>
    <w:p w14:paraId="7E9E1A82">
      <w:pPr>
        <w:pStyle w:val="35"/>
        <w:ind w:firstLine="480"/>
        <w:rPr>
          <w:rFonts w:hint="eastAsia"/>
          <w:color w:val="auto"/>
          <w:highlight w:val="none"/>
          <w:lang w:val="en-US" w:eastAsia="zh-CN"/>
        </w:rPr>
      </w:pPr>
    </w:p>
    <w:p w14:paraId="42ACA8FC">
      <w:pPr>
        <w:pStyle w:val="35"/>
        <w:ind w:firstLine="480"/>
        <w:rPr>
          <w:rFonts w:hint="eastAsia"/>
          <w:color w:val="auto"/>
          <w:highlight w:val="none"/>
          <w:lang w:val="en-US" w:eastAsia="zh-CN"/>
        </w:rPr>
      </w:pPr>
    </w:p>
    <w:p w14:paraId="456B527F">
      <w:pPr>
        <w:spacing w:line="240" w:lineRule="auto"/>
        <w:ind w:firstLine="422" w:firstLineChars="2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300CB">
      <w:pPr>
        <w:spacing w:line="240" w:lineRule="auto"/>
        <w:ind w:firstLine="422" w:firstLineChars="2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2、监狱企业参与投标的，需提供由省级以上监狱管理局、戒毒管理局（含新疆生产建设兵团）出具的属于监狱企业的证明文件。监狱企业视同小微企业，无需再提供《中小企业声明函》。</w:t>
      </w:r>
    </w:p>
    <w:p w14:paraId="6F915854">
      <w:pPr>
        <w:pStyle w:val="35"/>
        <w:ind w:firstLine="0"/>
        <w:outlineLvl w:val="9"/>
        <w:rPr>
          <w:color w:val="auto"/>
          <w:highlight w:val="none"/>
        </w:rPr>
      </w:pPr>
    </w:p>
    <w:p w14:paraId="26AEAF8E">
      <w:pPr>
        <w:pStyle w:val="35"/>
        <w:ind w:firstLine="0"/>
        <w:outlineLvl w:val="9"/>
        <w:rPr>
          <w:color w:val="auto"/>
          <w:highlight w:val="none"/>
        </w:rPr>
      </w:pPr>
    </w:p>
    <w:p w14:paraId="7B673456">
      <w:pPr>
        <w:pStyle w:val="35"/>
        <w:ind w:firstLine="0"/>
        <w:outlineLvl w:val="9"/>
        <w:rPr>
          <w:color w:val="auto"/>
          <w:highlight w:val="none"/>
        </w:rPr>
      </w:pPr>
    </w:p>
    <w:p w14:paraId="43F47E98">
      <w:pPr>
        <w:rPr>
          <w:rFonts w:hint="eastAsia" w:ascii="宋体" w:hAnsi="宋体" w:eastAsia="宋体" w:cs="宋体"/>
          <w:b/>
          <w:bCs/>
          <w:color w:val="auto"/>
          <w:kern w:val="0"/>
          <w:sz w:val="21"/>
          <w:szCs w:val="21"/>
          <w:highlight w:val="none"/>
          <w:u w:val="none"/>
          <w:lang w:val="en-US" w:eastAsia="zh-CN" w:bidi="ar-SA"/>
        </w:rPr>
      </w:pPr>
      <w:r>
        <w:rPr>
          <w:rFonts w:hint="eastAsia" w:ascii="宋体" w:hAnsi="宋体" w:eastAsia="宋体" w:cs="宋体"/>
          <w:b/>
          <w:bCs/>
          <w:color w:val="auto"/>
          <w:kern w:val="0"/>
          <w:sz w:val="21"/>
          <w:szCs w:val="21"/>
          <w:highlight w:val="none"/>
          <w:u w:val="none"/>
          <w:lang w:val="en-US" w:eastAsia="zh-CN" w:bidi="ar-SA"/>
        </w:rPr>
        <w:t>（此格式不作为废标条款）</w:t>
      </w:r>
    </w:p>
    <w:p w14:paraId="754FE71A">
      <w:pPr>
        <w:rPr>
          <w:rFonts w:hint="eastAsia" w:cs="宋体"/>
          <w:b/>
          <w:color w:val="000000" w:themeColor="text1"/>
          <w:kern w:val="1"/>
          <w:sz w:val="24"/>
          <w14:textFill>
            <w14:solidFill>
              <w14:schemeClr w14:val="tx1"/>
            </w14:solidFill>
          </w14:textFill>
        </w:rPr>
      </w:pPr>
      <w:r>
        <w:rPr>
          <w:color w:val="auto"/>
          <w:highlight w:val="none"/>
        </w:rPr>
        <w:br w:type="page"/>
      </w:r>
      <w:r>
        <w:rPr>
          <w:rFonts w:hint="eastAsia" w:cs="宋体"/>
          <w:b/>
          <w:color w:val="000000" w:themeColor="text1"/>
          <w:kern w:val="1"/>
          <w:sz w:val="24"/>
          <w14:textFill>
            <w14:solidFill>
              <w14:schemeClr w14:val="tx1"/>
            </w14:solidFill>
          </w14:textFill>
        </w:rPr>
        <w:t>格式1</w:t>
      </w:r>
      <w:r>
        <w:rPr>
          <w:rFonts w:hint="eastAsia" w:cs="宋体"/>
          <w:b/>
          <w:color w:val="000000" w:themeColor="text1"/>
          <w:kern w:val="1"/>
          <w:sz w:val="24"/>
          <w:lang w:val="en-US" w:eastAsia="zh-CN"/>
          <w14:textFill>
            <w14:solidFill>
              <w14:schemeClr w14:val="tx1"/>
            </w14:solidFill>
          </w14:textFill>
        </w:rPr>
        <w:t>7</w:t>
      </w:r>
      <w:r>
        <w:rPr>
          <w:rFonts w:hint="eastAsia" w:cs="宋体"/>
          <w:b/>
          <w:color w:val="000000" w:themeColor="text1"/>
          <w:kern w:val="1"/>
          <w:sz w:val="24"/>
          <w14:textFill>
            <w14:solidFill>
              <w14:schemeClr w14:val="tx1"/>
            </w14:solidFill>
          </w14:textFill>
        </w:rPr>
        <w:t>：</w:t>
      </w:r>
    </w:p>
    <w:p w14:paraId="597A10A7">
      <w:pPr>
        <w:autoSpaceDE w:val="0"/>
        <w:autoSpaceDN w:val="0"/>
        <w:adjustRightInd w:val="0"/>
        <w:spacing w:after="0" w:afterLines="-2147483648"/>
        <w:jc w:val="left"/>
        <w:rPr>
          <w:rFonts w:hint="default"/>
          <w:color w:val="000000" w:themeColor="text1"/>
          <w:szCs w:val="21"/>
          <w:lang w:val="en-US" w:eastAsia="zh-CN"/>
          <w14:textFill>
            <w14:solidFill>
              <w14:schemeClr w14:val="tx1"/>
            </w14:solidFill>
          </w14:textFill>
        </w:rPr>
      </w:pPr>
    </w:p>
    <w:p w14:paraId="2A929537">
      <w:pPr>
        <w:bidi w:val="0"/>
        <w:jc w:val="center"/>
        <w:rPr>
          <w:rFonts w:hint="eastAsia"/>
          <w:b/>
          <w:bCs/>
          <w:sz w:val="32"/>
          <w:szCs w:val="32"/>
          <w:lang w:eastAsia="zh-CN"/>
        </w:rPr>
      </w:pPr>
      <w:r>
        <w:rPr>
          <w:rFonts w:hint="eastAsia"/>
          <w:b/>
          <w:bCs/>
          <w:sz w:val="32"/>
          <w:szCs w:val="32"/>
          <w:lang w:eastAsia="zh-CN"/>
        </w:rPr>
        <w:t>残疾人福利性单位声明函（</w:t>
      </w:r>
      <w:r>
        <w:rPr>
          <w:rFonts w:hint="eastAsia"/>
          <w:b/>
          <w:bCs/>
          <w:sz w:val="32"/>
          <w:szCs w:val="32"/>
          <w:lang w:val="en-US" w:eastAsia="zh-CN"/>
        </w:rPr>
        <w:t>如有</w:t>
      </w:r>
      <w:r>
        <w:rPr>
          <w:rFonts w:hint="eastAsia"/>
          <w:b/>
          <w:bCs/>
          <w:sz w:val="32"/>
          <w:szCs w:val="32"/>
          <w:lang w:eastAsia="zh-CN"/>
        </w:rPr>
        <w:t>）</w:t>
      </w:r>
    </w:p>
    <w:p w14:paraId="67463AE9">
      <w:pPr>
        <w:pStyle w:val="35"/>
        <w:spacing w:line="360" w:lineRule="auto"/>
        <w:ind w:firstLine="480" w:firstLineChars="200"/>
        <w:rPr>
          <w:rFonts w:hint="eastAsia" w:ascii="宋体" w:hAnsi="宋体" w:cs="宋体"/>
          <w:color w:val="auto"/>
          <w:sz w:val="24"/>
          <w:szCs w:val="20"/>
          <w:highlight w:val="none"/>
        </w:rPr>
      </w:pPr>
    </w:p>
    <w:p w14:paraId="1276C74B">
      <w:pPr>
        <w:pStyle w:val="35"/>
        <w:spacing w:line="360" w:lineRule="auto"/>
        <w:ind w:firstLine="480" w:firstLineChars="200"/>
        <w:rPr>
          <w:rFonts w:hint="eastAsia" w:ascii="宋体" w:hAnsi="宋体" w:cs="宋体"/>
          <w:color w:val="auto"/>
          <w:sz w:val="24"/>
          <w:szCs w:val="20"/>
          <w:highlight w:val="none"/>
        </w:rPr>
      </w:pPr>
    </w:p>
    <w:p w14:paraId="690E2043">
      <w:pPr>
        <w:pStyle w:val="35"/>
        <w:spacing w:line="360" w:lineRule="auto"/>
        <w:ind w:firstLine="480" w:firstLineChars="200"/>
        <w:rPr>
          <w:color w:val="auto"/>
          <w:highlight w:val="non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p>
    <w:p w14:paraId="4715E61F">
      <w:pPr>
        <w:pStyle w:val="35"/>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 民政部 中国残疾人联合会关于促进残疾人就业政府采购政策的通知》</w:t>
      </w:r>
      <w:r>
        <w:rPr>
          <w:rFonts w:hint="eastAsia" w:ascii="宋体" w:hAnsi="宋体" w:eastAsia="宋体" w:cs="宋体"/>
          <w:color w:val="auto"/>
          <w:sz w:val="24"/>
          <w:szCs w:val="24"/>
          <w:highlight w:val="none"/>
        </w:rPr>
        <w:t>（财库〔2017〕141号）</w:t>
      </w:r>
      <w:r>
        <w:rPr>
          <w:rFonts w:ascii="宋体" w:hAnsi="宋体" w:eastAsia="宋体" w:cs="宋体"/>
          <w:color w:val="auto"/>
          <w:sz w:val="24"/>
          <w:szCs w:val="24"/>
          <w:highlight w:val="none"/>
        </w:rPr>
        <w:t>的规定，本单位为符合条件的残疾人福利性单位，且本单位参加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ascii="宋体" w:hAnsi="宋体" w:eastAsia="宋体" w:cs="宋体"/>
          <w:color w:val="auto"/>
          <w:sz w:val="24"/>
          <w:szCs w:val="24"/>
          <w:highlight w:val="none"/>
        </w:rPr>
        <w:t>单位的</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项目</w:t>
      </w:r>
      <w:r>
        <w:rPr>
          <w:rFonts w:hint="eastAsia" w:ascii="宋体" w:hAnsi="宋体" w:cs="宋体"/>
          <w:color w:val="auto"/>
          <w:sz w:val="24"/>
          <w:szCs w:val="20"/>
          <w:highlight w:val="none"/>
          <w:u w:val="single"/>
        </w:rPr>
        <w:t>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由本单位承担工程。</w:t>
      </w:r>
    </w:p>
    <w:p w14:paraId="459F95FE">
      <w:pPr>
        <w:pStyle w:val="35"/>
        <w:spacing w:line="360" w:lineRule="auto"/>
        <w:ind w:firstLine="480" w:firstLineChars="200"/>
        <w:rPr>
          <w:color w:val="auto"/>
          <w:highlight w:val="none"/>
        </w:rPr>
      </w:pPr>
      <w:r>
        <w:rPr>
          <w:rFonts w:ascii="宋体" w:hAnsi="宋体" w:eastAsia="宋体" w:cs="宋体"/>
          <w:color w:val="auto"/>
          <w:sz w:val="24"/>
          <w:szCs w:val="24"/>
          <w:highlight w:val="none"/>
        </w:rPr>
        <w:t>本单位对上述声明的真实性负责。如有虚假，将依法承担相应责任。</w:t>
      </w:r>
    </w:p>
    <w:p w14:paraId="2C3C7854">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6031B8B2">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2647D173">
      <w:pPr>
        <w:pStyle w:val="11"/>
        <w:rPr>
          <w:rFonts w:hint="eastAsia" w:ascii="宋体" w:hAnsi="宋体" w:cs="宋体"/>
          <w:color w:val="auto"/>
          <w:sz w:val="24"/>
          <w:szCs w:val="20"/>
          <w:highlight w:val="none"/>
          <w:lang w:val="en-US" w:eastAsia="zh-CN"/>
        </w:rPr>
      </w:pPr>
    </w:p>
    <w:p w14:paraId="5179F217">
      <w:pPr>
        <w:pStyle w:val="11"/>
        <w:rPr>
          <w:rFonts w:hint="eastAsia" w:ascii="宋体" w:hAnsi="宋体" w:cs="宋体"/>
          <w:color w:val="auto"/>
          <w:sz w:val="24"/>
          <w:szCs w:val="20"/>
          <w:highlight w:val="none"/>
          <w:lang w:val="en-US" w:eastAsia="zh-CN"/>
        </w:rPr>
      </w:pPr>
    </w:p>
    <w:p w14:paraId="62E1198D">
      <w:pPr>
        <w:spacing w:line="360" w:lineRule="auto"/>
        <w:ind w:firstLine="5040" w:firstLineChars="210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投标人</w:t>
      </w:r>
      <w:r>
        <w:rPr>
          <w:rFonts w:hint="eastAsia" w:ascii="宋体" w:hAnsi="宋体" w:eastAsia="宋体" w:cs="宋体"/>
          <w:color w:val="auto"/>
          <w:sz w:val="24"/>
          <w:szCs w:val="20"/>
          <w:highlight w:val="none"/>
        </w:rPr>
        <w:t>名称（盖章</w:t>
      </w:r>
      <w:r>
        <w:rPr>
          <w:rFonts w:hint="eastAsia" w:ascii="宋体" w:hAnsi="宋体" w:eastAsia="宋体" w:cs="宋体"/>
          <w:color w:val="auto"/>
          <w:sz w:val="24"/>
          <w:szCs w:val="20"/>
          <w:highlight w:val="none"/>
          <w:lang w:val="en-US" w:eastAsia="zh-CN"/>
        </w:rPr>
        <w:t>或电子印章</w:t>
      </w:r>
      <w:r>
        <w:rPr>
          <w:rFonts w:hint="eastAsia" w:ascii="宋体" w:hAnsi="宋体" w:eastAsia="宋体" w:cs="宋体"/>
          <w:color w:val="auto"/>
          <w:sz w:val="24"/>
          <w:szCs w:val="20"/>
          <w:highlight w:val="none"/>
        </w:rPr>
        <w:t>）：</w:t>
      </w:r>
    </w:p>
    <w:p w14:paraId="757ACC6B">
      <w:pPr>
        <w:spacing w:line="360" w:lineRule="auto"/>
        <w:ind w:firstLine="5040" w:firstLineChars="2100"/>
        <w:jc w:val="both"/>
        <w:rPr>
          <w:color w:val="auto"/>
          <w:highlight w:val="none"/>
        </w:rPr>
      </w:pPr>
      <w:r>
        <w:rPr>
          <w:rFonts w:hint="eastAsia" w:ascii="宋体" w:hAnsi="宋体" w:eastAsia="宋体" w:cs="宋体"/>
          <w:color w:val="auto"/>
          <w:sz w:val="24"/>
          <w:szCs w:val="20"/>
          <w:highlight w:val="none"/>
        </w:rPr>
        <w:t xml:space="preserve">日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期：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年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月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日</w:t>
      </w:r>
    </w:p>
    <w:p w14:paraId="1AE2FCF7">
      <w:pPr>
        <w:snapToGrid/>
        <w:spacing w:line="360" w:lineRule="auto"/>
        <w:ind w:firstLine="0" w:firstLineChars="0"/>
        <w:jc w:val="center"/>
        <w:rPr>
          <w:b/>
          <w:bCs/>
          <w:i w:val="0"/>
          <w:iCs w:val="0"/>
          <w:color w:val="auto"/>
          <w:highlight w:val="none"/>
        </w:rPr>
      </w:pPr>
    </w:p>
    <w:p w14:paraId="67B89EC5">
      <w:pPr>
        <w:snapToGrid/>
        <w:spacing w:line="360" w:lineRule="auto"/>
        <w:ind w:firstLine="0" w:firstLineChars="0"/>
        <w:jc w:val="center"/>
        <w:rPr>
          <w:b/>
          <w:bCs/>
          <w:i w:val="0"/>
          <w:iCs w:val="0"/>
          <w:color w:val="auto"/>
          <w:highlight w:val="none"/>
        </w:rPr>
      </w:pPr>
    </w:p>
    <w:p w14:paraId="134BFE8C">
      <w:pPr>
        <w:snapToGrid/>
        <w:spacing w:line="360" w:lineRule="auto"/>
        <w:ind w:firstLine="0" w:firstLineChars="0"/>
        <w:jc w:val="center"/>
        <w:rPr>
          <w:b/>
          <w:bCs/>
          <w:i w:val="0"/>
          <w:iCs w:val="0"/>
          <w:color w:val="auto"/>
          <w:highlight w:val="none"/>
        </w:rPr>
      </w:pPr>
    </w:p>
    <w:p w14:paraId="0DD45AE8">
      <w:pPr>
        <w:snapToGrid/>
        <w:spacing w:line="360" w:lineRule="auto"/>
        <w:ind w:firstLine="0" w:firstLineChars="0"/>
        <w:jc w:val="center"/>
        <w:rPr>
          <w:b/>
          <w:bCs/>
          <w:i w:val="0"/>
          <w:iCs w:val="0"/>
          <w:color w:val="auto"/>
          <w:highlight w:val="none"/>
        </w:rPr>
      </w:pPr>
    </w:p>
    <w:p w14:paraId="325A245A">
      <w:pPr>
        <w:snapToGrid/>
        <w:spacing w:line="360" w:lineRule="auto"/>
        <w:ind w:firstLine="0" w:firstLineChars="0"/>
        <w:jc w:val="both"/>
        <w:rPr>
          <w:b/>
          <w:bCs/>
          <w:i w:val="0"/>
          <w:iCs w:val="0"/>
          <w:color w:val="auto"/>
          <w:highlight w:val="none"/>
        </w:rPr>
      </w:pPr>
    </w:p>
    <w:p w14:paraId="13E53C94">
      <w:pPr>
        <w:snapToGrid/>
        <w:spacing w:line="360" w:lineRule="auto"/>
        <w:ind w:firstLine="0" w:firstLineChars="0"/>
        <w:jc w:val="center"/>
        <w:rPr>
          <w:b/>
          <w:bCs/>
          <w:i w:val="0"/>
          <w:iCs w:val="0"/>
          <w:color w:val="auto"/>
          <w:highlight w:val="none"/>
        </w:rPr>
      </w:pPr>
    </w:p>
    <w:p w14:paraId="313D7568">
      <w:pPr>
        <w:snapToGrid/>
        <w:spacing w:line="360" w:lineRule="auto"/>
        <w:ind w:firstLine="0" w:firstLineChars="0"/>
        <w:jc w:val="center"/>
        <w:rPr>
          <w:b/>
          <w:bCs/>
          <w:i w:val="0"/>
          <w:iCs w:val="0"/>
          <w:color w:val="auto"/>
          <w:highlight w:val="none"/>
        </w:rPr>
      </w:pPr>
    </w:p>
    <w:p w14:paraId="1527DD4E">
      <w:pPr>
        <w:snapToGrid/>
        <w:spacing w:line="360" w:lineRule="auto"/>
        <w:ind w:firstLine="0" w:firstLineChars="0"/>
        <w:jc w:val="center"/>
        <w:rPr>
          <w:b/>
          <w:bCs/>
          <w:i w:val="0"/>
          <w:iCs w:val="0"/>
          <w:color w:val="auto"/>
          <w:highlight w:val="none"/>
        </w:rPr>
      </w:pPr>
    </w:p>
    <w:p w14:paraId="660F6710">
      <w:pPr>
        <w:snapToGrid/>
        <w:spacing w:line="240" w:lineRule="auto"/>
        <w:ind w:firstLine="632" w:firstLineChars="300"/>
        <w:jc w:val="both"/>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t>注：</w:t>
      </w:r>
      <w:r>
        <w:rPr>
          <w:rFonts w:hint="eastAsia" w:ascii="宋体" w:hAnsi="宋体" w:eastAsia="宋体" w:cs="宋体"/>
          <w:b/>
          <w:bCs/>
          <w:i w:val="0"/>
          <w:iCs w:val="0"/>
          <w:color w:val="auto"/>
          <w:szCs w:val="21"/>
          <w:highlight w:val="none"/>
          <w:lang w:val="en-US" w:eastAsia="zh-CN"/>
        </w:rPr>
        <w:t>1、</w:t>
      </w:r>
      <w:r>
        <w:rPr>
          <w:rFonts w:hint="eastAsia" w:ascii="宋体" w:hAnsi="宋体" w:eastAsia="宋体" w:cs="宋体"/>
          <w:b/>
          <w:bCs/>
          <w:i w:val="0"/>
          <w:iCs w:val="0"/>
          <w:color w:val="auto"/>
          <w:szCs w:val="21"/>
          <w:highlight w:val="none"/>
        </w:rPr>
        <w:t>残疾人福利性单位声明函（如有）适用于残疾人福利性单位参加招投标活动的。本函未填写的视作未做声明。</w:t>
      </w:r>
    </w:p>
    <w:p w14:paraId="4E2B378E">
      <w:pPr>
        <w:spacing w:line="240" w:lineRule="auto"/>
        <w:ind w:firstLine="422" w:firstLineChars="200"/>
        <w:jc w:val="both"/>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lang w:val="en-US" w:eastAsia="zh-CN"/>
        </w:rPr>
        <w:t>2、</w:t>
      </w:r>
      <w:r>
        <w:rPr>
          <w:rFonts w:hint="eastAsia" w:ascii="宋体" w:hAnsi="宋体" w:eastAsia="宋体" w:cs="宋体"/>
          <w:b/>
          <w:bCs/>
          <w:i w:val="0"/>
          <w:iCs w:val="0"/>
          <w:color w:val="auto"/>
          <w:szCs w:val="21"/>
          <w:highlight w:val="none"/>
        </w:rPr>
        <w:t>残疾人</w:t>
      </w:r>
      <w:r>
        <w:rPr>
          <w:rFonts w:hint="eastAsia" w:ascii="宋体" w:hAnsi="宋体" w:eastAsia="宋体" w:cs="宋体"/>
          <w:b/>
          <w:bCs/>
          <w:color w:val="auto"/>
          <w:szCs w:val="21"/>
          <w:highlight w:val="none"/>
        </w:rPr>
        <w:t>福利性</w:t>
      </w:r>
      <w:r>
        <w:rPr>
          <w:rFonts w:hint="eastAsia" w:ascii="宋体" w:hAnsi="宋体" w:eastAsia="宋体" w:cs="宋体"/>
          <w:b/>
          <w:bCs/>
          <w:i w:val="0"/>
          <w:iCs w:val="0"/>
          <w:color w:val="auto"/>
          <w:szCs w:val="21"/>
          <w:highlight w:val="none"/>
        </w:rPr>
        <w:t>单位视同小微企业，无需再提供《中小企业声明函》。</w:t>
      </w:r>
    </w:p>
    <w:p w14:paraId="2E3DD8F0">
      <w:pPr>
        <w:bidi w:val="0"/>
        <w:rPr>
          <w:rFonts w:hint="eastAsia" w:ascii="黑体" w:hAnsi="宋体" w:eastAsia="黑体"/>
          <w:color w:val="auto"/>
          <w:sz w:val="32"/>
          <w:szCs w:val="32"/>
          <w:highlight w:val="none"/>
        </w:rPr>
      </w:pPr>
    </w:p>
    <w:p w14:paraId="7F21ADC5">
      <w:pPr>
        <w:bidi w:val="0"/>
        <w:rPr>
          <w:rFonts w:hint="eastAsia" w:ascii="黑体" w:hAnsi="宋体" w:eastAsia="黑体"/>
          <w:color w:val="auto"/>
          <w:sz w:val="32"/>
          <w:szCs w:val="32"/>
          <w:highlight w:val="none"/>
        </w:rPr>
      </w:pPr>
    </w:p>
    <w:p w14:paraId="3B38FB74">
      <w:pPr>
        <w:rPr>
          <w:rFonts w:hint="eastAsia" w:ascii="宋体" w:hAnsi="宋体" w:eastAsia="宋体" w:cs="宋体"/>
          <w:b/>
          <w:bCs/>
          <w:color w:val="auto"/>
          <w:kern w:val="0"/>
          <w:sz w:val="21"/>
          <w:szCs w:val="21"/>
          <w:highlight w:val="none"/>
          <w:u w:val="none"/>
          <w:lang w:val="en-US" w:eastAsia="zh-CN" w:bidi="ar-SA"/>
        </w:rPr>
      </w:pPr>
      <w:r>
        <w:rPr>
          <w:rFonts w:hint="eastAsia" w:ascii="宋体" w:hAnsi="宋体" w:eastAsia="宋体" w:cs="宋体"/>
          <w:b/>
          <w:bCs/>
          <w:color w:val="auto"/>
          <w:kern w:val="0"/>
          <w:sz w:val="21"/>
          <w:szCs w:val="21"/>
          <w:highlight w:val="none"/>
          <w:u w:val="none"/>
          <w:lang w:val="en-US" w:eastAsia="zh-CN" w:bidi="ar-SA"/>
        </w:rPr>
        <w:t>（此格式不作为废标条款）</w:t>
      </w:r>
    </w:p>
    <w:p w14:paraId="014DAED1">
      <w:pPr>
        <w:rPr>
          <w:color w:val="auto"/>
          <w:highlight w:val="none"/>
        </w:rPr>
      </w:pPr>
      <w:r>
        <w:rPr>
          <w:color w:val="auto"/>
          <w:highlight w:val="none"/>
        </w:rPr>
        <w:br w:type="page"/>
      </w:r>
    </w:p>
    <w:p w14:paraId="5AB06033">
      <w:pPr>
        <w:rPr>
          <w:rFonts w:hint="eastAsia" w:cs="宋体"/>
          <w:b/>
          <w:color w:val="auto"/>
          <w:kern w:val="1"/>
          <w:sz w:val="24"/>
          <w:highlight w:val="none"/>
        </w:rPr>
      </w:pPr>
    </w:p>
    <w:p w14:paraId="11843740">
      <w:pPr>
        <w:pStyle w:val="3"/>
        <w:numPr>
          <w:ilvl w:val="0"/>
          <w:numId w:val="1"/>
        </w:numPr>
        <w:tabs>
          <w:tab w:val="left" w:pos="0"/>
        </w:tabs>
        <w:spacing w:before="0" w:after="0" w:line="240" w:lineRule="auto"/>
        <w:ind w:firstLine="0"/>
        <w:jc w:val="center"/>
        <w:rPr>
          <w:color w:val="auto"/>
          <w:highlight w:val="none"/>
        </w:rPr>
      </w:pPr>
      <w:bookmarkStart w:id="660" w:name="_Toc1094"/>
      <w:r>
        <w:rPr>
          <w:rFonts w:hint="eastAsia"/>
          <w:color w:val="auto"/>
          <w:highlight w:val="none"/>
          <w:lang w:val="en-US" w:eastAsia="zh-CN"/>
        </w:rPr>
        <w:t>最高</w:t>
      </w:r>
      <w:r>
        <w:rPr>
          <w:rFonts w:hint="eastAsia" w:ascii="宋体" w:hAnsi="宋体" w:cs="宋体"/>
          <w:color w:val="auto"/>
          <w:highlight w:val="none"/>
          <w:lang w:val="en-US" w:eastAsia="zh-CN"/>
        </w:rPr>
        <w:t>投标</w:t>
      </w:r>
      <w:r>
        <w:rPr>
          <w:rFonts w:hint="eastAsia"/>
          <w:color w:val="auto"/>
          <w:highlight w:val="none"/>
          <w:lang w:val="en-US" w:eastAsia="zh-CN"/>
        </w:rPr>
        <w:t>限价明细表</w:t>
      </w:r>
      <w:bookmarkEnd w:id="660"/>
    </w:p>
    <w:p w14:paraId="0B6336C2">
      <w:pPr>
        <w:spacing w:line="360" w:lineRule="auto"/>
        <w:ind w:firstLine="480" w:firstLineChars="200"/>
        <w:jc w:val="left"/>
        <w:rPr>
          <w:rFonts w:hint="eastAsia" w:ascii="宋体" w:hAnsi="宋体" w:cs="宋体"/>
          <w:color w:val="auto"/>
          <w:sz w:val="24"/>
          <w:szCs w:val="24"/>
          <w:highlight w:val="none"/>
        </w:rPr>
      </w:pPr>
    </w:p>
    <w:p w14:paraId="2248CE2F">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总投标报价最高投标限价：</w:t>
      </w:r>
      <w:r>
        <w:rPr>
          <w:rFonts w:hint="eastAsia" w:ascii="宋体" w:hAnsi="宋体" w:cs="宋体"/>
          <w:color w:val="auto"/>
          <w:sz w:val="24"/>
          <w:szCs w:val="24"/>
          <w:highlight w:val="none"/>
          <w:u w:val="single"/>
        </w:rPr>
        <w:t>人民币541303000</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u w:val="single"/>
        </w:rPr>
        <w:t>元</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其中勘察费、设计费、建安工程费</w:t>
      </w:r>
      <w:r>
        <w:rPr>
          <w:rFonts w:hint="eastAsia" w:ascii="宋体" w:hAnsi="宋体" w:eastAsia="宋体" w:cs="宋体"/>
          <w:color w:val="auto"/>
          <w:sz w:val="24"/>
          <w:szCs w:val="24"/>
          <w:highlight w:val="none"/>
          <w:lang w:val="en-US" w:eastAsia="zh-CN"/>
        </w:rPr>
        <w:t>最高投标限价如下：</w:t>
      </w:r>
    </w:p>
    <w:tbl>
      <w:tblPr>
        <w:tblStyle w:val="20"/>
        <w:tblW w:w="0" w:type="auto"/>
        <w:jc w:val="center"/>
        <w:tblLayout w:type="fixed"/>
        <w:tblCellMar>
          <w:top w:w="0" w:type="dxa"/>
          <w:left w:w="108" w:type="dxa"/>
          <w:bottom w:w="0" w:type="dxa"/>
          <w:right w:w="108" w:type="dxa"/>
        </w:tblCellMar>
      </w:tblPr>
      <w:tblGrid>
        <w:gridCol w:w="4375"/>
        <w:gridCol w:w="4882"/>
      </w:tblGrid>
      <w:tr w14:paraId="2968C3E0">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5EC3BE13">
            <w:pPr>
              <w:spacing w:line="300" w:lineRule="exact"/>
              <w:jc w:val="center"/>
              <w:rPr>
                <w:rFonts w:hint="default" w:ascii="宋体" w:hAnsi="宋体" w:eastAsia="宋体" w:cs="宋体"/>
                <w:b w:val="0"/>
                <w:bCs/>
                <w:color w:val="auto"/>
                <w:kern w:val="1"/>
                <w:sz w:val="24"/>
                <w:szCs w:val="24"/>
                <w:highlight w:val="none"/>
                <w:lang w:val="en-US" w:eastAsia="zh-CN"/>
              </w:rPr>
            </w:pPr>
            <w:r>
              <w:rPr>
                <w:rFonts w:hint="eastAsia" w:ascii="宋体" w:hAnsi="宋体" w:cs="宋体"/>
                <w:b w:val="0"/>
                <w:bCs/>
                <w:color w:val="auto"/>
                <w:kern w:val="1"/>
                <w:sz w:val="24"/>
                <w:szCs w:val="24"/>
                <w:highlight w:val="none"/>
                <w:lang w:val="en-US" w:eastAsia="zh-CN"/>
              </w:rPr>
              <w:t>最高投标限价</w:t>
            </w:r>
          </w:p>
        </w:tc>
        <w:tc>
          <w:tcPr>
            <w:tcW w:w="4882" w:type="dxa"/>
            <w:tcBorders>
              <w:top w:val="single" w:color="000000" w:sz="4" w:space="0"/>
              <w:left w:val="single" w:color="000000" w:sz="4" w:space="0"/>
              <w:bottom w:val="single" w:color="000000" w:sz="4" w:space="0"/>
              <w:right w:val="single" w:color="000000" w:sz="4" w:space="0"/>
            </w:tcBorders>
            <w:vAlign w:val="center"/>
          </w:tcPr>
          <w:p w14:paraId="00D26212">
            <w:pPr>
              <w:jc w:val="center"/>
              <w:rPr>
                <w:rFonts w:hint="default" w:ascii="宋体" w:hAnsi="宋体" w:eastAsia="宋体" w:cs="宋体"/>
                <w:b w:val="0"/>
                <w:bCs/>
                <w:color w:val="auto"/>
                <w:kern w:val="1"/>
                <w:sz w:val="24"/>
                <w:szCs w:val="24"/>
                <w:highlight w:val="none"/>
                <w:lang w:val="en-US" w:eastAsia="zh-CN"/>
              </w:rPr>
            </w:pPr>
            <w:r>
              <w:rPr>
                <w:rFonts w:hint="eastAsia" w:ascii="宋体" w:hAnsi="宋体" w:cs="宋体"/>
                <w:b w:val="0"/>
                <w:bCs/>
                <w:color w:val="auto"/>
                <w:kern w:val="1"/>
                <w:sz w:val="24"/>
                <w:szCs w:val="24"/>
                <w:highlight w:val="none"/>
                <w:lang w:val="en-US" w:eastAsia="zh-CN"/>
              </w:rPr>
              <w:t>金额（元）</w:t>
            </w:r>
          </w:p>
        </w:tc>
      </w:tr>
      <w:tr w14:paraId="0FD21CAE">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11F4099C">
            <w:pPr>
              <w:spacing w:line="300" w:lineRule="exact"/>
              <w:jc w:val="center"/>
              <w:rPr>
                <w:rFonts w:hint="eastAsia"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总勘察费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24FFFD73">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b/>
                <w:bCs/>
                <w:i w:val="0"/>
                <w:iCs w:val="0"/>
                <w:color w:val="auto"/>
                <w:kern w:val="0"/>
                <w:sz w:val="26"/>
                <w:szCs w:val="26"/>
                <w:highlight w:val="none"/>
                <w:u w:val="none"/>
                <w:lang w:val="en-US" w:eastAsia="zh-CN" w:bidi="ar"/>
              </w:rPr>
              <w:t>2087900</w:t>
            </w:r>
            <w:r>
              <w:rPr>
                <w:rFonts w:hint="eastAsia" w:ascii="宋体" w:hAnsi="宋体" w:cs="宋体"/>
                <w:b/>
                <w:bCs/>
                <w:i w:val="0"/>
                <w:iCs w:val="0"/>
                <w:color w:val="auto"/>
                <w:kern w:val="0"/>
                <w:sz w:val="26"/>
                <w:szCs w:val="26"/>
                <w:highlight w:val="none"/>
                <w:u w:val="none"/>
                <w:lang w:val="en-US" w:eastAsia="zh-CN" w:bidi="ar"/>
              </w:rPr>
              <w:t>.00</w:t>
            </w:r>
          </w:p>
        </w:tc>
      </w:tr>
      <w:tr w14:paraId="7C442A4A">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4DBC20DB">
            <w:pPr>
              <w:spacing w:line="300" w:lineRule="exact"/>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一期勘察费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4A99E72D">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934100</w:t>
            </w:r>
            <w:r>
              <w:rPr>
                <w:rFonts w:hint="eastAsia" w:ascii="宋体" w:hAnsi="宋体" w:cs="宋体"/>
                <w:i w:val="0"/>
                <w:iCs w:val="0"/>
                <w:color w:val="auto"/>
                <w:kern w:val="0"/>
                <w:sz w:val="24"/>
                <w:szCs w:val="24"/>
                <w:highlight w:val="none"/>
                <w:u w:val="none"/>
                <w:lang w:val="en-US" w:eastAsia="zh-CN" w:bidi="ar"/>
              </w:rPr>
              <w:t>.00</w:t>
            </w:r>
          </w:p>
        </w:tc>
      </w:tr>
      <w:tr w14:paraId="45454BF9">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3EE061A7">
            <w:pPr>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二期勘察费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78BA851D">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670100</w:t>
            </w:r>
            <w:r>
              <w:rPr>
                <w:rFonts w:hint="eastAsia" w:ascii="宋体" w:hAnsi="宋体" w:cs="宋体"/>
                <w:i w:val="0"/>
                <w:iCs w:val="0"/>
                <w:color w:val="auto"/>
                <w:kern w:val="0"/>
                <w:sz w:val="24"/>
                <w:szCs w:val="24"/>
                <w:highlight w:val="none"/>
                <w:u w:val="none"/>
                <w:lang w:val="en-US" w:eastAsia="zh-CN" w:bidi="ar"/>
              </w:rPr>
              <w:t>.00</w:t>
            </w:r>
          </w:p>
        </w:tc>
      </w:tr>
      <w:tr w14:paraId="43C2F36B">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7D1BCE7F">
            <w:pPr>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三期勘察费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6EFD0963">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483700</w:t>
            </w:r>
            <w:r>
              <w:rPr>
                <w:rFonts w:hint="eastAsia" w:ascii="宋体" w:hAnsi="宋体" w:cs="宋体"/>
                <w:i w:val="0"/>
                <w:iCs w:val="0"/>
                <w:color w:val="auto"/>
                <w:kern w:val="0"/>
                <w:sz w:val="24"/>
                <w:szCs w:val="24"/>
                <w:highlight w:val="none"/>
                <w:u w:val="none"/>
                <w:lang w:val="en-US" w:eastAsia="zh-CN" w:bidi="ar"/>
              </w:rPr>
              <w:t>.00</w:t>
            </w:r>
          </w:p>
        </w:tc>
      </w:tr>
      <w:tr w14:paraId="3697A2F0">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4BD0A42A">
            <w:pPr>
              <w:spacing w:line="300" w:lineRule="exact"/>
              <w:jc w:val="center"/>
              <w:rPr>
                <w:rFonts w:ascii="宋体" w:hAnsi="宋体" w:cs="宋体"/>
                <w:b w:val="0"/>
                <w:bCs/>
                <w:color w:val="auto"/>
                <w:kern w:val="1"/>
                <w:sz w:val="24"/>
                <w:szCs w:val="24"/>
                <w:highlight w:val="none"/>
                <w:lang w:val="zh-CN"/>
              </w:rPr>
            </w:pPr>
            <w:r>
              <w:rPr>
                <w:rFonts w:hint="eastAsia" w:ascii="宋体" w:hAnsi="宋体" w:cs="宋体"/>
                <w:b w:val="0"/>
                <w:bCs/>
                <w:color w:val="auto"/>
                <w:kern w:val="1"/>
                <w:sz w:val="24"/>
                <w:szCs w:val="24"/>
                <w:highlight w:val="none"/>
              </w:rPr>
              <w:t>总设计费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4B2E4D25">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b/>
                <w:bCs/>
                <w:i w:val="0"/>
                <w:iCs w:val="0"/>
                <w:color w:val="auto"/>
                <w:kern w:val="0"/>
                <w:sz w:val="26"/>
                <w:szCs w:val="26"/>
                <w:highlight w:val="none"/>
                <w:u w:val="none"/>
                <w:lang w:val="en-US" w:eastAsia="zh-CN" w:bidi="ar"/>
              </w:rPr>
              <w:t>11747400</w:t>
            </w:r>
            <w:r>
              <w:rPr>
                <w:rFonts w:hint="eastAsia" w:ascii="宋体" w:hAnsi="宋体" w:cs="宋体"/>
                <w:b/>
                <w:bCs/>
                <w:i w:val="0"/>
                <w:iCs w:val="0"/>
                <w:color w:val="auto"/>
                <w:kern w:val="0"/>
                <w:sz w:val="26"/>
                <w:szCs w:val="26"/>
                <w:highlight w:val="none"/>
                <w:u w:val="none"/>
                <w:lang w:val="en-US" w:eastAsia="zh-CN" w:bidi="ar"/>
              </w:rPr>
              <w:t>.00</w:t>
            </w:r>
          </w:p>
        </w:tc>
      </w:tr>
      <w:tr w14:paraId="76134046">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037D3FD9">
            <w:pPr>
              <w:spacing w:line="300" w:lineRule="exact"/>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一期设计费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1B64125F">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5254800</w:t>
            </w:r>
            <w:r>
              <w:rPr>
                <w:rFonts w:hint="eastAsia" w:ascii="宋体" w:hAnsi="宋体" w:cs="宋体"/>
                <w:i w:val="0"/>
                <w:iCs w:val="0"/>
                <w:color w:val="auto"/>
                <w:kern w:val="0"/>
                <w:sz w:val="24"/>
                <w:szCs w:val="24"/>
                <w:highlight w:val="none"/>
                <w:u w:val="none"/>
                <w:lang w:val="en-US" w:eastAsia="zh-CN" w:bidi="ar"/>
              </w:rPr>
              <w:t>.00</w:t>
            </w:r>
          </w:p>
        </w:tc>
      </w:tr>
      <w:tr w14:paraId="21502329">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08E90291">
            <w:pPr>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二期设计费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4717BBEE">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3769900</w:t>
            </w:r>
            <w:r>
              <w:rPr>
                <w:rFonts w:hint="eastAsia" w:ascii="宋体" w:hAnsi="宋体" w:cs="宋体"/>
                <w:i w:val="0"/>
                <w:iCs w:val="0"/>
                <w:color w:val="auto"/>
                <w:kern w:val="0"/>
                <w:sz w:val="24"/>
                <w:szCs w:val="24"/>
                <w:highlight w:val="none"/>
                <w:u w:val="none"/>
                <w:lang w:val="en-US" w:eastAsia="zh-CN" w:bidi="ar"/>
              </w:rPr>
              <w:t>.00</w:t>
            </w:r>
          </w:p>
        </w:tc>
      </w:tr>
      <w:tr w14:paraId="653831AD">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17F38372">
            <w:pPr>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三期设计费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5C472AAD">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2722700</w:t>
            </w:r>
            <w:r>
              <w:rPr>
                <w:rFonts w:hint="eastAsia" w:ascii="宋体" w:hAnsi="宋体" w:cs="宋体"/>
                <w:i w:val="0"/>
                <w:iCs w:val="0"/>
                <w:color w:val="auto"/>
                <w:kern w:val="0"/>
                <w:sz w:val="24"/>
                <w:szCs w:val="24"/>
                <w:highlight w:val="none"/>
                <w:u w:val="none"/>
                <w:lang w:val="en-US" w:eastAsia="zh-CN" w:bidi="ar"/>
              </w:rPr>
              <w:t>.00</w:t>
            </w:r>
          </w:p>
        </w:tc>
      </w:tr>
      <w:tr w14:paraId="43A34F12">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08D6D1E5">
            <w:pPr>
              <w:spacing w:line="300" w:lineRule="exact"/>
              <w:jc w:val="center"/>
              <w:rPr>
                <w:rFonts w:ascii="宋体" w:hAnsi="宋体" w:cs="宋体"/>
                <w:b w:val="0"/>
                <w:bCs/>
                <w:color w:val="auto"/>
                <w:kern w:val="1"/>
                <w:sz w:val="24"/>
                <w:szCs w:val="24"/>
                <w:highlight w:val="none"/>
                <w:lang w:val="zh-CN"/>
              </w:rPr>
            </w:pPr>
            <w:r>
              <w:rPr>
                <w:rFonts w:hint="eastAsia" w:ascii="宋体" w:hAnsi="宋体" w:cs="宋体"/>
                <w:b w:val="0"/>
                <w:bCs/>
                <w:color w:val="auto"/>
                <w:kern w:val="1"/>
                <w:sz w:val="24"/>
                <w:szCs w:val="24"/>
                <w:highlight w:val="none"/>
              </w:rPr>
              <w:t>总</w:t>
            </w:r>
            <w:r>
              <w:rPr>
                <w:rFonts w:ascii="宋体" w:hAnsi="宋体" w:cs="宋体"/>
                <w:b w:val="0"/>
                <w:bCs/>
                <w:color w:val="auto"/>
                <w:kern w:val="1"/>
                <w:sz w:val="24"/>
                <w:szCs w:val="24"/>
                <w:highlight w:val="none"/>
              </w:rPr>
              <w:t>建安工程</w:t>
            </w:r>
            <w:r>
              <w:rPr>
                <w:rFonts w:ascii="宋体" w:hAnsi="宋体" w:cs="宋体"/>
                <w:b w:val="0"/>
                <w:bCs/>
                <w:color w:val="auto"/>
                <w:kern w:val="1"/>
                <w:sz w:val="24"/>
                <w:szCs w:val="24"/>
                <w:highlight w:val="none"/>
                <w:lang w:val="zh-CN"/>
              </w:rPr>
              <w:t>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6F5E7440">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b/>
                <w:bCs/>
                <w:i w:val="0"/>
                <w:iCs w:val="0"/>
                <w:color w:val="auto"/>
                <w:kern w:val="0"/>
                <w:sz w:val="26"/>
                <w:szCs w:val="26"/>
                <w:highlight w:val="none"/>
                <w:u w:val="none"/>
                <w:lang w:val="en-US" w:eastAsia="zh-CN" w:bidi="ar"/>
              </w:rPr>
              <w:t>527467700</w:t>
            </w:r>
            <w:r>
              <w:rPr>
                <w:rFonts w:hint="eastAsia" w:ascii="宋体" w:hAnsi="宋体" w:cs="宋体"/>
                <w:b/>
                <w:bCs/>
                <w:i w:val="0"/>
                <w:iCs w:val="0"/>
                <w:color w:val="auto"/>
                <w:kern w:val="0"/>
                <w:sz w:val="26"/>
                <w:szCs w:val="26"/>
                <w:highlight w:val="none"/>
                <w:u w:val="none"/>
                <w:lang w:val="en-US" w:eastAsia="zh-CN" w:bidi="ar"/>
              </w:rPr>
              <w:t>.00</w:t>
            </w:r>
          </w:p>
        </w:tc>
      </w:tr>
      <w:tr w14:paraId="18A4E86D">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7C9F0A5D">
            <w:pPr>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一期</w:t>
            </w:r>
            <w:r>
              <w:rPr>
                <w:rFonts w:ascii="宋体" w:hAnsi="宋体" w:cs="宋体"/>
                <w:b w:val="0"/>
                <w:bCs/>
                <w:color w:val="auto"/>
                <w:kern w:val="1"/>
                <w:sz w:val="24"/>
                <w:szCs w:val="24"/>
                <w:highlight w:val="none"/>
              </w:rPr>
              <w:t>建安工程</w:t>
            </w:r>
            <w:r>
              <w:rPr>
                <w:rFonts w:ascii="宋体" w:hAnsi="宋体" w:cs="宋体"/>
                <w:b w:val="0"/>
                <w:bCs/>
                <w:color w:val="auto"/>
                <w:kern w:val="1"/>
                <w:sz w:val="24"/>
                <w:szCs w:val="24"/>
                <w:highlight w:val="none"/>
                <w:lang w:val="zh-CN"/>
              </w:rPr>
              <w:t>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4B3EC516">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237654900</w:t>
            </w:r>
            <w:r>
              <w:rPr>
                <w:rFonts w:hint="eastAsia" w:ascii="宋体" w:hAnsi="宋体" w:cs="宋体"/>
                <w:i w:val="0"/>
                <w:iCs w:val="0"/>
                <w:color w:val="auto"/>
                <w:kern w:val="0"/>
                <w:sz w:val="24"/>
                <w:szCs w:val="24"/>
                <w:highlight w:val="none"/>
                <w:u w:val="none"/>
                <w:lang w:val="en-US" w:eastAsia="zh-CN" w:bidi="ar"/>
              </w:rPr>
              <w:t>.00</w:t>
            </w:r>
          </w:p>
        </w:tc>
      </w:tr>
      <w:tr w14:paraId="2C682877">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7282C5FB">
            <w:pPr>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二期</w:t>
            </w:r>
            <w:r>
              <w:rPr>
                <w:rFonts w:ascii="宋体" w:hAnsi="宋体" w:cs="宋体"/>
                <w:b w:val="0"/>
                <w:bCs/>
                <w:color w:val="auto"/>
                <w:kern w:val="1"/>
                <w:sz w:val="24"/>
                <w:szCs w:val="24"/>
                <w:highlight w:val="none"/>
              </w:rPr>
              <w:t>建安工程</w:t>
            </w:r>
            <w:r>
              <w:rPr>
                <w:rFonts w:ascii="宋体" w:hAnsi="宋体" w:cs="宋体"/>
                <w:b w:val="0"/>
                <w:bCs/>
                <w:color w:val="auto"/>
                <w:kern w:val="1"/>
                <w:sz w:val="24"/>
                <w:szCs w:val="24"/>
                <w:highlight w:val="none"/>
                <w:lang w:val="zh-CN"/>
              </w:rPr>
              <w:t>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68BA8CEB">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168010300</w:t>
            </w:r>
            <w:r>
              <w:rPr>
                <w:rFonts w:hint="eastAsia" w:ascii="宋体" w:hAnsi="宋体" w:cs="宋体"/>
                <w:i w:val="0"/>
                <w:iCs w:val="0"/>
                <w:color w:val="auto"/>
                <w:kern w:val="0"/>
                <w:sz w:val="24"/>
                <w:szCs w:val="24"/>
                <w:highlight w:val="none"/>
                <w:u w:val="none"/>
                <w:lang w:val="en-US" w:eastAsia="zh-CN" w:bidi="ar"/>
              </w:rPr>
              <w:t>.00</w:t>
            </w:r>
          </w:p>
        </w:tc>
      </w:tr>
      <w:tr w14:paraId="2C4714C2">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54651718">
            <w:pPr>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三期</w:t>
            </w:r>
            <w:r>
              <w:rPr>
                <w:rFonts w:ascii="宋体" w:hAnsi="宋体" w:cs="宋体"/>
                <w:b w:val="0"/>
                <w:bCs/>
                <w:color w:val="auto"/>
                <w:kern w:val="1"/>
                <w:sz w:val="24"/>
                <w:szCs w:val="24"/>
                <w:highlight w:val="none"/>
              </w:rPr>
              <w:t>建安工程</w:t>
            </w:r>
            <w:r>
              <w:rPr>
                <w:rFonts w:ascii="宋体" w:hAnsi="宋体" w:cs="宋体"/>
                <w:b w:val="0"/>
                <w:bCs/>
                <w:color w:val="auto"/>
                <w:kern w:val="1"/>
                <w:sz w:val="24"/>
                <w:szCs w:val="24"/>
                <w:highlight w:val="none"/>
                <w:lang w:val="zh-CN"/>
              </w:rPr>
              <w:t>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05B988A4">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121802500</w:t>
            </w:r>
            <w:r>
              <w:rPr>
                <w:rFonts w:hint="eastAsia" w:ascii="宋体" w:hAnsi="宋体" w:cs="宋体"/>
                <w:i w:val="0"/>
                <w:iCs w:val="0"/>
                <w:color w:val="auto"/>
                <w:kern w:val="0"/>
                <w:sz w:val="24"/>
                <w:szCs w:val="24"/>
                <w:highlight w:val="none"/>
                <w:u w:val="none"/>
                <w:lang w:val="en-US" w:eastAsia="zh-CN" w:bidi="ar"/>
              </w:rPr>
              <w:t>.00</w:t>
            </w:r>
          </w:p>
        </w:tc>
      </w:tr>
    </w:tbl>
    <w:p w14:paraId="4CFC972E">
      <w:pPr>
        <w:pStyle w:val="9"/>
        <w:rPr>
          <w:rFonts w:hint="default"/>
          <w:color w:val="auto"/>
          <w:highlight w:val="none"/>
          <w:lang w:val="en-US" w:eastAsia="zh-CN"/>
        </w:rPr>
      </w:pPr>
    </w:p>
    <w:p w14:paraId="36753A94">
      <w:pPr>
        <w:pStyle w:val="11"/>
        <w:spacing w:line="360" w:lineRule="auto"/>
        <w:ind w:firstLine="480" w:firstLineChars="200"/>
        <w:rPr>
          <w:rFonts w:hAnsi="宋体" w:cs="宋体"/>
          <w:color w:val="auto"/>
          <w:highlight w:val="none"/>
        </w:rPr>
      </w:pPr>
      <w:r>
        <w:rPr>
          <w:rFonts w:hint="eastAsia" w:hAnsi="宋体" w:cs="宋体"/>
          <w:color w:val="auto"/>
          <w:sz w:val="24"/>
          <w:szCs w:val="24"/>
          <w:highlight w:val="none"/>
          <w:u w:val="single"/>
        </w:rPr>
        <w:t>注：投标人未按要求报价或投标报价（含总投标报价、总勘察费</w:t>
      </w:r>
      <w:r>
        <w:rPr>
          <w:rFonts w:hint="eastAsia" w:hAnsi="宋体" w:cs="宋体"/>
          <w:color w:val="auto"/>
          <w:sz w:val="24"/>
          <w:szCs w:val="24"/>
          <w:highlight w:val="none"/>
          <w:u w:val="single"/>
          <w:lang w:val="en-US" w:eastAsia="zh-CN"/>
        </w:rPr>
        <w:t>及每期</w:t>
      </w:r>
      <w:r>
        <w:rPr>
          <w:rFonts w:hint="eastAsia" w:hAnsi="宋体" w:cs="宋体"/>
          <w:color w:val="auto"/>
          <w:sz w:val="24"/>
          <w:szCs w:val="24"/>
          <w:highlight w:val="none"/>
          <w:u w:val="single"/>
        </w:rPr>
        <w:t>勘察费投标报价、总设计费</w:t>
      </w:r>
      <w:r>
        <w:rPr>
          <w:rFonts w:hint="eastAsia" w:hAnsi="宋体" w:cs="宋体"/>
          <w:color w:val="auto"/>
          <w:sz w:val="24"/>
          <w:szCs w:val="24"/>
          <w:highlight w:val="none"/>
          <w:u w:val="single"/>
          <w:lang w:val="en-US" w:eastAsia="zh-CN"/>
        </w:rPr>
        <w:t>及每期设计</w:t>
      </w:r>
      <w:r>
        <w:rPr>
          <w:rFonts w:hint="eastAsia" w:hAnsi="宋体" w:cs="宋体"/>
          <w:color w:val="auto"/>
          <w:sz w:val="24"/>
          <w:szCs w:val="24"/>
          <w:highlight w:val="none"/>
          <w:u w:val="single"/>
        </w:rPr>
        <w:t>费投标报价、总建安工程费</w:t>
      </w:r>
      <w:r>
        <w:rPr>
          <w:rFonts w:hint="eastAsia" w:hAnsi="宋体" w:cs="宋体"/>
          <w:color w:val="auto"/>
          <w:sz w:val="24"/>
          <w:szCs w:val="24"/>
          <w:highlight w:val="none"/>
          <w:u w:val="single"/>
          <w:lang w:val="en-US" w:eastAsia="zh-CN"/>
        </w:rPr>
        <w:t>及每期建安工程</w:t>
      </w:r>
      <w:r>
        <w:rPr>
          <w:rFonts w:hint="eastAsia" w:hAnsi="宋体" w:cs="宋体"/>
          <w:color w:val="auto"/>
          <w:sz w:val="24"/>
          <w:szCs w:val="24"/>
          <w:highlight w:val="none"/>
          <w:u w:val="single"/>
        </w:rPr>
        <w:t>费投标报价）超过上述相应最高投标限价的为无效标。</w:t>
      </w:r>
    </w:p>
    <w:p w14:paraId="00D0770B">
      <w:pPr>
        <w:spacing w:line="560" w:lineRule="exact"/>
        <w:jc w:val="center"/>
        <w:rPr>
          <w:color w:val="auto"/>
          <w:highlight w:val="none"/>
        </w:rPr>
      </w:pPr>
    </w:p>
    <w:p w14:paraId="05810056">
      <w:pPr>
        <w:rPr>
          <w:rFonts w:hint="default" w:eastAsia="宋体" w:cs="宋体"/>
          <w:b/>
          <w:color w:val="auto"/>
          <w:kern w:val="1"/>
          <w:sz w:val="24"/>
          <w:highlight w:val="none"/>
          <w:lang w:val="en-US" w:eastAsia="zh-CN"/>
        </w:rPr>
      </w:pPr>
    </w:p>
    <w:p w14:paraId="73C04AA7"/>
    <w:sectPr>
      <w:pgSz w:w="11907" w:h="16840"/>
      <w:pgMar w:top="1361" w:right="1304" w:bottom="1304" w:left="130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AD776">
    <w:pPr>
      <w:pStyle w:val="12"/>
      <w:tabs>
        <w:tab w:val="clear" w:pos="4153"/>
        <w:tab w:val="clear" w:pos="8306"/>
      </w:tabs>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292100" cy="191770"/>
              <wp:effectExtent l="0" t="0" r="0" b="0"/>
              <wp:wrapNone/>
              <wp:docPr id="4" name="4098"/>
              <wp:cNvGraphicFramePr/>
              <a:graphic xmlns:a="http://schemas.openxmlformats.org/drawingml/2006/main">
                <a:graphicData uri="http://schemas.microsoft.com/office/word/2010/wordprocessingShape">
                  <wps:wsp>
                    <wps:cNvSpPr txBox="1"/>
                    <wps:spPr>
                      <a:xfrm>
                        <a:off x="0" y="0"/>
                        <a:ext cx="292100" cy="191770"/>
                      </a:xfrm>
                      <a:prstGeom prst="rect">
                        <a:avLst/>
                      </a:prstGeom>
                      <a:noFill/>
                      <a:ln>
                        <a:noFill/>
                      </a:ln>
                    </wps:spPr>
                    <wps:txbx>
                      <w:txbxContent>
                        <w:p w14:paraId="0FD96628">
                          <w:pPr>
                            <w:pStyle w:val="12"/>
                          </w:pPr>
                          <w:r>
                            <w:fldChar w:fldCharType="begin"/>
                          </w:r>
                          <w:r>
                            <w:instrText xml:space="preserve"> PAGE \* Arabic </w:instrText>
                          </w:r>
                          <w:r>
                            <w:fldChar w:fldCharType="separate"/>
                          </w:r>
                          <w:r>
                            <w:t>17</w:t>
                          </w:r>
                          <w:r>
                            <w:fldChar w:fldCharType="end"/>
                          </w:r>
                        </w:p>
                      </w:txbxContent>
                    </wps:txbx>
                    <wps:bodyPr lIns="0" tIns="0" rIns="0" bIns="0" upright="1"/>
                  </wps:wsp>
                </a:graphicData>
              </a:graphic>
            </wp:anchor>
          </w:drawing>
        </mc:Choice>
        <mc:Fallback>
          <w:pict>
            <v:shape id="4098" o:spid="_x0000_s1026" o:spt="202" type="#_x0000_t202" style="position:absolute;left:0pt;margin-top:0pt;height:15.1pt;width:23pt;mso-position-horizontal:center;mso-position-horizontal-relative:margin;z-index:251661312;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fx2pr0wAAAAMBAAAPAAAA&#10;AAAAAAEAIAAAACIAAABkcnMvZG93bnJldi54bWxQSwECFAAUAAAACACHTuJArdAwBqgBAABqAwAA&#10;DgAAAAAAAAABACAAAAAiAQAAZHJzL2Uyb0RvYy54bWxQSwUGAAAAAAYABgBZAQAAPAUAAAAA&#10;">
              <v:fill on="f" focussize="0,0"/>
              <v:stroke on="f"/>
              <v:imagedata o:title=""/>
              <o:lock v:ext="edit" aspectratio="f"/>
              <v:textbox inset="0mm,0mm,0mm,0mm">
                <w:txbxContent>
                  <w:p w14:paraId="0FD96628">
                    <w:pPr>
                      <w:pStyle w:val="12"/>
                    </w:pPr>
                    <w:r>
                      <w:fldChar w:fldCharType="begin"/>
                    </w:r>
                    <w:r>
                      <w:instrText xml:space="preserve"> PAGE \* Arabic </w:instrText>
                    </w:r>
                    <w:r>
                      <w:fldChar w:fldCharType="separate"/>
                    </w:r>
                    <w:r>
                      <w:t>17</w:t>
                    </w:r>
                    <w: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DD49D">
    <w:pPr>
      <w:pStyle w:val="12"/>
      <w:tabs>
        <w:tab w:val="clear" w:pos="4153"/>
        <w:tab w:val="clear" w:pos="8306"/>
      </w:tabs>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4099"/>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10D293DA">
                          <w:pPr>
                            <w:pStyle w:val="12"/>
                          </w:pPr>
                          <w:r>
                            <w:fldChar w:fldCharType="begin"/>
                          </w:r>
                          <w:r>
                            <w:instrText xml:space="preserve"> PAGE \* Arabic </w:instrText>
                          </w:r>
                          <w:r>
                            <w:fldChar w:fldCharType="separate"/>
                          </w:r>
                          <w:r>
                            <w:t>29</w:t>
                          </w:r>
                          <w:r>
                            <w:fldChar w:fldCharType="end"/>
                          </w:r>
                        </w:p>
                      </w:txbxContent>
                    </wps:txbx>
                    <wps:bodyPr wrap="none" lIns="0" tIns="0" rIns="0" bIns="0" upright="1">
                      <a:spAutoFit/>
                    </wps:bodyPr>
                  </wps:wsp>
                </a:graphicData>
              </a:graphic>
            </wp:anchor>
          </w:drawing>
        </mc:Choice>
        <mc:Fallback>
          <w:pict>
            <v:shape id="4099"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ulhTQAAAAAwEAAA8AAAAAAAAAAQAgAAAAIgAAAGRycy9kb3ducmV2LnhtbFBLAQIUABQAAAAI&#10;AIdO4kAjTn22vAEAAJADAAAOAAAAAAAAAAEAIAAAAB8BAABkcnMvZTJvRG9jLnhtbFBLBQYAAAAA&#10;BgAGAFkBAABNBQAAAAA=&#10;">
              <v:fill on="f" focussize="0,0"/>
              <v:stroke on="f"/>
              <v:imagedata o:title=""/>
              <o:lock v:ext="edit" aspectratio="f"/>
              <v:textbox inset="0mm,0mm,0mm,0mm" style="mso-fit-shape-to-text:t;">
                <w:txbxContent>
                  <w:p w14:paraId="10D293DA">
                    <w:pPr>
                      <w:pStyle w:val="12"/>
                    </w:pPr>
                    <w:r>
                      <w:fldChar w:fldCharType="begin"/>
                    </w:r>
                    <w:r>
                      <w:instrText xml:space="preserve"> PAGE \* Arabic </w:instrText>
                    </w:r>
                    <w:r>
                      <w:fldChar w:fldCharType="separate"/>
                    </w:r>
                    <w:r>
                      <w:t>29</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98B5E">
    <w:pPr>
      <w:pStyle w:val="13"/>
      <w:pBdr>
        <w:bottom w:val="none" w:color="auto" w:sz="0" w:space="0"/>
      </w:pBdr>
      <w:jc w:val="both"/>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4100"/>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72B8C30E">
                          <w:pPr>
                            <w:pStyle w:val="12"/>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4100"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i6WFNAAAAADAQAADwAAAAAAAAABACAAAAAiAAAAZHJzL2Rvd25yZXYueG1sUEsBAhQAFAAAAAgA&#10;h07iQFn3i4e7AQAAkAMAAA4AAAAAAAAAAQAgAAAAHwEAAGRycy9lMm9Eb2MueG1sUEsFBgAAAAAG&#10;AAYAWQEAAEwFAAAAAA==&#10;">
              <v:fill on="f" focussize="0,0"/>
              <v:stroke on="f"/>
              <v:imagedata o:title=""/>
              <o:lock v:ext="edit" aspectratio="f"/>
              <v:textbox inset="0mm,0mm,0mm,0mm" style="mso-fit-shape-to-text:t;">
                <w:txbxContent>
                  <w:p w14:paraId="72B8C30E">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7335A">
    <w:pPr>
      <w:pStyle w:val="13"/>
      <w:pBdr>
        <w:bottom w:val="none" w:color="auto" w:sz="0" w:space="0"/>
      </w:pBdr>
      <w:jc w:val="both"/>
    </w:pPr>
    <w: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7" name="410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4A4AB956">
                          <w:pPr>
                            <w:pStyle w:val="12"/>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4101"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ulhTQAAAAAwEAAA8AAAAAAAAAAQAgAAAAIgAAAGRycy9kb3ducmV2LnhtbFBLAQIUABQAAAAI&#10;AIdO4kCNhaTKvAEAAJADAAAOAAAAAAAAAAEAIAAAAB8BAABkcnMvZTJvRG9jLnhtbFBLBQYAAAAA&#10;BgAGAFkBAABNBQAAAAA=&#10;">
              <v:fill on="f" focussize="0,0"/>
              <v:stroke on="f"/>
              <v:imagedata o:title=""/>
              <o:lock v:ext="edit" aspectratio="f"/>
              <v:textbox inset="0mm,0mm,0mm,0mm" style="mso-fit-shape-to-text:t;">
                <w:txbxContent>
                  <w:p w14:paraId="4A4AB956">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AFE69">
    <w:pPr>
      <w:pStyle w:val="13"/>
      <w:pBdr>
        <w:bottom w:val="none" w:color="auto" w:sz="0" w:space="0"/>
      </w:pBdr>
      <w:jc w:val="both"/>
    </w:pPr>
    <w: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4102"/>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051CD958">
                          <w:pPr>
                            <w:pStyle w:val="12"/>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4102"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ulhTQAAAAAwEAAA8AAAAAAAAAAQAgAAAAIgAAAGRycy9kb3ducmV2LnhtbFBLAQIUABQAAAAI&#10;AIdO4kCSz+YmvAEAAJADAAAOAAAAAAAAAAEAIAAAAB8BAABkcnMvZTJvRG9jLnhtbFBLBQYAAAAA&#10;BgAGAFkBAABNBQAAAAA=&#10;">
              <v:fill on="f" focussize="0,0"/>
              <v:stroke on="f"/>
              <v:imagedata o:title=""/>
              <o:lock v:ext="edit" aspectratio="f"/>
              <v:textbox inset="0mm,0mm,0mm,0mm" style="mso-fit-shape-to-text:t;">
                <w:txbxContent>
                  <w:p w14:paraId="051CD958">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A259">
    <w:pPr>
      <w:pStyle w:val="13"/>
      <w:pBdr>
        <w:bottom w:val="none" w:color="auto" w:sz="0" w:space="0"/>
      </w:pBdr>
      <w:jc w:val="both"/>
    </w:pPr>
    <w: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4103"/>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26DDE176">
                          <w:pPr>
                            <w:pStyle w:val="12"/>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4103"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ulhTQAAAAAwEAAA8AAAAAAAAAAQAgAAAAIgAAAGRycy9kb3ducmV2LnhtbFBLAQIUABQAAAAI&#10;AIdO4kBGvclrvAEAAJADAAAOAAAAAAAAAAEAIAAAAB8BAABkcnMvZTJvRG9jLnhtbFBLBQYAAAAA&#10;BgAGAFkBAABNBQAAAAA=&#10;">
              <v:fill on="f" focussize="0,0"/>
              <v:stroke on="f"/>
              <v:imagedata o:title=""/>
              <o:lock v:ext="edit" aspectratio="f"/>
              <v:textbox inset="0mm,0mm,0mm,0mm" style="mso-fit-shape-to-text:t;">
                <w:txbxContent>
                  <w:p w14:paraId="26DDE176">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68C8">
    <w:pPr>
      <w:pStyle w:val="13"/>
      <w:pBdr>
        <w:bottom w:val="none" w:color="auto" w:sz="0" w:space="0"/>
      </w:pBdr>
      <w:jc w:val="both"/>
    </w:pPr>
    <w: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4104"/>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0E39182D">
                          <w:pPr>
                            <w:pStyle w:val="12"/>
                          </w:pPr>
                          <w:r>
                            <w:fldChar w:fldCharType="begin"/>
                          </w:r>
                          <w:r>
                            <w:instrText xml:space="preserve"> PAGE  \* MERGEFORMAT </w:instrText>
                          </w:r>
                          <w:r>
                            <w:fldChar w:fldCharType="separate"/>
                          </w:r>
                          <w:r>
                            <w:t>62</w:t>
                          </w:r>
                          <w:r>
                            <w:fldChar w:fldCharType="end"/>
                          </w:r>
                        </w:p>
                      </w:txbxContent>
                    </wps:txbx>
                    <wps:bodyPr wrap="none" lIns="0" tIns="0" rIns="0" bIns="0" upright="1">
                      <a:spAutoFit/>
                    </wps:bodyPr>
                  </wps:wsp>
                </a:graphicData>
              </a:graphic>
            </wp:anchor>
          </w:drawing>
        </mc:Choice>
        <mc:Fallback>
          <w:pict>
            <v:shape id="4104" o:spid="_x0000_s1026" o:spt="202" type="#_x0000_t202" style="position:absolute;left:0pt;margin-top:0pt;height:11pt;width:9.15pt;mso-position-horizontal:center;mso-position-horizontal-relative:margin;mso-wrap-style:none;z-index:25166745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ulhTQAAAAAwEAAA8AAAAAAAAAAQAgAAAAIgAAAGRycy9kb3ducmV2LnhtbFBLAQIUABQAAAAI&#10;AIdO4kBdLhzFvAEAAJEDAAAOAAAAAAAAAAEAIAAAAB8BAABkcnMvZTJvRG9jLnhtbFBLBQYAAAAA&#10;BgAGAFkBAABNBQAAAAA=&#10;">
              <v:fill on="f" focussize="0,0"/>
              <v:stroke on="f"/>
              <v:imagedata o:title=""/>
              <o:lock v:ext="edit" aspectratio="f"/>
              <v:textbox inset="0mm,0mm,0mm,0mm" style="mso-fit-shape-to-text:t;">
                <w:txbxContent>
                  <w:p w14:paraId="0E39182D">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A539C">
    <w:pPr>
      <w:pStyle w:val="13"/>
      <w:pBdr>
        <w:bottom w:val="none" w:color="auto" w:sz="0" w:space="0"/>
      </w:pBdr>
      <w:jc w:val="both"/>
    </w:pPr>
    <w: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410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00F3BD72">
                          <w:pPr>
                            <w:pStyle w:val="12"/>
                          </w:pPr>
                          <w:r>
                            <w:fldChar w:fldCharType="begin"/>
                          </w:r>
                          <w:r>
                            <w:instrText xml:space="preserve"> PAGE  \* MERGEFORMAT </w:instrText>
                          </w:r>
                          <w:r>
                            <w:fldChar w:fldCharType="separate"/>
                          </w:r>
                          <w:r>
                            <w:t>69</w:t>
                          </w:r>
                          <w:r>
                            <w:fldChar w:fldCharType="end"/>
                          </w:r>
                        </w:p>
                      </w:txbxContent>
                    </wps:txbx>
                    <wps:bodyPr wrap="none" lIns="0" tIns="0" rIns="0" bIns="0" upright="1">
                      <a:spAutoFit/>
                    </wps:bodyPr>
                  </wps:wsp>
                </a:graphicData>
              </a:graphic>
            </wp:anchor>
          </w:drawing>
        </mc:Choice>
        <mc:Fallback>
          <w:pict>
            <v:shape id="4105" o:spid="_x0000_s1026" o:spt="202" type="#_x0000_t202" style="position:absolute;left:0pt;margin-top:0pt;height:11pt;width:9.15pt;mso-position-horizontal:center;mso-position-horizontal-relative:margin;mso-wrap-style:none;z-index:25166848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ulhTQAAAAAwEAAA8AAAAAAAAAAQAgAAAAIgAAAGRycy9kb3ducmV2LnhtbFBLAQIUABQAAAAI&#10;AIdO4kCJXDOIvAEAAJEDAAAOAAAAAAAAAAEAIAAAAB8BAABkcnMvZTJvRG9jLnhtbFBLBQYAAAAA&#10;BgAGAFkBAABNBQAAAAA=&#10;">
              <v:fill on="f" focussize="0,0"/>
              <v:stroke on="f"/>
              <v:imagedata o:title=""/>
              <o:lock v:ext="edit" aspectratio="f"/>
              <v:textbox inset="0mm,0mm,0mm,0mm" style="mso-fit-shape-to-text:t;">
                <w:txbxContent>
                  <w:p w14:paraId="00F3BD72">
                    <w:pPr>
                      <w:pStyle w:val="1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59A3C">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2C50">
    <w:pPr>
      <w:pStyle w:val="13"/>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6C8B">
    <w:pPr>
      <w:pStyle w:val="1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DEE4">
    <w:pPr>
      <w:pStyle w:val="13"/>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10B98">
    <w:pPr>
      <w:pStyle w:val="13"/>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CA9BB">
    <w:pPr>
      <w:pStyle w:val="13"/>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6BBD3">
    <w:pPr>
      <w:pStyle w:val="13"/>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FA98">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rPr>
        <w:rFonts w:hint="default"/>
        <w:color w:val="auto"/>
      </w:rPr>
    </w:lvl>
  </w:abstractNum>
  <w:abstractNum w:abstractNumId="1">
    <w:nsid w:val="00000002"/>
    <w:multiLevelType w:val="multilevel"/>
    <w:tmpl w:val="00000002"/>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00000003"/>
    <w:multiLevelType w:val="singleLevel"/>
    <w:tmpl w:val="00000003"/>
    <w:lvl w:ilvl="0" w:tentative="0">
      <w:start w:val="1"/>
      <w:numFmt w:val="decimal"/>
      <w:suff w:val="nothing"/>
      <w:lvlText w:val="格式%1："/>
      <w:lvlJc w:val="left"/>
      <w:pPr>
        <w:ind w:left="6521" w:firstLine="0"/>
      </w:pPr>
      <w:rPr>
        <w:rFonts w:hint="default" w:ascii="宋体" w:hAnsi="宋体" w:eastAsia="宋体" w:cs="宋体"/>
        <w:b/>
        <w:bCs/>
        <w:sz w:val="24"/>
        <w:szCs w:val="24"/>
      </w:rPr>
    </w:lvl>
  </w:abstractNum>
  <w:abstractNum w:abstractNumId="3">
    <w:nsid w:val="00000004"/>
    <w:multiLevelType w:val="multilevel"/>
    <w:tmpl w:val="0000000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5"/>
    <w:multiLevelType w:val="singleLevel"/>
    <w:tmpl w:val="00000005"/>
    <w:lvl w:ilvl="0" w:tentative="0">
      <w:start w:val="1"/>
      <w:numFmt w:val="chineseCounting"/>
      <w:suff w:val="space"/>
      <w:lvlText w:val="第%1部分"/>
      <w:lvlJc w:val="left"/>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63CA3"/>
    <w:rsid w:val="0BF317E2"/>
    <w:rsid w:val="0DF745E4"/>
    <w:rsid w:val="175F2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5">
    <w:name w:val="heading 3"/>
    <w:basedOn w:val="1"/>
    <w:next w:val="1"/>
    <w:qFormat/>
    <w:uiPriority w:val="0"/>
    <w:pPr>
      <w:keepNext/>
      <w:keepLines/>
      <w:spacing w:before="260" w:after="260" w:line="413" w:lineRule="auto"/>
      <w:ind w:firstLine="137"/>
      <w:outlineLvl w:val="2"/>
    </w:pPr>
    <w:rPr>
      <w:rFonts w:ascii="黑体" w:hAnsi="黑体" w:eastAsia="黑体" w:cs="Times New Roman"/>
      <w:sz w:val="28"/>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szCs w:val="21"/>
    </w:rPr>
  </w:style>
  <w:style w:type="paragraph" w:styleId="6">
    <w:name w:val="Note Heading"/>
    <w:basedOn w:val="1"/>
    <w:next w:val="1"/>
    <w:qFormat/>
    <w:uiPriority w:val="0"/>
    <w:pPr>
      <w:snapToGrid w:val="0"/>
      <w:spacing w:before="120" w:after="120" w:line="320" w:lineRule="exact"/>
      <w:ind w:firstLine="413" w:firstLineChars="200"/>
    </w:pPr>
    <w:rPr>
      <w:rFonts w:ascii="宋体" w:hAnsi="宋体"/>
      <w:b/>
    </w:rPr>
  </w:style>
  <w:style w:type="paragraph" w:styleId="7">
    <w:name w:val="annotation text"/>
    <w:basedOn w:val="1"/>
    <w:next w:val="1"/>
    <w:qFormat/>
    <w:uiPriority w:val="99"/>
    <w:pPr>
      <w:jc w:val="left"/>
    </w:pPr>
    <w:rPr>
      <w:sz w:val="20"/>
      <w:szCs w:val="24"/>
      <w:lang w:val="zh-CN"/>
    </w:rPr>
  </w:style>
  <w:style w:type="paragraph" w:styleId="8">
    <w:name w:val="Body Text 3"/>
    <w:basedOn w:val="1"/>
    <w:qFormat/>
    <w:uiPriority w:val="0"/>
    <w:rPr>
      <w:rFonts w:ascii="宋体" w:hAnsi="宋体" w:cs="宋体"/>
      <w:sz w:val="24"/>
      <w:szCs w:val="20"/>
    </w:rPr>
  </w:style>
  <w:style w:type="paragraph" w:styleId="9">
    <w:name w:val="Body Text"/>
    <w:basedOn w:val="1"/>
    <w:qFormat/>
    <w:uiPriority w:val="0"/>
    <w:pPr>
      <w:spacing w:after="120"/>
    </w:pPr>
    <w:rPr>
      <w:rFonts w:cs="Times New Roman"/>
      <w:kern w:val="1"/>
    </w:rPr>
  </w:style>
  <w:style w:type="paragraph" w:styleId="10">
    <w:name w:val="toc 3"/>
    <w:basedOn w:val="1"/>
    <w:next w:val="1"/>
    <w:qFormat/>
    <w:uiPriority w:val="0"/>
    <w:pPr>
      <w:ind w:left="840" w:leftChars="400"/>
    </w:pPr>
  </w:style>
  <w:style w:type="paragraph" w:styleId="11">
    <w:name w:val="Plain Text"/>
    <w:basedOn w:val="1"/>
    <w:next w:val="1"/>
    <w:qFormat/>
    <w:uiPriority w:val="0"/>
    <w:rPr>
      <w:rFonts w:ascii="宋体" w:hAnsi="宋体" w:cs="Times New Roman"/>
      <w:sz w:val="20"/>
      <w:szCs w:val="20"/>
      <w:lang w:val="zh-CN"/>
    </w:rPr>
  </w:style>
  <w:style w:type="paragraph" w:styleId="12">
    <w:name w:val="footer"/>
    <w:basedOn w:val="1"/>
    <w:qFormat/>
    <w:uiPriority w:val="99"/>
    <w:pPr>
      <w:tabs>
        <w:tab w:val="center" w:pos="4153"/>
        <w:tab w:val="right" w:pos="8306"/>
      </w:tabs>
      <w:jc w:val="left"/>
    </w:pPr>
    <w:rPr>
      <w:rFonts w:ascii="Times New Roman" w:hAnsi="Times New Roman" w:cs="Times New Roman"/>
      <w:color w:val="auto"/>
      <w:sz w:val="18"/>
      <w:szCs w:val="24"/>
    </w:rPr>
  </w:style>
  <w:style w:type="paragraph" w:styleId="13">
    <w:name w:val="header"/>
    <w:basedOn w:val="1"/>
    <w:qFormat/>
    <w:uiPriority w:val="0"/>
    <w:pPr>
      <w:pBdr>
        <w:bottom w:val="single" w:color="000000" w:sz="6" w:space="1"/>
      </w:pBdr>
      <w:tabs>
        <w:tab w:val="center" w:pos="4153"/>
        <w:tab w:val="right" w:pos="8306"/>
      </w:tabs>
      <w:jc w:val="center"/>
    </w:pPr>
    <w:rPr>
      <w:sz w:val="18"/>
      <w:szCs w:val="18"/>
    </w:rPr>
  </w:style>
  <w:style w:type="paragraph" w:styleId="14">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15">
    <w:name w:val="toc 2"/>
    <w:basedOn w:val="1"/>
    <w:next w:val="1"/>
    <w:qFormat/>
    <w:uiPriority w:val="39"/>
    <w:pPr>
      <w:ind w:left="420" w:leftChars="200"/>
    </w:pPr>
  </w:style>
  <w:style w:type="paragraph" w:styleId="16">
    <w:name w:val="Body Text 2"/>
    <w:basedOn w:val="1"/>
    <w:qFormat/>
    <w:uiPriority w:val="0"/>
    <w:pPr>
      <w:spacing w:after="120" w:line="480" w:lineRule="auto"/>
    </w:pPr>
    <w:rPr>
      <w:sz w:val="20"/>
      <w:szCs w:val="24"/>
    </w:rPr>
  </w:style>
  <w:style w:type="paragraph" w:styleId="17">
    <w:name w:val="Normal (Web)"/>
    <w:basedOn w:val="1"/>
    <w:qFormat/>
    <w:uiPriority w:val="99"/>
    <w:rPr>
      <w:sz w:val="24"/>
    </w:rPr>
  </w:style>
  <w:style w:type="paragraph" w:styleId="18">
    <w:name w:val="Body Text First Indent"/>
    <w:basedOn w:val="9"/>
    <w:qFormat/>
    <w:uiPriority w:val="0"/>
    <w:pPr>
      <w:spacing w:line="312" w:lineRule="auto"/>
      <w:ind w:firstLine="420"/>
    </w:pPr>
  </w:style>
  <w:style w:type="paragraph" w:styleId="19">
    <w:name w:val="Body Text First Indent 2"/>
    <w:basedOn w:val="1"/>
    <w:qFormat/>
    <w:uiPriority w:val="0"/>
    <w:pPr>
      <w:ind w:firstLine="420" w:firstLineChars="200"/>
    </w:pPr>
  </w:style>
  <w:style w:type="character" w:styleId="22">
    <w:name w:val="annotation reference"/>
    <w:qFormat/>
    <w:uiPriority w:val="99"/>
    <w:rPr>
      <w:sz w:val="21"/>
      <w:szCs w:val="21"/>
    </w:rPr>
  </w:style>
  <w:style w:type="paragraph" w:styleId="23">
    <w:name w:val="List Paragraph"/>
    <w:basedOn w:val="1"/>
    <w:qFormat/>
    <w:uiPriority w:val="34"/>
    <w:pPr>
      <w:ind w:firstLine="420" w:firstLineChars="200"/>
    </w:pPr>
    <w:rPr>
      <w:rFonts w:cs="Times New Roman"/>
    </w:rPr>
  </w:style>
  <w:style w:type="paragraph" w:customStyle="1" w:styleId="24">
    <w:name w:val="正文 New New"/>
    <w:basedOn w:val="1"/>
    <w:qFormat/>
    <w:uiPriority w:val="0"/>
    <w:rPr>
      <w:rFonts w:ascii="Times New Roman" w:hAnsi="Times New Roman" w:cs="Times New Roman"/>
      <w:kern w:val="2"/>
      <w:szCs w:val="24"/>
    </w:rPr>
  </w:style>
  <w:style w:type="paragraph" w:styleId="25">
    <w:name w:val="No Spacing"/>
    <w:qFormat/>
    <w:uiPriority w:val="0"/>
    <w:pPr>
      <w:widowControl w:val="0"/>
      <w:jc w:val="both"/>
    </w:pPr>
    <w:rPr>
      <w:rFonts w:ascii="Times New Roman" w:hAnsi="Times New Roman" w:eastAsia="等线" w:cs="Times New Roman"/>
      <w:kern w:val="2"/>
      <w:sz w:val="21"/>
      <w:szCs w:val="22"/>
      <w:lang w:val="en-US" w:eastAsia="zh-CN" w:bidi="ar-SA"/>
    </w:rPr>
  </w:style>
  <w:style w:type="paragraph" w:customStyle="1" w:styleId="26">
    <w:name w:val="样式 宋体 行距: 1.5 倍行距"/>
    <w:basedOn w:val="1"/>
    <w:qFormat/>
    <w:uiPriority w:val="0"/>
    <w:pPr>
      <w:jc w:val="center"/>
    </w:pPr>
    <w:rPr>
      <w:rFonts w:ascii="Times New Roman" w:hAnsi="Times New Roman" w:cs="Times New Roman"/>
      <w:b/>
    </w:rPr>
  </w:style>
  <w:style w:type="character" w:customStyle="1" w:styleId="27">
    <w:name w:val="font11"/>
    <w:qFormat/>
    <w:uiPriority w:val="0"/>
    <w:rPr>
      <w:rFonts w:hint="eastAsia" w:ascii="仿宋" w:hAnsi="仿宋" w:eastAsia="仿宋" w:cs="仿宋"/>
      <w:color w:val="000000"/>
      <w:sz w:val="28"/>
      <w:szCs w:val="28"/>
      <w:u w:val="none"/>
    </w:rPr>
  </w:style>
  <w:style w:type="character" w:customStyle="1" w:styleId="28">
    <w:name w:val="font21"/>
    <w:qFormat/>
    <w:uiPriority w:val="0"/>
    <w:rPr>
      <w:rFonts w:ascii="宋体" w:hAnsi="宋体" w:eastAsia="宋体" w:cs="宋体"/>
      <w:color w:val="000000"/>
      <w:sz w:val="24"/>
      <w:szCs w:val="24"/>
      <w:u w:val="none"/>
    </w:rPr>
  </w:style>
  <w:style w:type="paragraph" w:customStyle="1" w:styleId="29">
    <w:name w:val="表头"/>
    <w:basedOn w:val="1"/>
    <w:qFormat/>
    <w:uiPriority w:val="0"/>
    <w:pPr>
      <w:spacing w:line="360" w:lineRule="auto"/>
      <w:jc w:val="center"/>
    </w:pPr>
    <w:rPr>
      <w:rFonts w:ascii="黑体" w:hAnsi="黑体" w:eastAsia="黑体" w:cs="Times New Roman"/>
      <w:sz w:val="24"/>
      <w:szCs w:val="20"/>
    </w:rPr>
  </w:style>
  <w:style w:type="paragraph" w:customStyle="1" w:styleId="30">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31">
    <w:name w:val="索引 11"/>
    <w:basedOn w:val="1"/>
    <w:next w:val="1"/>
    <w:qFormat/>
    <w:uiPriority w:val="0"/>
    <w:rPr>
      <w:rFonts w:ascii="Times New Roman" w:hAnsi="Times New Roman" w:cs="Times New Roman"/>
      <w:color w:val="auto"/>
      <w:kern w:val="2"/>
    </w:rPr>
  </w:style>
  <w:style w:type="paragraph" w:customStyle="1" w:styleId="32">
    <w:name w:val="纯文本11"/>
    <w:basedOn w:val="33"/>
    <w:qFormat/>
    <w:uiPriority w:val="0"/>
    <w:rPr>
      <w:rFonts w:ascii="宋体" w:hAnsi="宋体" w:cs="Courier New"/>
      <w:sz w:val="20"/>
      <w:szCs w:val="20"/>
      <w:lang w:val="zh-CN"/>
    </w:rPr>
  </w:style>
  <w:style w:type="paragraph" w:customStyle="1" w:styleId="33">
    <w:name w:val="正文 New"/>
    <w:next w:val="34"/>
    <w:qFormat/>
    <w:uiPriority w:val="0"/>
    <w:pPr>
      <w:widowControl w:val="0"/>
      <w:jc w:val="both"/>
    </w:pPr>
    <w:rPr>
      <w:rFonts w:ascii="Calibri" w:hAnsi="Calibri" w:eastAsia="宋体" w:cs="Calibri"/>
      <w:color w:val="000000"/>
      <w:sz w:val="21"/>
      <w:szCs w:val="22"/>
      <w:lang w:val="en-US" w:eastAsia="zh-CN" w:bidi="ar-SA"/>
    </w:rPr>
  </w:style>
  <w:style w:type="paragraph" w:customStyle="1" w:styleId="34">
    <w:name w:val="纯文本111"/>
    <w:basedOn w:val="33"/>
    <w:qFormat/>
    <w:uiPriority w:val="0"/>
    <w:rPr>
      <w:rFonts w:ascii="宋体" w:hAnsi="宋体" w:cs="Courier New"/>
      <w:sz w:val="20"/>
      <w:szCs w:val="20"/>
      <w:lang w:val="zh-CN"/>
    </w:rPr>
  </w:style>
  <w:style w:type="paragraph" w:customStyle="1" w:styleId="3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19841</Words>
  <Characters>21022</Characters>
  <Lines>0</Lines>
  <Paragraphs>0</Paragraphs>
  <TotalTime>2</TotalTime>
  <ScaleCrop>false</ScaleCrop>
  <LinksUpToDate>false</LinksUpToDate>
  <CharactersWithSpaces>21342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2025-12-05T05:18:00Z</dcterms:created>
  <dc:creator>Administrator</dc:creator>
  <cp:lastModifiedBy>阿May</cp:lastModifiedBy>
  <dcterms:modified xsi:type="dcterms:W3CDTF">2025-12-05T06:21:58Z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eyJoZGlkIjoiYjFlN2ZkZThhYTUyYTFjNTVhN2NhNTA1ZjEwY2M2YjAiLCJ1c2VySWQiOiIyMjM5MDg2MTgifQ==</vt:lpwstr>
  </property>
  <property fmtid="{D5CDD505-2E9C-101B-9397-08002B2CF9AE}" pid="4" name="ICV">
    <vt:lpwstr>D319188295104DCB8F20B10A3E9BB968_12</vt:lpwstr>
  </property>
</Properties>
</file>